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pBdr>
          <w:bottom w:val="single" w:sz="6" w:space="6" w:color="1C2B39"/>
        </w:pBdr>
        <w:spacing w:before="120" w:after="240"/>
        <w:rPr/>
      </w:pPr>
      <w:r>
        <w:rPr>
          <w:rFonts w:eastAsia="Calibri" w:cs="Calibri" w:ascii="Calibri" w:hAnsi="Calibri"/>
          <w:b/>
          <w:bCs/>
          <w:i w:val="false"/>
          <w:iCs w:val="false"/>
          <w:color w:val="1C2B39"/>
          <w:sz w:val="32"/>
          <w:szCs w:val="32"/>
        </w:rPr>
        <w:t>Materials and Methods</w:t>
      </w:r>
    </w:p>
    <w:p>
      <w:pPr>
        <w:pStyle w:val="Heading2"/>
        <w:keepNext w:val="true"/>
        <w:spacing w:before="420" w:after="180"/>
        <w:rPr/>
      </w:pPr>
      <w:r>
        <w:rPr>
          <w:rFonts w:eastAsia="Calibri" w:cs="Calibri" w:ascii="Calibri" w:hAnsi="Calibri"/>
          <w:b/>
          <w:bCs/>
          <w:i/>
          <w:iCs/>
          <w:color w:val="1C2B39"/>
          <w:sz w:val="26"/>
          <w:szCs w:val="26"/>
        </w:rPr>
        <w:t>De Novo</w:t>
      </w:r>
      <w:r>
        <w:rPr>
          <w:rFonts w:eastAsia="Calibri" w:cs="Calibri" w:ascii="Calibri" w:hAnsi="Calibri"/>
          <w:b/>
          <w:bCs/>
          <w:i w:val="false"/>
          <w:iCs w:val="false"/>
          <w:color w:val="1C2B39"/>
          <w:sz w:val="26"/>
          <w:szCs w:val="26"/>
        </w:rPr>
        <w:t xml:space="preserve"> Assembly and Polishing</w:t>
      </w:r>
    </w:p>
    <w:p>
      <w:pPr>
        <w:pStyle w:val="Heading3"/>
        <w:keepNext w:val="true"/>
        <w:spacing w:before="300" w:after="120"/>
        <w:rPr/>
      </w:pPr>
      <w:r>
        <w:rPr>
          <w:rFonts w:eastAsia="Calibri" w:cs="Calibri" w:ascii="Calibri" w:hAnsi="Calibri"/>
          <w:b/>
          <w:bCs/>
          <w:i/>
          <w:iCs/>
          <w:color w:val="1C2B39"/>
          <w:sz w:val="23"/>
          <w:szCs w:val="23"/>
        </w:rPr>
        <w:t>Long-Read De Novo Assembly and Consensus Generation</w:t>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Genomic DNA from eight </w:t>
      </w:r>
      <w:r>
        <w:rPr>
          <w:rFonts w:eastAsia="Cambria" w:cs="Cambria"/>
          <w:b w:val="false"/>
          <w:bCs w:val="false"/>
          <w:i/>
          <w:iCs/>
          <w:color w:val="1A1A1A"/>
          <w:sz w:val="22"/>
          <w:szCs w:val="22"/>
        </w:rPr>
        <w:t>Mycolicibacterium cosmeticum</w:t>
      </w:r>
      <w:r>
        <w:rPr>
          <w:rFonts w:eastAsia="Cambria" w:cs="Cambria"/>
          <w:b w:val="false"/>
          <w:bCs w:val="false"/>
          <w:i w:val="false"/>
          <w:iCs w:val="false"/>
          <w:color w:val="1A1A1A"/>
          <w:sz w:val="22"/>
          <w:szCs w:val="22"/>
        </w:rPr>
        <w:t xml:space="preserve"> isolates (ANT01, ANT06, BODY01, BODY06, BULB01, BULB06, DESC01, and DESC06) was sequenced using Oxford Nanopore Technologies (ONT) MinION platform </w:t>
      </w:r>
      <w:r>
        <w:rPr>
          <w:rFonts w:eastAsia="Cambria" w:cs="Cambria"/>
          <w:i/>
          <w:iCs/>
          <w:color w:val="9A3412"/>
          <w:sz w:val="22"/>
          <w:szCs w:val="22"/>
          <w:highlight w:val="yellow"/>
        </w:rPr>
        <w:t>[insert flow cell/sequencing platform details, e.g., MinION/GridION, sequencing chemistry]</w:t>
      </w:r>
      <w:r>
        <w:rPr>
          <w:rFonts w:eastAsia="Cambria" w:cs="Cambria"/>
          <w:b w:val="false"/>
          <w:bCs w:val="false"/>
          <w:i w:val="false"/>
          <w:iCs w:val="false"/>
          <w:color w:val="1A1A1A"/>
          <w:sz w:val="22"/>
          <w:szCs w:val="22"/>
        </w:rPr>
        <w:t>.</w:t>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Prior to loading into the MinION flow cell, the gDNAs are prepared into a sequencing library using .... kit. Raw long-read quality assessment and read filtering were conducted using </w:t>
      </w:r>
      <w:r>
        <w:rPr>
          <w:rFonts w:eastAsia="Cambria" w:cs="Cambria"/>
          <w:i/>
          <w:iCs/>
          <w:color w:val="9A3412"/>
          <w:sz w:val="22"/>
          <w:szCs w:val="22"/>
          <w:highlight w:val="yellow"/>
        </w:rPr>
        <w:t>[what QC tool is used? NanoPlot?? The filtering thresholds??, mention the tool and filtering thresholds]</w:t>
      </w:r>
      <w:r>
        <w:rPr>
          <w:rFonts w:eastAsia="Cambria" w:cs="Cambria"/>
          <w:b w:val="false"/>
          <w:bCs w:val="false"/>
          <w:i w:val="false"/>
          <w:iCs w:val="false"/>
          <w:color w:val="1A1A1A"/>
          <w:sz w:val="22"/>
          <w:szCs w:val="22"/>
        </w:rPr>
        <w:t>.</w:t>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Long-read </w:t>
      </w:r>
      <w:r>
        <w:rPr>
          <w:rFonts w:eastAsia="Cambria" w:cs="Cambria"/>
          <w:b w:val="false"/>
          <w:bCs w:val="false"/>
          <w:i/>
          <w:iCs/>
          <w:color w:val="1A1A1A"/>
          <w:sz w:val="22"/>
          <w:szCs w:val="22"/>
        </w:rPr>
        <w:t>de novo</w:t>
      </w:r>
      <w:r>
        <w:rPr>
          <w:rFonts w:eastAsia="Cambria" w:cs="Cambria"/>
          <w:b w:val="false"/>
          <w:bCs w:val="false"/>
          <w:i w:val="false"/>
          <w:iCs w:val="false"/>
          <w:color w:val="1A1A1A"/>
          <w:sz w:val="22"/>
          <w:szCs w:val="22"/>
        </w:rPr>
        <w:t xml:space="preserve"> assembly and consensus generation were performed using the Trycycler pipeline </w:t>
      </w:r>
      <w:r>
        <w:rPr>
          <w:rFonts w:eastAsia="Cambria" w:cs="Cambria"/>
          <w:i/>
          <w:iCs/>
          <w:color w:val="9A3412"/>
          <w:sz w:val="22"/>
          <w:szCs w:val="22"/>
          <w:highlight w:val="yellow"/>
        </w:rPr>
        <w:t>(which version??)</w:t>
      </w:r>
      <w:r>
        <w:rPr>
          <w:rFonts w:eastAsia="Cambria" w:cs="Cambria"/>
          <w:b w:val="false"/>
          <w:bCs w:val="false"/>
          <w:i w:val="false"/>
          <w:iCs w:val="false"/>
          <w:color w:val="1A1A1A"/>
          <w:sz w:val="22"/>
          <w:szCs w:val="22"/>
        </w:rPr>
        <w:t xml:space="preserve"> [Wick et al., 2021]. Read sets were subsampled into independent subsets and assembled using </w:t>
      </w:r>
      <w:r>
        <w:rPr>
          <w:rFonts w:eastAsia="Cambria" w:cs="Cambria"/>
          <w:i/>
          <w:iCs/>
          <w:color w:val="9A3412"/>
          <w:sz w:val="22"/>
          <w:szCs w:val="22"/>
          <w:highlight w:val="yellow"/>
        </w:rPr>
        <w:t>[mention the assemblers used to feed into Trycycler, along with versions and run parameters]</w:t>
      </w:r>
      <w:r>
        <w:rPr>
          <w:rFonts w:eastAsia="Cambria" w:cs="Cambria"/>
          <w:b w:val="false"/>
          <w:bCs w:val="false"/>
          <w:i w:val="false"/>
          <w:iCs w:val="false"/>
          <w:color w:val="1A1A1A"/>
          <w:sz w:val="22"/>
          <w:szCs w:val="22"/>
        </w:rPr>
        <w:t>. The resulting contigs were clustered, reconciled, circularized, and partitioned into high-confidence consensus sequences in accordance with the standard Trycycler workflow.</w:t>
      </w:r>
    </w:p>
    <w:p>
      <w:pPr>
        <w:pStyle w:val="Heading3"/>
        <w:keepNext w:val="true"/>
        <w:spacing w:before="300" w:after="120"/>
        <w:rPr/>
      </w:pPr>
      <w:r>
        <w:rPr>
          <w:rFonts w:eastAsia="Calibri" w:cs="Calibri" w:ascii="Calibri" w:hAnsi="Calibri"/>
          <w:b/>
          <w:bCs/>
          <w:i/>
          <w:iCs/>
          <w:color w:val="1C2B39"/>
          <w:sz w:val="23"/>
          <w:szCs w:val="23"/>
        </w:rPr>
        <w:t>Short-Read Polishing and Genome Reorientation</w:t>
      </w:r>
    </w:p>
    <w:p>
      <w:pPr>
        <w:pStyle w:val="Normal"/>
        <w:keepNext w:val="false"/>
        <w:spacing w:lineRule="auto" w:line="276" w:before="0" w:after="200"/>
        <w:jc w:val="both"/>
        <w:rPr/>
      </w:pPr>
      <w:r>
        <w:rPr>
          <w:rFonts w:eastAsia="Cambria" w:cs="Cambria"/>
          <w:b w:val="false"/>
          <w:bCs w:val="false"/>
          <w:i w:val="false"/>
          <w:iCs w:val="false"/>
          <w:color w:val="1A1A1A"/>
          <w:sz w:val="22"/>
          <w:szCs w:val="22"/>
        </w:rPr>
        <w:t>To correct residual indel and substitution errors in the long-read consensus assemblies, a two-step short-read polishing pipeline was applied using paired-end Illumina reads, following best-practice polishing recommendations outlined by Ryan Wick (</w:t>
      </w:r>
      <w:hyperlink r:id="rId2">
        <w:r>
          <w:rPr>
            <w:rStyle w:val="Style3"/>
            <w:rFonts w:eastAsia="Cambria" w:cs="Cambria"/>
            <w:color w:val="1D4ED8"/>
            <w:sz w:val="22"/>
            <w:szCs w:val="22"/>
            <w:u w:val="single"/>
          </w:rPr>
          <w:t>https://rrwick.github.io/2024/06/11/short-read-depth.html</w:t>
        </w:r>
      </w:hyperlink>
      <w:r>
        <w:rPr>
          <w:rFonts w:eastAsia="Cambria" w:cs="Cambria"/>
          <w:b w:val="false"/>
          <w:bCs w:val="false"/>
          <w:i w:val="false"/>
          <w:iCs w:val="false"/>
          <w:color w:val="1A1A1A"/>
          <w:sz w:val="22"/>
          <w:szCs w:val="22"/>
        </w:rPr>
        <w:t>) and George Bouras (</w:t>
      </w:r>
      <w:hyperlink r:id="rId3">
        <w:r>
          <w:rPr>
            <w:rStyle w:val="Style3"/>
            <w:rFonts w:eastAsia="Cambria" w:cs="Cambria"/>
            <w:color w:val="1D4ED8"/>
            <w:sz w:val="22"/>
            <w:szCs w:val="22"/>
            <w:u w:val="single"/>
          </w:rPr>
          <w:t>https://github.com/gbouras13/pypolca</w:t>
        </w:r>
      </w:hyperlink>
      <w:r>
        <w:rPr>
          <w:rFonts w:eastAsia="Cambria" w:cs="Cambria"/>
          <w:b w:val="false"/>
          <w:bCs w:val="false"/>
          <w:i w:val="false"/>
          <w:iCs w:val="false"/>
          <w:color w:val="1A1A1A"/>
          <w:sz w:val="22"/>
          <w:szCs w:val="22"/>
        </w:rPr>
        <w:t xml:space="preserve">). First, paired-end short reads were aligned to the draft Trycycler assemblies using BWA-MEM (v0.7.19-r1273) with the </w:t>
      </w:r>
      <w:r>
        <w:rPr>
          <w:rFonts w:eastAsia="Consolas" w:cs="Consolas" w:ascii="Consolas" w:hAnsi="Consolas"/>
          <w:color w:val="9D174D"/>
          <w:sz w:val="20"/>
          <w:szCs w:val="20"/>
        </w:rPr>
        <w:t>-a</w:t>
      </w:r>
      <w:r>
        <w:rPr>
          <w:rFonts w:eastAsia="Cambria" w:cs="Cambria"/>
          <w:b w:val="false"/>
          <w:bCs w:val="false"/>
          <w:i w:val="false"/>
          <w:iCs w:val="false"/>
          <w:color w:val="1A1A1A"/>
          <w:sz w:val="22"/>
          <w:szCs w:val="22"/>
        </w:rPr>
        <w:t xml:space="preserve"> flag enabled to preserve all alignments in repeat regions. Alignments were filtered with Polypolish </w:t>
      </w:r>
      <w:r>
        <w:rPr>
          <w:rFonts w:eastAsia="Consolas" w:cs="Consolas" w:ascii="Consolas" w:hAnsi="Consolas"/>
          <w:color w:val="9D174D"/>
          <w:sz w:val="20"/>
          <w:szCs w:val="20"/>
        </w:rPr>
        <w:t>filter</w:t>
      </w:r>
      <w:r>
        <w:rPr>
          <w:rFonts w:eastAsia="Cambria" w:cs="Cambria"/>
          <w:b w:val="false"/>
          <w:bCs w:val="false"/>
          <w:i w:val="false"/>
          <w:iCs w:val="false"/>
          <w:color w:val="1A1A1A"/>
          <w:sz w:val="22"/>
          <w:szCs w:val="22"/>
        </w:rPr>
        <w:t xml:space="preserve"> (v0.7.1) and polished using Polypolish </w:t>
      </w:r>
      <w:r>
        <w:rPr>
          <w:rFonts w:eastAsia="Consolas" w:cs="Consolas" w:ascii="Consolas" w:hAnsi="Consolas"/>
          <w:color w:val="9D174D"/>
          <w:sz w:val="20"/>
          <w:szCs w:val="20"/>
        </w:rPr>
        <w:t>polish</w:t>
      </w:r>
      <w:r>
        <w:rPr>
          <w:rFonts w:eastAsia="Cambria" w:cs="Cambria"/>
          <w:b w:val="false"/>
          <w:bCs w:val="false"/>
          <w:i w:val="false"/>
          <w:iCs w:val="false"/>
          <w:color w:val="1A1A1A"/>
          <w:sz w:val="22"/>
          <w:szCs w:val="22"/>
        </w:rPr>
        <w:t xml:space="preserve"> (v0.7.1) with default parameters (</w:t>
      </w:r>
      <w:r>
        <w:rPr>
          <w:rFonts w:eastAsia="Consolas" w:cs="Consolas" w:ascii="Consolas" w:hAnsi="Consolas"/>
          <w:color w:val="9D174D"/>
          <w:sz w:val="20"/>
          <w:szCs w:val="20"/>
        </w:rPr>
        <w:t>--fraction_invalid 0.2</w:t>
      </w:r>
      <w:r>
        <w:rPr>
          <w:rFonts w:eastAsia="Cambria" w:cs="Cambria"/>
          <w:b w:val="false"/>
          <w:bCs w:val="false"/>
          <w:i w:val="false"/>
          <w:iCs w:val="false"/>
          <w:color w:val="1A1A1A"/>
          <w:sz w:val="22"/>
          <w:szCs w:val="22"/>
        </w:rPr>
        <w:t xml:space="preserve">, </w:t>
      </w:r>
      <w:r>
        <w:rPr>
          <w:rFonts w:eastAsia="Consolas" w:cs="Consolas" w:ascii="Consolas" w:hAnsi="Consolas"/>
          <w:color w:val="9D174D"/>
          <w:sz w:val="20"/>
          <w:szCs w:val="20"/>
        </w:rPr>
        <w:t>--fraction_valid 0.5</w:t>
      </w:r>
      <w:r>
        <w:rPr>
          <w:rFonts w:eastAsia="Cambria" w:cs="Cambria"/>
          <w:b w:val="false"/>
          <w:bCs w:val="false"/>
          <w:i w:val="false"/>
          <w:iCs w:val="false"/>
          <w:color w:val="1A1A1A"/>
          <w:sz w:val="22"/>
          <w:szCs w:val="22"/>
        </w:rPr>
        <w:t xml:space="preserve">, </w:t>
      </w:r>
      <w:r>
        <w:rPr>
          <w:rFonts w:eastAsia="Consolas" w:cs="Consolas" w:ascii="Consolas" w:hAnsi="Consolas"/>
          <w:color w:val="9D174D"/>
          <w:sz w:val="20"/>
          <w:szCs w:val="20"/>
        </w:rPr>
        <w:t>--max_errors 10</w:t>
      </w:r>
      <w:r>
        <w:rPr>
          <w:rFonts w:eastAsia="Cambria" w:cs="Cambria"/>
          <w:b w:val="false"/>
          <w:bCs w:val="false"/>
          <w:i w:val="false"/>
          <w:iCs w:val="false"/>
          <w:color w:val="1A1A1A"/>
          <w:sz w:val="22"/>
          <w:szCs w:val="22"/>
        </w:rPr>
        <w:t xml:space="preserve">, </w:t>
      </w:r>
      <w:r>
        <w:rPr>
          <w:rFonts w:eastAsia="Consolas" w:cs="Consolas" w:ascii="Consolas" w:hAnsi="Consolas"/>
          <w:color w:val="9D174D"/>
          <w:sz w:val="20"/>
          <w:szCs w:val="20"/>
        </w:rPr>
        <w:t>--min_depth 5</w:t>
      </w:r>
      <w:r>
        <w:rPr>
          <w:rFonts w:eastAsia="Cambria" w:cs="Cambria"/>
          <w:b w:val="false"/>
          <w:bCs w:val="false"/>
          <w:i w:val="false"/>
          <w:iCs w:val="false"/>
          <w:color w:val="1A1A1A"/>
          <w:sz w:val="22"/>
          <w:szCs w:val="22"/>
        </w:rPr>
        <w:t>) to repair errors across both unique and repetitive sequences. The Polypolish-corrected assemblies were subsequently polished using Pypolca (v0.4.0) in careful mode (</w:t>
      </w:r>
      <w:r>
        <w:rPr>
          <w:rFonts w:eastAsia="Consolas" w:cs="Consolas" w:ascii="Consolas" w:hAnsi="Consolas"/>
          <w:color w:val="9D174D"/>
          <w:sz w:val="20"/>
          <w:szCs w:val="20"/>
        </w:rPr>
        <w:t>pypolca run --careful</w:t>
      </w:r>
      <w:r>
        <w:rPr>
          <w:rFonts w:eastAsia="Cambria" w:cs="Cambria"/>
          <w:b w:val="false"/>
          <w:bCs w:val="false"/>
          <w:i w:val="false"/>
          <w:iCs w:val="false"/>
          <w:color w:val="1A1A1A"/>
          <w:sz w:val="22"/>
          <w:szCs w:val="22"/>
        </w:rPr>
        <w:t xml:space="preserve">) to fix remaining base inaccuracies. Finally, complete circularized chromosomes and extrachromosomal elements were reoriented using dnaapler (v1.3.0) via </w:t>
      </w:r>
      <w:r>
        <w:rPr>
          <w:rFonts w:eastAsia="Consolas" w:cs="Consolas" w:ascii="Consolas" w:hAnsi="Consolas"/>
          <w:color w:val="9D174D"/>
          <w:sz w:val="20"/>
          <w:szCs w:val="20"/>
        </w:rPr>
        <w:t>dnaapler all</w:t>
      </w:r>
      <w:r>
        <w:rPr>
          <w:rFonts w:eastAsia="Cambria" w:cs="Cambria"/>
          <w:b w:val="false"/>
          <w:bCs w:val="false"/>
          <w:i w:val="false"/>
          <w:iCs w:val="false"/>
          <w:color w:val="1A1A1A"/>
          <w:sz w:val="22"/>
          <w:szCs w:val="22"/>
        </w:rPr>
        <w:t xml:space="preserve"> (</w:t>
      </w:r>
      <w:r>
        <w:rPr>
          <w:rFonts w:eastAsia="Consolas" w:cs="Consolas" w:ascii="Consolas" w:hAnsi="Consolas"/>
          <w:color w:val="9D174D"/>
          <w:sz w:val="20"/>
          <w:szCs w:val="20"/>
        </w:rPr>
        <w:t>--autocomplete nearest</w:t>
      </w:r>
      <w:r>
        <w:rPr>
          <w:rFonts w:eastAsia="Cambria" w:cs="Cambria"/>
          <w:b w:val="false"/>
          <w:bCs w:val="false"/>
          <w:i w:val="false"/>
          <w:iCs w:val="false"/>
          <w:color w:val="1A1A1A"/>
          <w:sz w:val="22"/>
          <w:szCs w:val="22"/>
        </w:rPr>
        <w:t xml:space="preserve">, </w:t>
      </w:r>
      <w:r>
        <w:rPr>
          <w:rFonts w:eastAsia="Consolas" w:cs="Consolas" w:ascii="Consolas" w:hAnsi="Consolas"/>
          <w:color w:val="9D174D"/>
          <w:sz w:val="20"/>
          <w:szCs w:val="20"/>
        </w:rPr>
        <w:t>-e 1e-10</w:t>
      </w:r>
      <w:r>
        <w:rPr>
          <w:rFonts w:eastAsia="Cambria" w:cs="Cambria"/>
          <w:b w:val="false"/>
          <w:bCs w:val="false"/>
          <w:i w:val="false"/>
          <w:iCs w:val="false"/>
          <w:color w:val="1A1A1A"/>
          <w:sz w:val="22"/>
          <w:szCs w:val="22"/>
        </w:rPr>
        <w:t xml:space="preserve">), reorienting chromosomal contigs to start at the </w:t>
      </w:r>
      <w:r>
        <w:rPr>
          <w:rFonts w:eastAsia="Cambria" w:cs="Cambria"/>
          <w:b w:val="false"/>
          <w:bCs w:val="false"/>
          <w:i/>
          <w:iCs/>
          <w:color w:val="1A1A1A"/>
          <w:sz w:val="22"/>
          <w:szCs w:val="22"/>
        </w:rPr>
        <w:t>dnaA</w:t>
      </w:r>
      <w:r>
        <w:rPr>
          <w:rFonts w:eastAsia="Cambria" w:cs="Cambria"/>
          <w:b w:val="false"/>
          <w:bCs w:val="false"/>
          <w:i w:val="false"/>
          <w:iCs w:val="false"/>
          <w:color w:val="1A1A1A"/>
          <w:sz w:val="22"/>
          <w:szCs w:val="22"/>
        </w:rPr>
        <w:t xml:space="preserve"> gene, while extrachromosomal contigs were reoriented to start at either </w:t>
      </w:r>
      <w:r>
        <w:rPr>
          <w:rFonts w:eastAsia="Cambria" w:cs="Cambria"/>
          <w:b w:val="false"/>
          <w:bCs w:val="false"/>
          <w:i/>
          <w:iCs/>
          <w:color w:val="1A1A1A"/>
          <w:sz w:val="22"/>
          <w:szCs w:val="22"/>
        </w:rPr>
        <w:t>repA</w:t>
      </w:r>
      <w:r>
        <w:rPr>
          <w:rFonts w:eastAsia="Cambria" w:cs="Cambria"/>
          <w:b w:val="false"/>
          <w:bCs w:val="false"/>
          <w:i w:val="false"/>
          <w:iCs w:val="false"/>
          <w:color w:val="1A1A1A"/>
          <w:sz w:val="22"/>
          <w:szCs w:val="22"/>
        </w:rPr>
        <w:t xml:space="preserve"> or </w:t>
      </w:r>
      <w:r>
        <w:rPr>
          <w:rFonts w:eastAsia="Cambria" w:cs="Cambria"/>
          <w:b w:val="false"/>
          <w:bCs w:val="false"/>
          <w:i/>
          <w:iCs/>
          <w:color w:val="1A1A1A"/>
          <w:sz w:val="22"/>
          <w:szCs w:val="22"/>
        </w:rPr>
        <w:t>terL</w:t>
      </w:r>
      <w:r>
        <w:rPr>
          <w:rFonts w:eastAsia="Cambria" w:cs="Cambria"/>
          <w:b w:val="false"/>
          <w:bCs w:val="false"/>
          <w:i w:val="false"/>
          <w:iCs w:val="false"/>
          <w:color w:val="1A1A1A"/>
          <w:sz w:val="22"/>
          <w:szCs w:val="22"/>
        </w:rPr>
        <w:t xml:space="preserve"> gene.</w:t>
      </w:r>
    </w:p>
    <w:p>
      <w:pPr>
        <w:pStyle w:val="Heading2"/>
        <w:keepNext w:val="true"/>
        <w:spacing w:before="420" w:after="180"/>
        <w:rPr/>
      </w:pPr>
      <w:r>
        <w:rPr>
          <w:rFonts w:eastAsia="Calibri" w:cs="Calibri" w:ascii="Calibri" w:hAnsi="Calibri"/>
          <w:b/>
          <w:bCs/>
          <w:i w:val="false"/>
          <w:iCs w:val="false"/>
          <w:color w:val="1C2B39"/>
          <w:sz w:val="26"/>
          <w:szCs w:val="26"/>
        </w:rPr>
        <w:t>Taxonomic Identification and Genome Annotation</w:t>
      </w:r>
    </w:p>
    <w:p>
      <w:pPr>
        <w:pStyle w:val="Heading3"/>
        <w:keepNext w:val="true"/>
        <w:spacing w:before="300" w:after="120"/>
        <w:rPr/>
      </w:pPr>
      <w:r>
        <w:rPr>
          <w:rFonts w:eastAsia="Calibri" w:cs="Calibri" w:ascii="Calibri" w:hAnsi="Calibri"/>
          <w:b/>
          <w:bCs/>
          <w:i/>
          <w:iCs/>
          <w:color w:val="1C2B39"/>
          <w:sz w:val="23"/>
          <w:szCs w:val="23"/>
        </w:rPr>
        <w:t>Taxonomic Identification</w:t>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Species-level taxonomic affiliation of all eight previously suspected to be </w:t>
      </w:r>
      <w:r>
        <w:rPr>
          <w:rFonts w:eastAsia="Cambria" w:cs="Cambria"/>
          <w:b w:val="false"/>
          <w:bCs w:val="false"/>
          <w:i/>
          <w:iCs/>
          <w:color w:val="1A1A1A"/>
          <w:sz w:val="22"/>
          <w:szCs w:val="22"/>
        </w:rPr>
        <w:t>Mycolicibacterium peregrinum</w:t>
      </w:r>
      <w:r>
        <w:rPr>
          <w:rFonts w:eastAsia="Cambria" w:cs="Cambria"/>
          <w:b w:val="false"/>
          <w:bCs w:val="false"/>
          <w:i w:val="false"/>
          <w:iCs w:val="false"/>
          <w:color w:val="1A1A1A"/>
          <w:sz w:val="22"/>
          <w:szCs w:val="22"/>
        </w:rPr>
        <w:t xml:space="preserve"> isolates was determined using a triage approach of 16S rRNA ID, GTDB-Tk pipeline,and TYGS webserver. Full-length 16S rRNA gene sequences were extracted from the Bakta-annotated genome assemblies and queried against the NCBI nt database using BLASTn. Genome-scale taxonomic classification and Average Nucleotide Identity (ANI) comparisons were performed using GTDB-Tk's </w:t>
      </w:r>
      <w:r>
        <w:rPr>
          <w:rFonts w:eastAsia="Consolas" w:cs="Consolas" w:ascii="Consolas" w:hAnsi="Consolas"/>
          <w:color w:val="9D174D"/>
          <w:sz w:val="20"/>
          <w:szCs w:val="20"/>
        </w:rPr>
        <w:t>classify_wf</w:t>
      </w:r>
      <w:r>
        <w:rPr>
          <w:rFonts w:eastAsia="Cambria" w:cs="Cambria"/>
          <w:b w:val="false"/>
          <w:bCs w:val="false"/>
          <w:i w:val="false"/>
          <w:iCs w:val="false"/>
          <w:color w:val="1A1A1A"/>
          <w:sz w:val="22"/>
          <w:szCs w:val="22"/>
        </w:rPr>
        <w:t xml:space="preserve"> pipeline (v2.7.2) against the Genome Taxonomy Database (GTDB release r232) [Chaumeil et al., 2022], utilizing skani (v0.3.1) and pplacer for tree placement and reference ANI verification. High-resolution digital DNA–DNA hybridization (dDDH) and whole-genome phylogenetic analyses were performed using the Type (Strain) Genome Server (TYGS; </w:t>
      </w:r>
      <w:hyperlink r:id="rId4">
        <w:r>
          <w:rPr>
            <w:rStyle w:val="Style3"/>
            <w:rFonts w:eastAsia="Cambria" w:cs="Cambria"/>
            <w:color w:val="1D4ED8"/>
            <w:sz w:val="22"/>
            <w:szCs w:val="22"/>
            <w:u w:val="single"/>
          </w:rPr>
          <w:t>https://tygs.dsmz.de</w:t>
        </w:r>
      </w:hyperlink>
      <w:r>
        <w:rPr>
          <w:rFonts w:eastAsia="Cambria" w:cs="Cambria"/>
          <w:b w:val="false"/>
          <w:bCs w:val="false"/>
          <w:i w:val="false"/>
          <w:iCs w:val="false"/>
          <w:color w:val="1A1A1A"/>
          <w:sz w:val="22"/>
          <w:szCs w:val="22"/>
        </w:rPr>
        <w:t>) [Meier-Kolthoff &amp; Göker, 2019]. Digital DDH values were calculated using the Genome BLAST Distance Phylogeny (GBDP) formulas (</w:t>
      </w:r>
      <w:r>
        <w:rPr>
          <w:rFonts w:eastAsia="Cambria" w:cs="Cambria"/>
          <w:b w:val="false"/>
          <w:bCs w:val="false"/>
          <w:i/>
          <w:iCs/>
          <w:color w:val="1A1A1A"/>
          <w:sz w:val="22"/>
          <w:szCs w:val="22"/>
        </w:rPr>
        <w:t>d</w:t>
      </w:r>
      <w:r>
        <w:rPr>
          <w:rFonts w:eastAsia="Cambria" w:cs="Cambria"/>
          <w:color w:val="1A1A1A"/>
          <w:sz w:val="22"/>
          <w:szCs w:val="22"/>
          <w:vertAlign w:val="subscript"/>
        </w:rPr>
        <w:t>0</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d</w:t>
      </w:r>
      <w:r>
        <w:rPr>
          <w:rFonts w:eastAsia="Cambria" w:cs="Cambria"/>
          <w:color w:val="1A1A1A"/>
          <w:sz w:val="22"/>
          <w:szCs w:val="22"/>
          <w:vertAlign w:val="subscript"/>
        </w:rPr>
        <w:t>4</w:t>
      </w:r>
      <w:r>
        <w:rPr>
          <w:rFonts w:eastAsia="Cambria" w:cs="Cambria"/>
          <w:b w:val="false"/>
          <w:bCs w:val="false"/>
          <w:i w:val="false"/>
          <w:iCs w:val="false"/>
          <w:color w:val="1A1A1A"/>
          <w:sz w:val="22"/>
          <w:szCs w:val="22"/>
        </w:rPr>
        <w:t xml:space="preserve">, and </w:t>
      </w:r>
      <w:r>
        <w:rPr>
          <w:rFonts w:eastAsia="Cambria" w:cs="Cambria"/>
          <w:b w:val="false"/>
          <w:bCs w:val="false"/>
          <w:i/>
          <w:iCs/>
          <w:color w:val="1A1A1A"/>
          <w:sz w:val="22"/>
          <w:szCs w:val="22"/>
        </w:rPr>
        <w:t>d</w:t>
      </w:r>
      <w:r>
        <w:rPr>
          <w:rFonts w:eastAsia="Cambria" w:cs="Cambria"/>
          <w:color w:val="1A1A1A"/>
          <w:sz w:val="22"/>
          <w:szCs w:val="22"/>
          <w:vertAlign w:val="subscript"/>
        </w:rPr>
        <w:t>6</w:t>
      </w:r>
      <w:r>
        <w:rPr>
          <w:rFonts w:eastAsia="Cambria" w:cs="Cambria"/>
          <w:b w:val="false"/>
          <w:bCs w:val="false"/>
          <w:i w:val="false"/>
          <w:iCs w:val="false"/>
          <w:color w:val="1A1A1A"/>
          <w:sz w:val="22"/>
          <w:szCs w:val="22"/>
        </w:rPr>
        <w:t>) against closely related type strains.</w:t>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The GTDB-Tk and TYGS results were concordant: all eight isolates had the same closest GTDB-Tk reference (GCF_000613185.1) and the same closest TYGS type strain, </w:t>
      </w:r>
      <w:r>
        <w:rPr>
          <w:rFonts w:eastAsia="Cambria" w:cs="Cambria"/>
          <w:b w:val="false"/>
          <w:bCs w:val="false"/>
          <w:i/>
          <w:iCs/>
          <w:color w:val="1A1A1A"/>
          <w:sz w:val="22"/>
          <w:szCs w:val="22"/>
        </w:rPr>
        <w:t>Mycobacterium cosmeticum</w:t>
      </w:r>
      <w:r>
        <w:rPr>
          <w:rFonts w:eastAsia="Cambria" w:cs="Cambria"/>
          <w:b w:val="false"/>
          <w:bCs w:val="false"/>
          <w:i w:val="false"/>
          <w:iCs w:val="false"/>
          <w:color w:val="1A1A1A"/>
          <w:sz w:val="22"/>
          <w:szCs w:val="22"/>
        </w:rPr>
        <w:t xml:space="preserve"> DSM 44829 (TYGS ID 3161), with d4 dDDH values of 87.0% for seven isolates and 86.9% for BODY06 (Table 2). These results support species-level assignment to the </w:t>
      </w:r>
      <w:r>
        <w:rPr>
          <w:rFonts w:eastAsia="Cambria" w:cs="Cambria"/>
          <w:b w:val="false"/>
          <w:bCs w:val="false"/>
          <w:i/>
          <w:iCs/>
          <w:color w:val="1A1A1A"/>
          <w:sz w:val="22"/>
          <w:szCs w:val="22"/>
        </w:rPr>
        <w:t>Mycolicibacterium cosmeticum</w:t>
      </w:r>
      <w:r>
        <w:rPr>
          <w:rFonts w:eastAsia="Cambria" w:cs="Cambria"/>
          <w:b w:val="false"/>
          <w:bCs w:val="false"/>
          <w:i w:val="false"/>
          <w:iCs w:val="false"/>
          <w:color w:val="1A1A1A"/>
          <w:sz w:val="22"/>
          <w:szCs w:val="22"/>
        </w:rPr>
        <w:t xml:space="preserve"> lineage, while the assembly-size and contiguity differences in Table 1 indicate that the isolates should not be described as sequence-identical.</w:t>
      </w:r>
    </w:p>
    <w:p>
      <w:pPr>
        <w:pStyle w:val="Heading3"/>
        <w:keepNext w:val="true"/>
        <w:spacing w:before="300" w:after="120"/>
        <w:rPr/>
      </w:pPr>
      <w:r>
        <w:rPr>
          <w:rFonts w:eastAsia="Calibri" w:cs="Calibri" w:ascii="Calibri" w:hAnsi="Calibri"/>
          <w:b/>
          <w:bCs/>
          <w:i/>
          <w:iCs/>
          <w:color w:val="1C2B39"/>
          <w:sz w:val="23"/>
          <w:szCs w:val="23"/>
        </w:rPr>
        <w:t>Genome Quality Assessment and Structural Annotation</w:t>
      </w:r>
    </w:p>
    <w:p>
      <w:pPr>
        <w:pStyle w:val="Normal"/>
        <w:keepNext w:val="false"/>
        <w:spacing w:lineRule="auto" w:line="276" w:before="0" w:after="200"/>
        <w:jc w:val="both"/>
        <w:rPr/>
      </w:pPr>
      <w:r>
        <w:rPr>
          <w:rFonts w:eastAsia="Cambria" w:cs="Cambria"/>
          <w:b w:val="false"/>
          <w:bCs w:val="false"/>
          <w:i w:val="false"/>
          <w:iCs w:val="false"/>
          <w:color w:val="1A1A1A"/>
          <w:sz w:val="22"/>
          <w:szCs w:val="22"/>
        </w:rPr>
        <w:t>Assembly completeness and contamination were evaluated using CheckM2 (v1.1.0) [Chklovski et al., 2023] and BUSCO (</w:t>
      </w:r>
      <w:r>
        <w:rPr>
          <w:rFonts w:eastAsia="Cambria" w:cs="Cambria"/>
          <w:b w:val="false"/>
          <w:bCs w:val="false"/>
          <w:i w:val="false"/>
          <w:iCs w:val="false"/>
          <w:color w:val="1A1A1A"/>
          <w:sz w:val="22"/>
          <w:szCs w:val="22"/>
        </w:rPr>
        <w:t>v6.1.0</w:t>
      </w:r>
      <w:r>
        <w:rPr>
          <w:rFonts w:eastAsia="Cambria" w:cs="Cambria"/>
          <w:b w:val="false"/>
          <w:bCs w:val="false"/>
          <w:i w:val="false"/>
          <w:iCs w:val="false"/>
          <w:color w:val="1A1A1A"/>
          <w:sz w:val="22"/>
          <w:szCs w:val="22"/>
        </w:rPr>
        <w:t xml:space="preserve">) against the </w:t>
      </w:r>
      <w:r>
        <w:rPr>
          <w:rFonts w:eastAsia="Consolas" w:cs="Consolas" w:ascii="Consolas" w:hAnsi="Consolas"/>
          <w:color w:val="9D174D"/>
          <w:sz w:val="20"/>
          <w:szCs w:val="20"/>
        </w:rPr>
        <w:t>mycolicibacterium_odb12</w:t>
      </w:r>
      <w:r>
        <w:rPr>
          <w:rFonts w:eastAsia="Cambria" w:cs="Cambria"/>
          <w:b w:val="false"/>
          <w:bCs w:val="false"/>
          <w:i w:val="false"/>
          <w:iCs w:val="false"/>
          <w:color w:val="1A1A1A"/>
          <w:sz w:val="22"/>
          <w:szCs w:val="22"/>
        </w:rPr>
        <w:t xml:space="preserve"> lineage dataset [Manni et al., 2021]. Comprehensive structural and functional genome annotation was performed using Bakta (v1.12.0) [Schwengers et al., 2021] with the full database (v6.0), identifying coding sequences (CDSs), ribosomal RNAs (rRNAs), transfer RNAs (tRNAs), non-coding RNAs (ncRNAs), and CRISPR arrays.</w:t>
      </w:r>
    </w:p>
    <w:p>
      <w:pPr>
        <w:pStyle w:val="Heading2"/>
        <w:keepNext w:val="true"/>
        <w:spacing w:before="420" w:after="180"/>
        <w:rPr/>
      </w:pPr>
      <w:r>
        <w:rPr>
          <w:rFonts w:eastAsia="Calibri" w:cs="Calibri" w:ascii="Calibri" w:hAnsi="Calibri"/>
          <w:b/>
          <w:bCs/>
          <w:i w:val="false"/>
          <w:iCs w:val="false"/>
          <w:color w:val="1C2B39"/>
          <w:sz w:val="26"/>
          <w:szCs w:val="26"/>
        </w:rPr>
        <w:t>Virulence and Antimicrobial Resistance Determinant Profiling</w:t>
      </w:r>
    </w:p>
    <w:p>
      <w:pPr>
        <w:pStyle w:val="Heading3"/>
        <w:keepNext w:val="true"/>
        <w:spacing w:before="300" w:after="120"/>
        <w:rPr/>
      </w:pPr>
      <w:r>
        <w:rPr>
          <w:rFonts w:eastAsia="Calibri" w:cs="Calibri" w:ascii="Calibri" w:hAnsi="Calibri"/>
          <w:b/>
          <w:bCs/>
          <w:i/>
          <w:iCs/>
          <w:color w:val="1C2B39"/>
          <w:sz w:val="23"/>
          <w:szCs w:val="23"/>
        </w:rPr>
        <w:t>Virulence Factor Profiling</w:t>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Putative virulence factors were screened across all eight </w:t>
      </w:r>
      <w:r>
        <w:rPr>
          <w:rFonts w:eastAsia="Cambria" w:cs="Cambria"/>
          <w:b w:val="false"/>
          <w:bCs w:val="false"/>
          <w:i/>
          <w:iCs/>
          <w:color w:val="1A1A1A"/>
          <w:sz w:val="22"/>
          <w:szCs w:val="22"/>
        </w:rPr>
        <w:t>M. cosmeticum</w:t>
      </w:r>
      <w:r>
        <w:rPr>
          <w:rFonts w:eastAsia="Cambria" w:cs="Cambria"/>
          <w:b w:val="false"/>
          <w:bCs w:val="false"/>
          <w:i w:val="false"/>
          <w:iCs w:val="false"/>
          <w:color w:val="1A1A1A"/>
          <w:sz w:val="22"/>
          <w:szCs w:val="22"/>
        </w:rPr>
        <w:t xml:space="preserve"> genome assemblies using the VF classifier pipeline with default parameters (</w:t>
      </w:r>
      <w:hyperlink r:id="rId5">
        <w:r>
          <w:rPr>
            <w:rStyle w:val="Style3"/>
            <w:rFonts w:eastAsia="Cambria" w:cs="Cambria"/>
            <w:color w:val="1D4ED8"/>
            <w:sz w:val="22"/>
            <w:szCs w:val="22"/>
            <w:u w:val="single"/>
          </w:rPr>
          <w:t>https://github.com/GenomicaMicrob/VF_classifier</w:t>
        </w:r>
      </w:hyperlink>
      <w:r>
        <w:rPr>
          <w:rFonts w:eastAsia="Cambria" w:cs="Cambria"/>
          <w:b w:val="false"/>
          <w:bCs w:val="false"/>
          <w:i w:val="false"/>
          <w:iCs w:val="false"/>
          <w:color w:val="1A1A1A"/>
          <w:sz w:val="22"/>
          <w:szCs w:val="22"/>
        </w:rPr>
        <w:t xml:space="preserve">) against the Virulence Factor Database (VFDB; </w:t>
      </w:r>
      <w:hyperlink r:id="rId6">
        <w:r>
          <w:rPr>
            <w:rStyle w:val="Style3"/>
            <w:rFonts w:eastAsia="Cambria" w:cs="Cambria"/>
            <w:color w:val="1D4ED8"/>
            <w:sz w:val="22"/>
            <w:szCs w:val="22"/>
            <w:u w:val="single"/>
          </w:rPr>
          <w:t>http://www.mgc.ac.cn/VFs/</w:t>
        </w:r>
      </w:hyperlink>
      <w:r>
        <w:rPr>
          <w:rFonts w:eastAsia="Cambria" w:cs="Cambria"/>
          <w:b w:val="false"/>
          <w:bCs w:val="false"/>
          <w:i w:val="false"/>
          <w:iCs w:val="false"/>
          <w:color w:val="1A1A1A"/>
          <w:sz w:val="22"/>
          <w:szCs w:val="22"/>
        </w:rPr>
        <w:t>) [Liu et al., 2022]. Predicted virulence determinants were categorized into functional classes, some of them including adherence, effector delivery systems (Type VII secretion), enzymes, exotoxins, immune modulation, nutritional/metabolic factors, regulation, stress survival, and others based on sequence similarity and conserved domain architecture.</w:t>
      </w:r>
    </w:p>
    <w:p>
      <w:pPr>
        <w:pStyle w:val="Heading3"/>
        <w:keepNext w:val="true"/>
        <w:spacing w:before="300" w:after="120"/>
        <w:rPr/>
      </w:pPr>
      <w:r>
        <w:rPr>
          <w:rFonts w:eastAsia="Calibri" w:cs="Calibri" w:ascii="Calibri" w:hAnsi="Calibri"/>
          <w:b/>
          <w:bCs/>
          <w:i/>
          <w:iCs/>
          <w:color w:val="1C2B39"/>
          <w:sz w:val="23"/>
          <w:szCs w:val="23"/>
        </w:rPr>
        <w:t>Antimicrobial Resistance (AMR) Gene Profiling</w:t>
      </w:r>
    </w:p>
    <w:p>
      <w:pPr>
        <w:pStyle w:val="Normal"/>
        <w:keepNext w:val="false"/>
        <w:spacing w:lineRule="auto" w:line="276" w:before="0" w:after="200"/>
        <w:jc w:val="both"/>
        <w:rPr/>
      </w:pPr>
      <w:r>
        <w:rPr>
          <w:rFonts w:eastAsia="Cambria" w:cs="Cambria"/>
          <w:b w:val="false"/>
          <w:bCs w:val="false"/>
          <w:i w:val="false"/>
          <w:iCs w:val="false"/>
          <w:color w:val="1A1A1A"/>
          <w:sz w:val="22"/>
          <w:szCs w:val="22"/>
        </w:rPr>
        <w:t>Antimicrobial resistance genes were identified using the Resistance Gene Identifier (RGI v6.0.8) against the Comprehensive Antibiotic Resistance Database (CARD Canonical v4.0.1, CARD Variants v4.0.2) [Alcock et al., 2023]. Open reading frames (ORFs) were predicted using Pyrodigal and aligned using DIAMOND against curated CARD reference protein models. Only Strict hits were retained for resistome characterization, while Loose and Nudged predictions were excluded.</w:t>
      </w:r>
    </w:p>
    <w:p>
      <w:pPr>
        <w:pStyle w:val="Heading3"/>
        <w:keepNext w:val="true"/>
        <w:spacing w:before="300" w:after="120"/>
        <w:rPr/>
      </w:pPr>
      <w:r>
        <w:rPr>
          <w:rFonts w:eastAsia="Calibri" w:cs="Calibri" w:ascii="Calibri" w:hAnsi="Calibri"/>
          <w:b/>
          <w:bCs/>
          <w:i/>
          <w:iCs/>
          <w:color w:val="1C2B39"/>
          <w:sz w:val="23"/>
          <w:szCs w:val="23"/>
        </w:rPr>
        <w:t>Plasmid and Mobilome Analysis</w:t>
      </w:r>
    </w:p>
    <w:p>
      <w:pPr>
        <w:pStyle w:val="Normal"/>
        <w:keepNext w:val="false"/>
        <w:spacing w:lineRule="auto" w:line="276" w:before="0" w:after="200"/>
        <w:jc w:val="both"/>
        <w:rPr/>
      </w:pPr>
      <w:r>
        <w:rPr>
          <w:rFonts w:eastAsia="Cambria" w:cs="Cambria"/>
          <w:b w:val="false"/>
          <w:bCs w:val="false"/>
          <w:i w:val="false"/>
          <w:iCs w:val="false"/>
          <w:color w:val="1A1A1A"/>
          <w:sz w:val="22"/>
          <w:szCs w:val="22"/>
        </w:rPr>
        <w:t>Extrachromosomal replicons and mobile genetic elements (MGEs) were characterized using several tools. Contig circularity was initially determined during Trycycler consensus assembly [Wick et al., 2021], and contigs were reoriented using dnaapler (v1.3.0) [Bouras et al., 2024], which identified replication initiation (</w:t>
      </w:r>
      <w:r>
        <w:rPr>
          <w:rFonts w:eastAsia="Cambria" w:cs="Cambria"/>
          <w:b w:val="false"/>
          <w:bCs w:val="false"/>
          <w:i/>
          <w:iCs/>
          <w:color w:val="1A1A1A"/>
          <w:sz w:val="22"/>
          <w:szCs w:val="22"/>
        </w:rPr>
        <w:t>repA</w:t>
      </w:r>
      <w:r>
        <w:rPr>
          <w:rFonts w:eastAsia="Cambria" w:cs="Cambria"/>
          <w:b w:val="false"/>
          <w:bCs w:val="false"/>
          <w:i w:val="false"/>
          <w:iCs w:val="false"/>
          <w:color w:val="1A1A1A"/>
          <w:sz w:val="22"/>
          <w:szCs w:val="22"/>
        </w:rPr>
        <w:t>) and large terminase (</w:t>
      </w:r>
      <w:r>
        <w:rPr>
          <w:rFonts w:eastAsia="Cambria" w:cs="Cambria"/>
          <w:b w:val="false"/>
          <w:bCs w:val="false"/>
          <w:i/>
          <w:iCs/>
          <w:color w:val="1A1A1A"/>
          <w:sz w:val="22"/>
          <w:szCs w:val="22"/>
        </w:rPr>
        <w:t>terL</w:t>
      </w:r>
      <w:r>
        <w:rPr>
          <w:rFonts w:eastAsia="Cambria" w:cs="Cambria"/>
          <w:b w:val="false"/>
          <w:bCs w:val="false"/>
          <w:i w:val="false"/>
          <w:iCs w:val="false"/>
          <w:color w:val="1A1A1A"/>
          <w:sz w:val="22"/>
          <w:szCs w:val="22"/>
        </w:rPr>
        <w:t xml:space="preserve">) genes on non-chromosomal contigs. Replicon typing, relaxase classification, and mobility prediction were performed using MOB-suite (v3.1.9) </w:t>
      </w:r>
      <w:r>
        <w:rPr>
          <w:rFonts w:eastAsia="Consolas" w:cs="Consolas" w:ascii="Consolas" w:hAnsi="Consolas"/>
          <w:color w:val="9D174D"/>
          <w:sz w:val="20"/>
          <w:szCs w:val="20"/>
        </w:rPr>
        <w:t>mob_recon</w:t>
      </w:r>
      <w:r>
        <w:rPr>
          <w:rFonts w:eastAsia="Cambria" w:cs="Cambria"/>
          <w:b w:val="false"/>
          <w:bCs w:val="false"/>
          <w:i w:val="false"/>
          <w:iCs w:val="false"/>
          <w:color w:val="1A1A1A"/>
          <w:sz w:val="22"/>
          <w:szCs w:val="22"/>
        </w:rPr>
        <w:t xml:space="preserve"> with </w:t>
      </w:r>
      <w:r>
        <w:rPr>
          <w:rFonts w:eastAsia="Consolas" w:cs="Consolas" w:ascii="Consolas" w:hAnsi="Consolas"/>
          <w:color w:val="9D174D"/>
          <w:sz w:val="20"/>
          <w:szCs w:val="20"/>
        </w:rPr>
        <w:t>--run_overhang</w:t>
      </w:r>
      <w:r>
        <w:rPr>
          <w:rFonts w:eastAsia="Cambria" w:cs="Cambria"/>
          <w:b w:val="false"/>
          <w:bCs w:val="false"/>
          <w:i w:val="false"/>
          <w:iCs w:val="false"/>
          <w:color w:val="1A1A1A"/>
          <w:sz w:val="22"/>
          <w:szCs w:val="22"/>
        </w:rPr>
        <w:t xml:space="preserve">, </w:t>
      </w:r>
      <w:r>
        <w:rPr>
          <w:rFonts w:eastAsia="Consolas" w:cs="Consolas" w:ascii="Consolas" w:hAnsi="Consolas"/>
          <w:color w:val="9D174D"/>
          <w:sz w:val="20"/>
          <w:szCs w:val="20"/>
        </w:rPr>
        <w:t>--keep_tmp</w:t>
      </w:r>
      <w:r>
        <w:rPr>
          <w:rFonts w:eastAsia="Cambria" w:cs="Cambria"/>
          <w:b w:val="false"/>
          <w:bCs w:val="false"/>
          <w:i w:val="false"/>
          <w:iCs w:val="false"/>
          <w:color w:val="1A1A1A"/>
          <w:sz w:val="22"/>
          <w:szCs w:val="22"/>
        </w:rPr>
        <w:t xml:space="preserve">, and </w:t>
      </w:r>
      <w:r>
        <w:rPr>
          <w:rFonts w:eastAsia="Consolas" w:cs="Consolas" w:ascii="Consolas" w:hAnsi="Consolas"/>
          <w:color w:val="9D174D"/>
          <w:sz w:val="20"/>
          <w:szCs w:val="20"/>
        </w:rPr>
        <w:t>--debug</w:t>
      </w:r>
      <w:r>
        <w:rPr>
          <w:rFonts w:eastAsia="Cambria" w:cs="Cambria"/>
          <w:b w:val="false"/>
          <w:bCs w:val="false"/>
          <w:i w:val="false"/>
          <w:iCs w:val="false"/>
          <w:color w:val="1A1A1A"/>
          <w:sz w:val="22"/>
          <w:szCs w:val="22"/>
        </w:rPr>
        <w:t xml:space="preserve"> flags [Robertson &amp; Nash, 2018]. As an independent confirmation of replicon identity, plasmid and virus/provirus classification was performed using geNomad (v1.12.0) </w:t>
      </w:r>
      <w:r>
        <w:rPr>
          <w:rFonts w:eastAsia="Consolas" w:cs="Consolas" w:ascii="Consolas" w:hAnsi="Consolas"/>
          <w:color w:val="9D174D"/>
          <w:sz w:val="20"/>
          <w:szCs w:val="20"/>
        </w:rPr>
        <w:t>end-to-end</w:t>
      </w:r>
      <w:r>
        <w:rPr>
          <w:rFonts w:eastAsia="Cambria" w:cs="Cambria"/>
          <w:b w:val="false"/>
          <w:bCs w:val="false"/>
          <w:i w:val="false"/>
          <w:iCs w:val="false"/>
          <w:color w:val="1A1A1A"/>
          <w:sz w:val="22"/>
          <w:szCs w:val="22"/>
        </w:rPr>
        <w:t xml:space="preserve"> with default scoring thresholds (plasmid/virus score ≥ 0.7) against the geNomad database [Camargo et al., 2024]. Insertion sequences (ISs) were identified from the MOB-suite MGE report.</w:t>
      </w:r>
    </w:p>
    <w:p>
      <w:pPr>
        <w:pStyle w:val="Heading2"/>
        <w:keepNext w:val="true"/>
        <w:spacing w:before="420" w:after="180"/>
        <w:rPr/>
      </w:pPr>
      <w:r>
        <w:rPr>
          <w:rFonts w:eastAsia="Calibri" w:cs="Calibri" w:ascii="Calibri" w:hAnsi="Calibri"/>
          <w:b/>
          <w:bCs/>
          <w:i w:val="false"/>
          <w:iCs w:val="false"/>
          <w:color w:val="1C2B39"/>
          <w:sz w:val="26"/>
          <w:szCs w:val="26"/>
        </w:rPr>
        <w:t>Comparative Pangenome Analysis</w:t>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Comparative pangenome analysis was performed with Panaroo v1.8.0 [Tonkin-Hill et al., 2020]. The dataset included the eight isolates generated in this study and seven publicly available </w:t>
      </w:r>
      <w:r>
        <w:rPr>
          <w:rFonts w:eastAsia="Cambria" w:cs="Cambria"/>
          <w:b w:val="false"/>
          <w:bCs w:val="false"/>
          <w:i/>
          <w:iCs/>
          <w:color w:val="1A1A1A"/>
          <w:sz w:val="22"/>
          <w:szCs w:val="22"/>
        </w:rPr>
        <w:t>M. cosmeticum</w:t>
      </w:r>
      <w:r>
        <w:rPr>
          <w:rFonts w:eastAsia="Cambria" w:cs="Cambria"/>
          <w:b w:val="false"/>
          <w:bCs w:val="false"/>
          <w:i w:val="false"/>
          <w:iCs w:val="false"/>
          <w:color w:val="1A1A1A"/>
          <w:sz w:val="22"/>
          <w:szCs w:val="22"/>
        </w:rPr>
        <w:t xml:space="preserve"> assemblies selected from the NCBI Genome Datasets: GCF_000613185.1, GCF_005670675.1, GCF_039668325.1, GCF_039668265.1, GCA_016197365.1, GCA_000455185.1, and GCA_000987455.1. All 15 assemblies were annotated with Bakta v1.12.0 using the full database v6.0. To provide the Prokka-style combined GFF format expected by Panaroo, each Bakta GFF3 file was paired with its corresponding genome FASTA and converted using </w:t>
      </w:r>
      <w:r>
        <w:rPr>
          <w:rFonts w:eastAsia="Consolas" w:cs="Consolas" w:ascii="Consolas" w:hAnsi="Consolas"/>
          <w:color w:val="9D174D"/>
          <w:sz w:val="20"/>
          <w:szCs w:val="20"/>
        </w:rPr>
        <w:t>convert_bakta_to_prokka_gff.py</w:t>
      </w:r>
      <w:r>
        <w:rPr>
          <w:rFonts w:eastAsia="Cambria" w:cs="Cambria"/>
          <w:b w:val="false"/>
          <w:bCs w:val="false"/>
          <w:i w:val="false"/>
          <w:iCs w:val="false"/>
          <w:color w:val="1A1A1A"/>
          <w:sz w:val="22"/>
          <w:szCs w:val="22"/>
        </w:rPr>
        <w:t>. Sequence identifiers were checked before conversion, and all 96,848 CDS features were retained across the converted inputs.</w:t>
      </w:r>
    </w:p>
    <w:p>
      <w:pPr>
        <w:pStyle w:val="Normal"/>
        <w:keepNext w:val="false"/>
        <w:spacing w:lineRule="auto" w:line="276" w:before="0" w:after="200"/>
        <w:jc w:val="both"/>
        <w:rPr/>
      </w:pPr>
      <w:r>
        <w:rPr>
          <w:rFonts w:eastAsia="Cambria" w:cs="Cambria"/>
          <w:b w:val="false"/>
          <w:bCs w:val="false"/>
          <w:i w:val="false"/>
          <w:iCs w:val="false"/>
          <w:color w:val="1A1A1A"/>
          <w:sz w:val="22"/>
          <w:szCs w:val="22"/>
        </w:rPr>
        <w:t>Panaroo was run in strict cleaning mode with invalid-gene removal enabled (</w:t>
      </w:r>
      <w:r>
        <w:rPr>
          <w:rFonts w:eastAsia="Consolas" w:cs="Consolas" w:ascii="Consolas" w:hAnsi="Consolas"/>
          <w:color w:val="9D174D"/>
          <w:sz w:val="20"/>
          <w:szCs w:val="20"/>
        </w:rPr>
        <w:t>--clean-mode strict --remove-invalid-genes</w:t>
      </w:r>
      <w:r>
        <w:rPr>
          <w:rFonts w:eastAsia="Cambria" w:cs="Cambria"/>
          <w:b w:val="false"/>
          <w:bCs w:val="false"/>
          <w:i w:val="false"/>
          <w:iCs w:val="false"/>
          <w:color w:val="1A1A1A"/>
          <w:sz w:val="22"/>
          <w:szCs w:val="22"/>
        </w:rPr>
        <w:t>). A core-gene alignment was generated with MAFFT [Katoh &amp; Standley, 2013] (</w:t>
      </w:r>
      <w:r>
        <w:rPr>
          <w:rFonts w:eastAsia="Consolas" w:cs="Consolas" w:ascii="Consolas" w:hAnsi="Consolas"/>
          <w:color w:val="9D174D"/>
          <w:sz w:val="20"/>
          <w:szCs w:val="20"/>
        </w:rPr>
        <w:t>-a core --aligner mafft</w:t>
      </w:r>
      <w:r>
        <w:rPr>
          <w:rFonts w:eastAsia="Cambria" w:cs="Cambria"/>
          <w:b w:val="false"/>
          <w:bCs w:val="false"/>
          <w:i w:val="false"/>
          <w:iCs w:val="false"/>
          <w:color w:val="1A1A1A"/>
          <w:sz w:val="22"/>
          <w:szCs w:val="22"/>
        </w:rPr>
        <w:t>), defining core gene families as those present in at least 95% of the genomes (</w:t>
      </w:r>
      <w:r>
        <w:rPr>
          <w:rFonts w:eastAsia="Consolas" w:cs="Consolas" w:ascii="Consolas" w:hAnsi="Consolas"/>
          <w:color w:val="9D174D"/>
          <w:sz w:val="20"/>
          <w:szCs w:val="20"/>
        </w:rPr>
        <w:t>--core_threshold 0.95</w:t>
      </w:r>
      <w:r>
        <w:rPr>
          <w:rFonts w:eastAsia="Cambria" w:cs="Cambria"/>
          <w:b w:val="false"/>
          <w:bCs w:val="false"/>
          <w:i w:val="false"/>
          <w:iCs w:val="false"/>
          <w:color w:val="1A1A1A"/>
          <w:sz w:val="22"/>
          <w:szCs w:val="22"/>
        </w:rPr>
        <w:t>), 32 threads used, then with all remaining parameters left at their defaults. The resulting gene presence/absence matrices and core-gene alignment were retained for downstream comparative analysis.</w:t>
      </w:r>
      <w:r>
        <w:br w:type="page"/>
      </w:r>
    </w:p>
    <w:p>
      <w:pPr>
        <w:pStyle w:val="Heading1"/>
        <w:keepNext w:val="true"/>
        <w:pBdr>
          <w:bottom w:val="single" w:sz="6" w:space="6" w:color="1C2B39"/>
        </w:pBdr>
        <w:spacing w:before="0" w:after="240"/>
        <w:rPr/>
      </w:pPr>
      <w:r>
        <w:rPr>
          <w:rFonts w:eastAsia="Calibri" w:cs="Calibri" w:ascii="Calibri" w:hAnsi="Calibri"/>
          <w:b/>
          <w:bCs/>
          <w:i w:val="false"/>
          <w:iCs w:val="false"/>
          <w:color w:val="1C2B39"/>
          <w:sz w:val="32"/>
          <w:szCs w:val="32"/>
        </w:rPr>
        <w:t>Results and Discussion</w:t>
      </w:r>
    </w:p>
    <w:p>
      <w:pPr>
        <w:pStyle w:val="Normal"/>
        <w:keepNext w:val="true"/>
        <w:spacing w:lineRule="auto" w:line="252" w:before="240" w:after="120"/>
        <w:jc w:val="start"/>
        <w:rPr/>
      </w:pPr>
      <w:r>
        <w:rPr>
          <w:rFonts w:eastAsia="Cambria" w:cs="Cambria"/>
          <w:b/>
          <w:bCs/>
          <w:i w:val="false"/>
          <w:iCs w:val="false"/>
          <w:color w:val="1A1A1A"/>
          <w:sz w:val="19"/>
          <w:szCs w:val="19"/>
        </w:rPr>
        <w:t>Table 1.</w:t>
      </w:r>
      <w:r>
        <w:rPr>
          <w:rFonts w:eastAsia="Cambria" w:cs="Cambria"/>
          <w:b w:val="false"/>
          <w:bCs w:val="false"/>
          <w:i w:val="false"/>
          <w:iCs w:val="false"/>
          <w:color w:val="1A1A1A"/>
          <w:sz w:val="19"/>
          <w:szCs w:val="19"/>
        </w:rPr>
        <w:t xml:space="preserve"> Assembly, structural annotation, and quality statistics for the eight </w:t>
      </w:r>
      <w:r>
        <w:rPr>
          <w:rFonts w:eastAsia="Cambria" w:cs="Cambria"/>
          <w:b w:val="false"/>
          <w:bCs w:val="false"/>
          <w:i/>
          <w:iCs/>
          <w:color w:val="1A1A1A"/>
          <w:sz w:val="19"/>
          <w:szCs w:val="19"/>
        </w:rPr>
        <w:t>Mycolicibacterium cosmeticum</w:t>
      </w:r>
      <w:r>
        <w:rPr>
          <w:rFonts w:eastAsia="Cambria" w:cs="Cambria"/>
          <w:b w:val="false"/>
          <w:bCs w:val="false"/>
          <w:i w:val="false"/>
          <w:iCs w:val="false"/>
          <w:color w:val="1A1A1A"/>
          <w:sz w:val="19"/>
          <w:szCs w:val="19"/>
        </w:rPr>
        <w:t xml:space="preserve"> isolates. Genome coverage was recalculated as the total number of bases in the paired-end short-read statistics divided by the corresponding assembled genome length. GC content and annotation counts were recalculated from the Bakta GenBank records. Completeness and contamination scores were estimated using CheckM2 (general model).</w:t>
      </w:r>
    </w:p>
    <w:tbl>
      <w:tblPr>
        <w:tblW w:w="10080" w:type="dxa"/>
        <w:jc w:val="start"/>
        <w:tblInd w:w="0" w:type="dxa"/>
        <w:tblLayout w:type="fixed"/>
        <w:tblCellMar>
          <w:top w:w="90" w:type="dxa"/>
          <w:start w:w="80" w:type="dxa"/>
          <w:bottom w:w="90" w:type="dxa"/>
          <w:end w:w="80" w:type="dxa"/>
        </w:tblCellMar>
      </w:tblPr>
      <w:tblGrid>
        <w:gridCol w:w="833"/>
        <w:gridCol w:w="1018"/>
        <w:gridCol w:w="1584"/>
        <w:gridCol w:w="929"/>
        <w:gridCol w:w="650"/>
        <w:gridCol w:w="650"/>
        <w:gridCol w:w="651"/>
        <w:gridCol w:w="809"/>
        <w:gridCol w:w="1052"/>
        <w:gridCol w:w="1904"/>
      </w:tblGrid>
      <w:tr>
        <w:trPr>
          <w:tblHeader w:val="true"/>
        </w:trPr>
        <w:tc>
          <w:tcPr>
            <w:tcW w:w="833" w:type="dxa"/>
            <w:tcBorders>
              <w:top w:val="single" w:sz="10" w:space="0" w:color="1C2B39"/>
              <w:bottom w:val="single" w:sz="4" w:space="0" w:color="1C2B39"/>
            </w:tcBorders>
            <w:shd w:color="auto" w:fill="F3F4F6" w:val="clear"/>
            <w:vAlign w:val="center"/>
          </w:tcPr>
          <w:p>
            <w:pPr>
              <w:pStyle w:val="Normal"/>
              <w:jc w:val="start"/>
              <w:rPr/>
            </w:pPr>
            <w:r>
              <w:rPr>
                <w:rFonts w:eastAsia="Cambria" w:cs="Cambria"/>
                <w:b/>
                <w:bCs/>
                <w:i w:val="false"/>
                <w:iCs w:val="false"/>
                <w:color w:val="1C2B39"/>
                <w:sz w:val="17"/>
                <w:szCs w:val="17"/>
              </w:rPr>
              <w:t>Isolate ID</w:t>
            </w:r>
          </w:p>
        </w:tc>
        <w:tc>
          <w:tcPr>
            <w:tcW w:w="1018" w:type="dxa"/>
            <w:tcBorders>
              <w:top w:val="single" w:sz="10" w:space="0" w:color="1C2B39"/>
              <w:bottom w:val="single" w:sz="4" w:space="0" w:color="1C2B39"/>
            </w:tcBorders>
            <w:shd w:color="auto" w:fill="F3F4F6" w:val="clear"/>
            <w:vAlign w:val="center"/>
          </w:tcPr>
          <w:p>
            <w:pPr>
              <w:pStyle w:val="Normal"/>
              <w:jc w:val="end"/>
              <w:rPr/>
            </w:pPr>
            <w:r>
              <w:rPr>
                <w:rFonts w:eastAsia="Cambria" w:cs="Cambria"/>
                <w:b/>
                <w:bCs/>
                <w:i w:val="false"/>
                <w:iCs w:val="false"/>
                <w:color w:val="1C2B39"/>
                <w:sz w:val="17"/>
                <w:szCs w:val="17"/>
              </w:rPr>
              <w:t>Length (bp)</w:t>
            </w:r>
          </w:p>
        </w:tc>
        <w:tc>
          <w:tcPr>
            <w:tcW w:w="1584" w:type="dxa"/>
            <w:tcBorders>
              <w:top w:val="single" w:sz="10" w:space="0" w:color="1C2B39"/>
              <w:bottom w:val="single" w:sz="4" w:space="0" w:color="1C2B39"/>
            </w:tcBorders>
            <w:shd w:color="auto" w:fill="F3F4F6" w:val="clear"/>
            <w:vAlign w:val="center"/>
          </w:tcPr>
          <w:p>
            <w:pPr>
              <w:pStyle w:val="Normal"/>
              <w:jc w:val="end"/>
              <w:rPr/>
            </w:pPr>
            <w:r>
              <w:rPr>
                <w:rFonts w:eastAsia="Cambria" w:cs="Cambria"/>
                <w:b/>
                <w:bCs/>
                <w:i w:val="false"/>
                <w:iCs w:val="false"/>
                <w:color w:val="1C2B39"/>
                <w:sz w:val="17"/>
                <w:szCs w:val="17"/>
              </w:rPr>
              <w:t>Genome Coverage (Short Reads)</w:t>
            </w:r>
          </w:p>
        </w:tc>
        <w:tc>
          <w:tcPr>
            <w:tcW w:w="929" w:type="dxa"/>
            <w:tcBorders>
              <w:top w:val="single" w:sz="10" w:space="0" w:color="1C2B39"/>
              <w:bottom w:val="single" w:sz="4" w:space="0" w:color="1C2B39"/>
            </w:tcBorders>
            <w:shd w:color="auto" w:fill="F3F4F6" w:val="clear"/>
            <w:vAlign w:val="center"/>
          </w:tcPr>
          <w:p>
            <w:pPr>
              <w:pStyle w:val="Normal"/>
              <w:jc w:val="end"/>
              <w:rPr/>
            </w:pPr>
            <w:r>
              <w:rPr>
                <w:rFonts w:eastAsia="Cambria" w:cs="Cambria"/>
                <w:b/>
                <w:bCs/>
                <w:i w:val="false"/>
                <w:iCs w:val="false"/>
                <w:color w:val="1C2B39"/>
                <w:sz w:val="17"/>
                <w:szCs w:val="17"/>
              </w:rPr>
              <w:t>GC Content (%)</w:t>
            </w:r>
          </w:p>
        </w:tc>
        <w:tc>
          <w:tcPr>
            <w:tcW w:w="650" w:type="dxa"/>
            <w:tcBorders>
              <w:top w:val="single" w:sz="10" w:space="0" w:color="1C2B39"/>
              <w:bottom w:val="single" w:sz="4" w:space="0" w:color="1C2B39"/>
            </w:tcBorders>
            <w:shd w:color="auto" w:fill="F3F4F6" w:val="clear"/>
            <w:vAlign w:val="center"/>
          </w:tcPr>
          <w:p>
            <w:pPr>
              <w:pStyle w:val="Normal"/>
              <w:jc w:val="end"/>
              <w:rPr/>
            </w:pPr>
            <w:r>
              <w:rPr>
                <w:rFonts w:eastAsia="Cambria" w:cs="Cambria"/>
                <w:b/>
                <w:bCs/>
                <w:i w:val="false"/>
                <w:iCs w:val="false"/>
                <w:color w:val="1C2B39"/>
                <w:sz w:val="17"/>
                <w:szCs w:val="17"/>
              </w:rPr>
              <w:t>CDSs</w:t>
            </w:r>
          </w:p>
        </w:tc>
        <w:tc>
          <w:tcPr>
            <w:tcW w:w="650" w:type="dxa"/>
            <w:tcBorders>
              <w:top w:val="single" w:sz="10" w:space="0" w:color="1C2B39"/>
              <w:bottom w:val="single" w:sz="4" w:space="0" w:color="1C2B39"/>
            </w:tcBorders>
            <w:shd w:color="auto" w:fill="F3F4F6" w:val="clear"/>
            <w:vAlign w:val="center"/>
          </w:tcPr>
          <w:p>
            <w:pPr>
              <w:pStyle w:val="Normal"/>
              <w:jc w:val="end"/>
              <w:rPr/>
            </w:pPr>
            <w:r>
              <w:rPr>
                <w:rFonts w:eastAsia="Cambria" w:cs="Cambria"/>
                <w:b/>
                <w:bCs/>
                <w:i w:val="false"/>
                <w:iCs w:val="false"/>
                <w:color w:val="1C2B39"/>
                <w:sz w:val="17"/>
                <w:szCs w:val="17"/>
              </w:rPr>
              <w:t>rRNAs</w:t>
            </w:r>
          </w:p>
        </w:tc>
        <w:tc>
          <w:tcPr>
            <w:tcW w:w="651" w:type="dxa"/>
            <w:tcBorders>
              <w:top w:val="single" w:sz="10" w:space="0" w:color="1C2B39"/>
              <w:bottom w:val="single" w:sz="4" w:space="0" w:color="1C2B39"/>
            </w:tcBorders>
            <w:shd w:color="auto" w:fill="F3F4F6" w:val="clear"/>
            <w:vAlign w:val="center"/>
          </w:tcPr>
          <w:p>
            <w:pPr>
              <w:pStyle w:val="Normal"/>
              <w:jc w:val="end"/>
              <w:rPr/>
            </w:pPr>
            <w:r>
              <w:rPr>
                <w:rFonts w:eastAsia="Cambria" w:cs="Cambria"/>
                <w:b/>
                <w:bCs/>
                <w:i w:val="false"/>
                <w:iCs w:val="false"/>
                <w:color w:val="1C2B39"/>
                <w:sz w:val="17"/>
                <w:szCs w:val="17"/>
              </w:rPr>
              <w:t>tRNAs</w:t>
            </w:r>
          </w:p>
        </w:tc>
        <w:tc>
          <w:tcPr>
            <w:tcW w:w="809" w:type="dxa"/>
            <w:tcBorders>
              <w:top w:val="single" w:sz="10" w:space="0" w:color="1C2B39"/>
              <w:bottom w:val="single" w:sz="4" w:space="0" w:color="1C2B39"/>
            </w:tcBorders>
            <w:shd w:color="auto" w:fill="F3F4F6" w:val="clear"/>
            <w:vAlign w:val="center"/>
          </w:tcPr>
          <w:p>
            <w:pPr>
              <w:pStyle w:val="Normal"/>
              <w:jc w:val="center"/>
              <w:rPr/>
            </w:pPr>
            <w:r>
              <w:rPr>
                <w:rFonts w:eastAsia="Cambria" w:cs="Cambria"/>
                <w:b/>
                <w:bCs/>
                <w:i w:val="false"/>
                <w:iCs w:val="false"/>
                <w:color w:val="1C2B39"/>
                <w:sz w:val="17"/>
                <w:szCs w:val="17"/>
              </w:rPr>
              <w:t>oriVs &amp; oriTs</w:t>
            </w:r>
          </w:p>
        </w:tc>
        <w:tc>
          <w:tcPr>
            <w:tcW w:w="1052" w:type="dxa"/>
            <w:tcBorders>
              <w:top w:val="single" w:sz="10" w:space="0" w:color="1C2B39"/>
              <w:bottom w:val="single" w:sz="4" w:space="0" w:color="1C2B39"/>
            </w:tcBorders>
            <w:shd w:color="auto" w:fill="F3F4F6" w:val="clear"/>
            <w:vAlign w:val="center"/>
          </w:tcPr>
          <w:p>
            <w:pPr>
              <w:pStyle w:val="Normal"/>
              <w:jc w:val="end"/>
              <w:rPr/>
            </w:pPr>
            <w:r>
              <w:rPr>
                <w:rFonts w:eastAsia="Cambria" w:cs="Cambria"/>
                <w:b/>
                <w:bCs/>
                <w:i w:val="false"/>
                <w:iCs w:val="false"/>
                <w:color w:val="1C2B39"/>
                <w:sz w:val="17"/>
                <w:szCs w:val="17"/>
              </w:rPr>
              <w:t>Number of Contigs</w:t>
            </w:r>
          </w:p>
        </w:tc>
        <w:tc>
          <w:tcPr>
            <w:tcW w:w="1904" w:type="dxa"/>
            <w:tcBorders>
              <w:top w:val="single" w:sz="10" w:space="0" w:color="1C2B39"/>
              <w:bottom w:val="single" w:sz="4" w:space="0" w:color="1C2B39"/>
            </w:tcBorders>
            <w:shd w:color="auto" w:fill="F3F4F6" w:val="clear"/>
            <w:vAlign w:val="center"/>
          </w:tcPr>
          <w:p>
            <w:pPr>
              <w:pStyle w:val="Normal"/>
              <w:jc w:val="center"/>
              <w:rPr/>
            </w:pPr>
            <w:r>
              <w:rPr>
                <w:rFonts w:eastAsia="Cambria" w:cs="Cambria"/>
                <w:b/>
                <w:bCs/>
                <w:i w:val="false"/>
                <w:iCs w:val="false"/>
                <w:color w:val="1C2B39"/>
                <w:sz w:val="17"/>
                <w:szCs w:val="17"/>
              </w:rPr>
              <w:t>Completeness / Contamination (%)</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ANT01</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6,569,180</w:t>
            </w:r>
          </w:p>
        </w:tc>
        <w:tc>
          <w:tcPr>
            <w:tcW w:w="1584"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22.58×</w:t>
            </w:r>
          </w:p>
        </w:tc>
        <w:tc>
          <w:tcPr>
            <w:tcW w:w="929"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68.22</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6,369</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w:t>
            </w:r>
          </w:p>
        </w:tc>
        <w:tc>
          <w:tcPr>
            <w:tcW w:w="65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47</w:t>
            </w:r>
          </w:p>
        </w:tc>
        <w:tc>
          <w:tcPr>
            <w:tcW w:w="809" w:type="dxa"/>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0 / 0</w:t>
            </w:r>
          </w:p>
        </w:tc>
        <w:tc>
          <w:tcPr>
            <w:tcW w:w="1052"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2</w:t>
            </w:r>
          </w:p>
        </w:tc>
        <w:tc>
          <w:tcPr>
            <w:tcW w:w="1904" w:type="dxa"/>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99.39 / 0.43</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ANT06</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6,546,594</w:t>
            </w:r>
          </w:p>
        </w:tc>
        <w:tc>
          <w:tcPr>
            <w:tcW w:w="1584"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22.51×</w:t>
            </w:r>
          </w:p>
        </w:tc>
        <w:tc>
          <w:tcPr>
            <w:tcW w:w="929"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68.23</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6,334</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w:t>
            </w:r>
          </w:p>
        </w:tc>
        <w:tc>
          <w:tcPr>
            <w:tcW w:w="65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47</w:t>
            </w:r>
          </w:p>
        </w:tc>
        <w:tc>
          <w:tcPr>
            <w:tcW w:w="809" w:type="dxa"/>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0 / 0</w:t>
            </w:r>
          </w:p>
        </w:tc>
        <w:tc>
          <w:tcPr>
            <w:tcW w:w="1052"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2</w:t>
            </w:r>
          </w:p>
        </w:tc>
        <w:tc>
          <w:tcPr>
            <w:tcW w:w="1904" w:type="dxa"/>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99.39 / 0.42</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BODY01</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6,555,275</w:t>
            </w:r>
          </w:p>
        </w:tc>
        <w:tc>
          <w:tcPr>
            <w:tcW w:w="1584"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21.28×</w:t>
            </w:r>
          </w:p>
        </w:tc>
        <w:tc>
          <w:tcPr>
            <w:tcW w:w="929"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68.22</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6,349</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w:t>
            </w:r>
          </w:p>
        </w:tc>
        <w:tc>
          <w:tcPr>
            <w:tcW w:w="65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47</w:t>
            </w:r>
          </w:p>
        </w:tc>
        <w:tc>
          <w:tcPr>
            <w:tcW w:w="809" w:type="dxa"/>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0 / 0</w:t>
            </w:r>
          </w:p>
        </w:tc>
        <w:tc>
          <w:tcPr>
            <w:tcW w:w="1052"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2</w:t>
            </w:r>
          </w:p>
        </w:tc>
        <w:tc>
          <w:tcPr>
            <w:tcW w:w="1904" w:type="dxa"/>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99.39 / 0.41</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BODY06</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6,539,653</w:t>
            </w:r>
          </w:p>
        </w:tc>
        <w:tc>
          <w:tcPr>
            <w:tcW w:w="1584"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25.44×</w:t>
            </w:r>
          </w:p>
        </w:tc>
        <w:tc>
          <w:tcPr>
            <w:tcW w:w="929"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68.23</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6,342</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w:t>
            </w:r>
          </w:p>
        </w:tc>
        <w:tc>
          <w:tcPr>
            <w:tcW w:w="65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47</w:t>
            </w:r>
          </w:p>
        </w:tc>
        <w:tc>
          <w:tcPr>
            <w:tcW w:w="809" w:type="dxa"/>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0 / 0</w:t>
            </w:r>
          </w:p>
        </w:tc>
        <w:tc>
          <w:tcPr>
            <w:tcW w:w="1052"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3</w:t>
            </w:r>
          </w:p>
        </w:tc>
        <w:tc>
          <w:tcPr>
            <w:tcW w:w="1904" w:type="dxa"/>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99.33 / 0.42</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BULB01</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6,562,567</w:t>
            </w:r>
          </w:p>
        </w:tc>
        <w:tc>
          <w:tcPr>
            <w:tcW w:w="1584"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15.44×</w:t>
            </w:r>
          </w:p>
        </w:tc>
        <w:tc>
          <w:tcPr>
            <w:tcW w:w="929"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68.22</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6,361</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w:t>
            </w:r>
          </w:p>
        </w:tc>
        <w:tc>
          <w:tcPr>
            <w:tcW w:w="65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47</w:t>
            </w:r>
          </w:p>
        </w:tc>
        <w:tc>
          <w:tcPr>
            <w:tcW w:w="809" w:type="dxa"/>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0 / 0</w:t>
            </w:r>
          </w:p>
        </w:tc>
        <w:tc>
          <w:tcPr>
            <w:tcW w:w="1052"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2</w:t>
            </w:r>
          </w:p>
        </w:tc>
        <w:tc>
          <w:tcPr>
            <w:tcW w:w="1904" w:type="dxa"/>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99.39 / 0.41</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BULB06</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6,733,065</w:t>
            </w:r>
          </w:p>
        </w:tc>
        <w:tc>
          <w:tcPr>
            <w:tcW w:w="1584"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31.85×</w:t>
            </w:r>
          </w:p>
        </w:tc>
        <w:tc>
          <w:tcPr>
            <w:tcW w:w="929"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68.13</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6,529</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w:t>
            </w:r>
          </w:p>
        </w:tc>
        <w:tc>
          <w:tcPr>
            <w:tcW w:w="65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47</w:t>
            </w:r>
          </w:p>
        </w:tc>
        <w:tc>
          <w:tcPr>
            <w:tcW w:w="809" w:type="dxa"/>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0 / 0</w:t>
            </w:r>
          </w:p>
        </w:tc>
        <w:tc>
          <w:tcPr>
            <w:tcW w:w="1052"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4</w:t>
            </w:r>
          </w:p>
        </w:tc>
        <w:tc>
          <w:tcPr>
            <w:tcW w:w="1904" w:type="dxa"/>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99.39 / 0.42</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DESC01</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6,568,969</w:t>
            </w:r>
          </w:p>
        </w:tc>
        <w:tc>
          <w:tcPr>
            <w:tcW w:w="1584"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13.11×</w:t>
            </w:r>
          </w:p>
        </w:tc>
        <w:tc>
          <w:tcPr>
            <w:tcW w:w="929"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68.22</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6,368</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w:t>
            </w:r>
          </w:p>
        </w:tc>
        <w:tc>
          <w:tcPr>
            <w:tcW w:w="65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47</w:t>
            </w:r>
          </w:p>
        </w:tc>
        <w:tc>
          <w:tcPr>
            <w:tcW w:w="809" w:type="dxa"/>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0 / 0</w:t>
            </w:r>
          </w:p>
        </w:tc>
        <w:tc>
          <w:tcPr>
            <w:tcW w:w="1052"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2</w:t>
            </w:r>
          </w:p>
        </w:tc>
        <w:tc>
          <w:tcPr>
            <w:tcW w:w="1904" w:type="dxa"/>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99.39 / 0.43</w:t>
            </w:r>
          </w:p>
        </w:tc>
      </w:tr>
      <w:tr>
        <w:trPr/>
        <w:tc>
          <w:tcPr>
            <w:tcW w:w="833" w:type="dxa"/>
            <w:tcBorders>
              <w:bottom w:val="single" w:sz="10" w:space="0" w:color="1C2B39"/>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DESC06</w:t>
            </w:r>
          </w:p>
        </w:tc>
        <w:tc>
          <w:tcPr>
            <w:tcW w:w="1018" w:type="dxa"/>
            <w:tcBorders>
              <w:bottom w:val="single" w:sz="10" w:space="0" w:color="1C2B39"/>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6,554,122</w:t>
            </w:r>
          </w:p>
        </w:tc>
        <w:tc>
          <w:tcPr>
            <w:tcW w:w="1584" w:type="dxa"/>
            <w:tcBorders>
              <w:bottom w:val="single" w:sz="10" w:space="0" w:color="1C2B39"/>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12.57×</w:t>
            </w:r>
          </w:p>
        </w:tc>
        <w:tc>
          <w:tcPr>
            <w:tcW w:w="929" w:type="dxa"/>
            <w:tcBorders>
              <w:bottom w:val="single" w:sz="10" w:space="0" w:color="1C2B39"/>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68.22</w:t>
            </w:r>
          </w:p>
        </w:tc>
        <w:tc>
          <w:tcPr>
            <w:tcW w:w="650" w:type="dxa"/>
            <w:tcBorders>
              <w:bottom w:val="single" w:sz="10" w:space="0" w:color="1C2B39"/>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6,346</w:t>
            </w:r>
          </w:p>
        </w:tc>
        <w:tc>
          <w:tcPr>
            <w:tcW w:w="650" w:type="dxa"/>
            <w:tcBorders>
              <w:bottom w:val="single" w:sz="10" w:space="0" w:color="1C2B39"/>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w:t>
            </w:r>
          </w:p>
        </w:tc>
        <w:tc>
          <w:tcPr>
            <w:tcW w:w="651" w:type="dxa"/>
            <w:tcBorders>
              <w:bottom w:val="single" w:sz="10" w:space="0" w:color="1C2B39"/>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47</w:t>
            </w:r>
          </w:p>
        </w:tc>
        <w:tc>
          <w:tcPr>
            <w:tcW w:w="809" w:type="dxa"/>
            <w:tcBorders>
              <w:bottom w:val="single" w:sz="10" w:space="0" w:color="1C2B39"/>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0 / 0</w:t>
            </w:r>
          </w:p>
        </w:tc>
        <w:tc>
          <w:tcPr>
            <w:tcW w:w="1052" w:type="dxa"/>
            <w:tcBorders>
              <w:bottom w:val="single" w:sz="10" w:space="0" w:color="1C2B39"/>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5</w:t>
            </w:r>
          </w:p>
        </w:tc>
        <w:tc>
          <w:tcPr>
            <w:tcW w:w="1904" w:type="dxa"/>
            <w:tcBorders>
              <w:bottom w:val="single" w:sz="10" w:space="0" w:color="1C2B39"/>
            </w:tcBorders>
            <w:tcMar>
              <w:top w:w="70" w:type="dxa"/>
              <w:bottom w:w="70" w:type="dxa"/>
            </w:tcMar>
            <w:vAlign w:val="center"/>
          </w:tcPr>
          <w:p>
            <w:pPr>
              <w:pStyle w:val="Normal"/>
              <w:jc w:val="center"/>
              <w:rPr/>
            </w:pPr>
            <w:r>
              <w:rPr>
                <w:rFonts w:eastAsia="Cambria" w:cs="Cambria"/>
                <w:b w:val="false"/>
                <w:bCs w:val="false"/>
                <w:i w:val="false"/>
                <w:iCs w:val="false"/>
                <w:color w:val="1A1A1A"/>
                <w:sz w:val="17"/>
                <w:szCs w:val="17"/>
              </w:rPr>
              <w:t>99.39 / 0.41</w:t>
            </w:r>
          </w:p>
        </w:tc>
      </w:tr>
    </w:tbl>
    <w:p>
      <w:pPr>
        <w:pStyle w:val="Normal"/>
        <w:spacing w:before="0" w:after="160"/>
        <w:rPr/>
      </w:pPr>
      <w:r>
        <w:rPr/>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Across the eight </w:t>
      </w:r>
      <w:r>
        <w:rPr>
          <w:rFonts w:eastAsia="Cambria" w:cs="Cambria"/>
          <w:b w:val="false"/>
          <w:bCs w:val="false"/>
          <w:i/>
          <w:iCs/>
          <w:color w:val="1A1A1A"/>
          <w:sz w:val="22"/>
          <w:szCs w:val="22"/>
        </w:rPr>
        <w:t>Mycolicibacterium cosmeticum</w:t>
      </w:r>
      <w:r>
        <w:rPr>
          <w:rFonts w:eastAsia="Cambria" w:cs="Cambria"/>
          <w:b w:val="false"/>
          <w:bCs w:val="false"/>
          <w:i w:val="false"/>
          <w:iCs w:val="false"/>
          <w:color w:val="1A1A1A"/>
          <w:sz w:val="22"/>
          <w:szCs w:val="22"/>
        </w:rPr>
        <w:t xml:space="preserve"> isolates, the hybrid assemblies revealed a highly conserved genomic architecture with total genome sizes ranging from 6.54 to 6.73 Mbp and high, uniform GC contents of 68.13%–68.23% (Table 1). Annotation identified 6,334 to 6,529 protein-coding sequences alongside strictly conserved RNA complements (6 rRNAs and 47 tRNAs) across all isolates. The assemblies achieved high contiguity (2–5 contigs), with five isolates resolved into a single closed chromosome (~6.33 Mbp) and one large plasmid-like contig (~212-241 kbp). Notably, in DESC06 (5 contigs), the chromosome was partitioned across a ~5.25 Mbp primary segment (reoriented to </w:t>
      </w:r>
      <w:r>
        <w:rPr>
          <w:rFonts w:eastAsia="Cambria" w:cs="Cambria"/>
          <w:b w:val="false"/>
          <w:bCs w:val="false"/>
          <w:i/>
          <w:iCs/>
          <w:color w:val="1A1A1A"/>
          <w:sz w:val="22"/>
          <w:szCs w:val="22"/>
        </w:rPr>
        <w:t>dnaA</w:t>
      </w:r>
      <w:r>
        <w:rPr>
          <w:rFonts w:eastAsia="Cambria" w:cs="Cambria"/>
          <w:b w:val="false"/>
          <w:bCs w:val="false"/>
          <w:i w:val="false"/>
          <w:iCs w:val="false"/>
          <w:color w:val="1A1A1A"/>
          <w:sz w:val="22"/>
          <w:szCs w:val="22"/>
        </w:rPr>
        <w:t xml:space="preserve">) and a ~1.07 Mbp secondary segment. Evidence from running TYGS evaluation on the secondary segment confirmed it as a fragmented chromosomal region rather than an unrelated replicon, yielding a d4 dDDH value of 84.6% (CI: 81.8%–87.0%) against </w:t>
      </w:r>
      <w:r>
        <w:rPr>
          <w:rFonts w:eastAsia="Cambria" w:cs="Cambria"/>
          <w:b w:val="false"/>
          <w:bCs w:val="false"/>
          <w:i/>
          <w:iCs/>
          <w:color w:val="1A1A1A"/>
          <w:sz w:val="22"/>
          <w:szCs w:val="22"/>
        </w:rPr>
        <w:t>M. cosmeticum</w:t>
      </w:r>
      <w:r>
        <w:rPr>
          <w:rFonts w:eastAsia="Cambria" w:cs="Cambria"/>
          <w:b w:val="false"/>
          <w:bCs w:val="false"/>
          <w:i w:val="false"/>
          <w:iCs w:val="false"/>
          <w:color w:val="1A1A1A"/>
          <w:sz w:val="22"/>
          <w:szCs w:val="22"/>
        </w:rPr>
        <w:t xml:space="preserve"> DSM 44829, with their combined length (5.25 + 1.07 ≈ 6.32 Mbp) aligning with the intact ~6.33 Mbp chromosomes of the other isolates. This chromosomal attribution was also supported by geNomad classification, which identified the three smaller contigs in DESC06 (7.5–162.8 kbp) as plasmids (scores 0.87–0.99) while excluding the 1.07 Mbp fragment from plasmid designation, detecting only a localized proviral remnant (6.1 kbp). Supported by short-read polishing coverages ranging from 12.57× to 31.85×, all assemblies are deemed of high quality with CheckM2 general completeness exceeding 99.3% and negligible contamination (0.41%–0.43%), establishing high-confidence complete genomes for downstream comparative analysis.</w:t>
      </w:r>
    </w:p>
    <w:p>
      <w:pPr>
        <w:pStyle w:val="Normal"/>
        <w:keepNext w:val="true"/>
        <w:spacing w:lineRule="auto" w:line="252" w:before="240" w:after="120"/>
        <w:jc w:val="start"/>
        <w:rPr/>
      </w:pPr>
      <w:r>
        <w:rPr>
          <w:rFonts w:eastAsia="Cambria" w:cs="Cambria"/>
          <w:b/>
          <w:bCs/>
          <w:i w:val="false"/>
          <w:iCs w:val="false"/>
          <w:color w:val="1A1A1A"/>
          <w:sz w:val="19"/>
          <w:szCs w:val="19"/>
        </w:rPr>
        <w:t>Table 2.</w:t>
      </w:r>
      <w:r>
        <w:rPr>
          <w:rFonts w:eastAsia="Cambria" w:cs="Cambria"/>
          <w:b w:val="false"/>
          <w:bCs w:val="false"/>
          <w:i w:val="false"/>
          <w:iCs w:val="false"/>
          <w:color w:val="1A1A1A"/>
          <w:sz w:val="19"/>
          <w:szCs w:val="19"/>
        </w:rPr>
        <w:t xml:space="preserve"> GTDB-Tk and TYGS taxonomic summary for the eight isolates. The d4 dDDH column reports the maximum d4 value in each isolate's TYGS pairwise comparison, and the closest strain ID is the TYGS deposit identifier.</w:t>
      </w:r>
    </w:p>
    <w:tbl>
      <w:tblPr>
        <w:tblW w:w="10080" w:type="dxa"/>
        <w:jc w:val="start"/>
        <w:tblInd w:w="0" w:type="dxa"/>
        <w:tblLayout w:type="fixed"/>
        <w:tblCellMar>
          <w:top w:w="90" w:type="dxa"/>
          <w:start w:w="80" w:type="dxa"/>
          <w:bottom w:w="90" w:type="dxa"/>
          <w:end w:w="80" w:type="dxa"/>
        </w:tblCellMar>
      </w:tblPr>
      <w:tblGrid>
        <w:gridCol w:w="953"/>
        <w:gridCol w:w="2264"/>
        <w:gridCol w:w="671"/>
        <w:gridCol w:w="651"/>
        <w:gridCol w:w="2241"/>
        <w:gridCol w:w="672"/>
        <w:gridCol w:w="1035"/>
        <w:gridCol w:w="1593"/>
      </w:tblGrid>
      <w:tr>
        <w:trPr>
          <w:tblHeader w:val="true"/>
        </w:trPr>
        <w:tc>
          <w:tcPr>
            <w:tcW w:w="953" w:type="dxa"/>
            <w:tcBorders>
              <w:top w:val="single" w:sz="10" w:space="0" w:color="1C2B39"/>
              <w:bottom w:val="single" w:sz="4" w:space="0" w:color="1C2B39"/>
            </w:tcBorders>
            <w:shd w:color="auto" w:fill="F3F4F6" w:val="clear"/>
            <w:vAlign w:val="center"/>
          </w:tcPr>
          <w:p>
            <w:pPr>
              <w:pStyle w:val="Normal"/>
              <w:jc w:val="start"/>
              <w:rPr/>
            </w:pPr>
            <w:r>
              <w:rPr>
                <w:rFonts w:eastAsia="Cambria" w:cs="Cambria"/>
                <w:b/>
                <w:bCs/>
                <w:i w:val="false"/>
                <w:iCs w:val="false"/>
                <w:color w:val="1C2B39"/>
                <w:sz w:val="17"/>
                <w:szCs w:val="17"/>
              </w:rPr>
              <w:t>Isolate ID</w:t>
            </w:r>
          </w:p>
        </w:tc>
        <w:tc>
          <w:tcPr>
            <w:tcW w:w="2264" w:type="dxa"/>
            <w:tcBorders>
              <w:top w:val="single" w:sz="10" w:space="0" w:color="1C2B39"/>
              <w:bottom w:val="single" w:sz="4" w:space="0" w:color="1C2B39"/>
            </w:tcBorders>
            <w:shd w:color="auto" w:fill="F3F4F6" w:val="clear"/>
            <w:vAlign w:val="center"/>
          </w:tcPr>
          <w:p>
            <w:pPr>
              <w:pStyle w:val="Normal"/>
              <w:jc w:val="start"/>
              <w:rPr/>
            </w:pPr>
            <w:r>
              <w:rPr>
                <w:rFonts w:eastAsia="Cambria" w:cs="Cambria"/>
                <w:b/>
                <w:bCs/>
                <w:i w:val="false"/>
                <w:iCs w:val="false"/>
                <w:color w:val="1C2B39"/>
                <w:sz w:val="17"/>
                <w:szCs w:val="17"/>
              </w:rPr>
              <w:t>Closest Genome Reference</w:t>
            </w:r>
          </w:p>
        </w:tc>
        <w:tc>
          <w:tcPr>
            <w:tcW w:w="671" w:type="dxa"/>
            <w:tcBorders>
              <w:top w:val="single" w:sz="10" w:space="0" w:color="1C2B39"/>
              <w:bottom w:val="single" w:sz="4" w:space="0" w:color="1C2B39"/>
            </w:tcBorders>
            <w:shd w:color="auto" w:fill="F3F4F6" w:val="clear"/>
            <w:vAlign w:val="center"/>
          </w:tcPr>
          <w:p>
            <w:pPr>
              <w:pStyle w:val="Normal"/>
              <w:jc w:val="end"/>
              <w:rPr/>
            </w:pPr>
            <w:r>
              <w:rPr>
                <w:rFonts w:eastAsia="Cambria" w:cs="Cambria"/>
                <w:b/>
                <w:bCs/>
                <w:i w:val="false"/>
                <w:iCs w:val="false"/>
                <w:color w:val="1C2B39"/>
                <w:sz w:val="17"/>
                <w:szCs w:val="17"/>
              </w:rPr>
              <w:t>ANI (%)</w:t>
            </w:r>
          </w:p>
        </w:tc>
        <w:tc>
          <w:tcPr>
            <w:tcW w:w="651" w:type="dxa"/>
            <w:tcBorders>
              <w:top w:val="single" w:sz="10" w:space="0" w:color="1C2B39"/>
              <w:bottom w:val="single" w:sz="4" w:space="0" w:color="1C2B39"/>
            </w:tcBorders>
            <w:shd w:color="auto" w:fill="F3F4F6" w:val="clear"/>
            <w:vAlign w:val="center"/>
          </w:tcPr>
          <w:p>
            <w:pPr>
              <w:pStyle w:val="Normal"/>
              <w:jc w:val="end"/>
              <w:rPr/>
            </w:pPr>
            <w:r>
              <w:rPr>
                <w:rFonts w:eastAsia="Cambria" w:cs="Cambria"/>
                <w:b/>
                <w:bCs/>
                <w:i w:val="false"/>
                <w:iCs w:val="false"/>
                <w:color w:val="1C2B39"/>
                <w:sz w:val="17"/>
                <w:szCs w:val="17"/>
              </w:rPr>
              <w:t>AF</w:t>
            </w:r>
          </w:p>
        </w:tc>
        <w:tc>
          <w:tcPr>
            <w:tcW w:w="2241" w:type="dxa"/>
            <w:tcBorders>
              <w:top w:val="single" w:sz="10" w:space="0" w:color="1C2B39"/>
              <w:bottom w:val="single" w:sz="4" w:space="0" w:color="1C2B39"/>
            </w:tcBorders>
            <w:shd w:color="auto" w:fill="F3F4F6" w:val="clear"/>
            <w:vAlign w:val="center"/>
          </w:tcPr>
          <w:p>
            <w:pPr>
              <w:pStyle w:val="Normal"/>
              <w:jc w:val="end"/>
              <w:rPr/>
            </w:pPr>
            <w:r>
              <w:rPr>
                <w:rFonts w:eastAsia="Cambria" w:cs="Cambria"/>
                <w:b/>
                <w:bCs/>
                <w:i w:val="false"/>
                <w:iCs w:val="false"/>
                <w:color w:val="1C2B39"/>
                <w:sz w:val="17"/>
                <w:szCs w:val="17"/>
              </w:rPr>
              <w:t>Closest Placement Radius</w:t>
            </w:r>
          </w:p>
        </w:tc>
        <w:tc>
          <w:tcPr>
            <w:tcW w:w="672" w:type="dxa"/>
            <w:tcBorders>
              <w:top w:val="single" w:sz="10" w:space="0" w:color="1C2B39"/>
              <w:bottom w:val="single" w:sz="4" w:space="0" w:color="1C2B39"/>
            </w:tcBorders>
            <w:shd w:color="auto" w:fill="F3F4F6" w:val="clear"/>
            <w:vAlign w:val="center"/>
          </w:tcPr>
          <w:p>
            <w:pPr>
              <w:pStyle w:val="Normal"/>
              <w:jc w:val="end"/>
              <w:rPr/>
            </w:pPr>
            <w:r>
              <w:rPr>
                <w:rFonts w:eastAsia="Cambria" w:cs="Cambria"/>
                <w:b/>
                <w:bCs/>
                <w:i w:val="false"/>
                <w:iCs w:val="false"/>
                <w:color w:val="1C2B39"/>
                <w:sz w:val="17"/>
                <w:szCs w:val="17"/>
              </w:rPr>
              <w:t>MSA (%)</w:t>
            </w:r>
          </w:p>
        </w:tc>
        <w:tc>
          <w:tcPr>
            <w:tcW w:w="1035" w:type="dxa"/>
            <w:tcBorders>
              <w:top w:val="single" w:sz="10" w:space="0" w:color="1C2B39"/>
              <w:bottom w:val="single" w:sz="4" w:space="0" w:color="1C2B39"/>
            </w:tcBorders>
            <w:shd w:color="auto" w:fill="F3F4F6" w:val="clear"/>
            <w:vAlign w:val="center"/>
          </w:tcPr>
          <w:p>
            <w:pPr>
              <w:pStyle w:val="Normal"/>
              <w:jc w:val="end"/>
              <w:rPr/>
            </w:pPr>
            <w:r>
              <w:rPr>
                <w:rFonts w:eastAsia="Cambria" w:cs="Cambria"/>
                <w:b/>
                <w:bCs/>
                <w:i w:val="false"/>
                <w:iCs w:val="false"/>
                <w:color w:val="1C2B39"/>
                <w:sz w:val="17"/>
                <w:szCs w:val="17"/>
              </w:rPr>
              <w:t>d4 dDDH (%)</w:t>
            </w:r>
          </w:p>
        </w:tc>
        <w:tc>
          <w:tcPr>
            <w:tcW w:w="1593" w:type="dxa"/>
            <w:tcBorders>
              <w:top w:val="single" w:sz="10" w:space="0" w:color="1C2B39"/>
              <w:bottom w:val="single" w:sz="4" w:space="0" w:color="1C2B39"/>
            </w:tcBorders>
            <w:shd w:color="auto" w:fill="F3F4F6" w:val="clear"/>
            <w:vAlign w:val="center"/>
          </w:tcPr>
          <w:p>
            <w:pPr>
              <w:pStyle w:val="Normal"/>
              <w:jc w:val="start"/>
              <w:rPr/>
            </w:pPr>
            <w:r>
              <w:rPr>
                <w:rFonts w:eastAsia="Cambria" w:cs="Cambria"/>
                <w:b/>
                <w:bCs/>
                <w:i w:val="false"/>
                <w:iCs w:val="false"/>
                <w:color w:val="1C2B39"/>
                <w:sz w:val="17"/>
                <w:szCs w:val="17"/>
              </w:rPr>
              <w:t>Closest Strain ID</w:t>
            </w:r>
          </w:p>
        </w:tc>
      </w:tr>
      <w:tr>
        <w:trPr/>
        <w:tc>
          <w:tcPr>
            <w:tcW w:w="95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ANT01</w:t>
            </w:r>
          </w:p>
        </w:tc>
        <w:tc>
          <w:tcPr>
            <w:tcW w:w="226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GCF_000613185.1</w:t>
            </w:r>
          </w:p>
        </w:tc>
        <w:tc>
          <w:tcPr>
            <w:tcW w:w="67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98.57</w:t>
            </w:r>
          </w:p>
        </w:tc>
        <w:tc>
          <w:tcPr>
            <w:tcW w:w="65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0.915</w:t>
            </w:r>
          </w:p>
        </w:tc>
        <w:tc>
          <w:tcPr>
            <w:tcW w:w="224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95.0</w:t>
            </w:r>
          </w:p>
        </w:tc>
        <w:tc>
          <w:tcPr>
            <w:tcW w:w="672"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96.37</w:t>
            </w:r>
          </w:p>
        </w:tc>
        <w:tc>
          <w:tcPr>
            <w:tcW w:w="1035"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87.0</w:t>
            </w:r>
          </w:p>
        </w:tc>
        <w:tc>
          <w:tcPr>
            <w:tcW w:w="159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DSM 44829</w:t>
            </w:r>
          </w:p>
        </w:tc>
      </w:tr>
      <w:tr>
        <w:trPr/>
        <w:tc>
          <w:tcPr>
            <w:tcW w:w="95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ANT06</w:t>
            </w:r>
          </w:p>
        </w:tc>
        <w:tc>
          <w:tcPr>
            <w:tcW w:w="226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GCF_000613185.1</w:t>
            </w:r>
          </w:p>
        </w:tc>
        <w:tc>
          <w:tcPr>
            <w:tcW w:w="67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98.57</w:t>
            </w:r>
          </w:p>
        </w:tc>
        <w:tc>
          <w:tcPr>
            <w:tcW w:w="65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0.915</w:t>
            </w:r>
          </w:p>
        </w:tc>
        <w:tc>
          <w:tcPr>
            <w:tcW w:w="224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95.0</w:t>
            </w:r>
          </w:p>
        </w:tc>
        <w:tc>
          <w:tcPr>
            <w:tcW w:w="672"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96.37</w:t>
            </w:r>
          </w:p>
        </w:tc>
        <w:tc>
          <w:tcPr>
            <w:tcW w:w="1035"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87.0</w:t>
            </w:r>
          </w:p>
        </w:tc>
        <w:tc>
          <w:tcPr>
            <w:tcW w:w="159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DSM 44829</w:t>
            </w:r>
          </w:p>
        </w:tc>
      </w:tr>
      <w:tr>
        <w:trPr/>
        <w:tc>
          <w:tcPr>
            <w:tcW w:w="95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BODY01</w:t>
            </w:r>
          </w:p>
        </w:tc>
        <w:tc>
          <w:tcPr>
            <w:tcW w:w="226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GCF_000613185.1</w:t>
            </w:r>
          </w:p>
        </w:tc>
        <w:tc>
          <w:tcPr>
            <w:tcW w:w="67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98.57</w:t>
            </w:r>
          </w:p>
        </w:tc>
        <w:tc>
          <w:tcPr>
            <w:tcW w:w="65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0.915</w:t>
            </w:r>
          </w:p>
        </w:tc>
        <w:tc>
          <w:tcPr>
            <w:tcW w:w="224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95.0</w:t>
            </w:r>
          </w:p>
        </w:tc>
        <w:tc>
          <w:tcPr>
            <w:tcW w:w="672"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96.37</w:t>
            </w:r>
          </w:p>
        </w:tc>
        <w:tc>
          <w:tcPr>
            <w:tcW w:w="1035"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87.0</w:t>
            </w:r>
          </w:p>
        </w:tc>
        <w:tc>
          <w:tcPr>
            <w:tcW w:w="159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DSM 44829</w:t>
            </w:r>
          </w:p>
        </w:tc>
      </w:tr>
      <w:tr>
        <w:trPr/>
        <w:tc>
          <w:tcPr>
            <w:tcW w:w="95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BODY06</w:t>
            </w:r>
          </w:p>
        </w:tc>
        <w:tc>
          <w:tcPr>
            <w:tcW w:w="226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GCF_000613185.1</w:t>
            </w:r>
          </w:p>
        </w:tc>
        <w:tc>
          <w:tcPr>
            <w:tcW w:w="67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98.57</w:t>
            </w:r>
          </w:p>
        </w:tc>
        <w:tc>
          <w:tcPr>
            <w:tcW w:w="65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0.915</w:t>
            </w:r>
          </w:p>
        </w:tc>
        <w:tc>
          <w:tcPr>
            <w:tcW w:w="224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95.0</w:t>
            </w:r>
          </w:p>
        </w:tc>
        <w:tc>
          <w:tcPr>
            <w:tcW w:w="672"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96.37</w:t>
            </w:r>
          </w:p>
        </w:tc>
        <w:tc>
          <w:tcPr>
            <w:tcW w:w="1035"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86.9</w:t>
            </w:r>
          </w:p>
        </w:tc>
        <w:tc>
          <w:tcPr>
            <w:tcW w:w="159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DSM 44829</w:t>
            </w:r>
          </w:p>
        </w:tc>
      </w:tr>
      <w:tr>
        <w:trPr/>
        <w:tc>
          <w:tcPr>
            <w:tcW w:w="95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BULB01</w:t>
            </w:r>
          </w:p>
        </w:tc>
        <w:tc>
          <w:tcPr>
            <w:tcW w:w="226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GCF_000613185.1</w:t>
            </w:r>
          </w:p>
        </w:tc>
        <w:tc>
          <w:tcPr>
            <w:tcW w:w="67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98.57</w:t>
            </w:r>
          </w:p>
        </w:tc>
        <w:tc>
          <w:tcPr>
            <w:tcW w:w="65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0.915</w:t>
            </w:r>
          </w:p>
        </w:tc>
        <w:tc>
          <w:tcPr>
            <w:tcW w:w="224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95.0</w:t>
            </w:r>
          </w:p>
        </w:tc>
        <w:tc>
          <w:tcPr>
            <w:tcW w:w="672"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96.37</w:t>
            </w:r>
          </w:p>
        </w:tc>
        <w:tc>
          <w:tcPr>
            <w:tcW w:w="1035"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87.0</w:t>
            </w:r>
          </w:p>
        </w:tc>
        <w:tc>
          <w:tcPr>
            <w:tcW w:w="159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DSM 44829</w:t>
            </w:r>
          </w:p>
        </w:tc>
      </w:tr>
      <w:tr>
        <w:trPr/>
        <w:tc>
          <w:tcPr>
            <w:tcW w:w="95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BULB06</w:t>
            </w:r>
          </w:p>
        </w:tc>
        <w:tc>
          <w:tcPr>
            <w:tcW w:w="226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GCF_000613185.1</w:t>
            </w:r>
          </w:p>
        </w:tc>
        <w:tc>
          <w:tcPr>
            <w:tcW w:w="67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98.57</w:t>
            </w:r>
          </w:p>
        </w:tc>
        <w:tc>
          <w:tcPr>
            <w:tcW w:w="65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0.915</w:t>
            </w:r>
          </w:p>
        </w:tc>
        <w:tc>
          <w:tcPr>
            <w:tcW w:w="224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95.0</w:t>
            </w:r>
          </w:p>
        </w:tc>
        <w:tc>
          <w:tcPr>
            <w:tcW w:w="672"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96.37</w:t>
            </w:r>
          </w:p>
        </w:tc>
        <w:tc>
          <w:tcPr>
            <w:tcW w:w="1035"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87.0</w:t>
            </w:r>
          </w:p>
        </w:tc>
        <w:tc>
          <w:tcPr>
            <w:tcW w:w="159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DSM 44829</w:t>
            </w:r>
          </w:p>
        </w:tc>
      </w:tr>
      <w:tr>
        <w:trPr/>
        <w:tc>
          <w:tcPr>
            <w:tcW w:w="95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DESC01</w:t>
            </w:r>
          </w:p>
        </w:tc>
        <w:tc>
          <w:tcPr>
            <w:tcW w:w="226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GCF_000613185.1</w:t>
            </w:r>
          </w:p>
        </w:tc>
        <w:tc>
          <w:tcPr>
            <w:tcW w:w="67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98.57</w:t>
            </w:r>
          </w:p>
        </w:tc>
        <w:tc>
          <w:tcPr>
            <w:tcW w:w="65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0.915</w:t>
            </w:r>
          </w:p>
        </w:tc>
        <w:tc>
          <w:tcPr>
            <w:tcW w:w="2241"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95.0</w:t>
            </w:r>
          </w:p>
        </w:tc>
        <w:tc>
          <w:tcPr>
            <w:tcW w:w="672"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96.37</w:t>
            </w:r>
          </w:p>
        </w:tc>
        <w:tc>
          <w:tcPr>
            <w:tcW w:w="1035"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87.0</w:t>
            </w:r>
          </w:p>
        </w:tc>
        <w:tc>
          <w:tcPr>
            <w:tcW w:w="159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DSM 44829</w:t>
            </w:r>
          </w:p>
        </w:tc>
      </w:tr>
      <w:tr>
        <w:trPr/>
        <w:tc>
          <w:tcPr>
            <w:tcW w:w="953" w:type="dxa"/>
            <w:tcBorders>
              <w:bottom w:val="single" w:sz="10" w:space="0" w:color="1C2B39"/>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DESC06</w:t>
            </w:r>
          </w:p>
        </w:tc>
        <w:tc>
          <w:tcPr>
            <w:tcW w:w="2264" w:type="dxa"/>
            <w:tcBorders>
              <w:bottom w:val="single" w:sz="10" w:space="0" w:color="1C2B39"/>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GCF_000613185.1</w:t>
            </w:r>
          </w:p>
        </w:tc>
        <w:tc>
          <w:tcPr>
            <w:tcW w:w="671" w:type="dxa"/>
            <w:tcBorders>
              <w:bottom w:val="single" w:sz="10" w:space="0" w:color="1C2B39"/>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98.57</w:t>
            </w:r>
          </w:p>
        </w:tc>
        <w:tc>
          <w:tcPr>
            <w:tcW w:w="651" w:type="dxa"/>
            <w:tcBorders>
              <w:bottom w:val="single" w:sz="10" w:space="0" w:color="1C2B39"/>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0.913</w:t>
            </w:r>
          </w:p>
        </w:tc>
        <w:tc>
          <w:tcPr>
            <w:tcW w:w="2241" w:type="dxa"/>
            <w:tcBorders>
              <w:bottom w:val="single" w:sz="10" w:space="0" w:color="1C2B39"/>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95.0</w:t>
            </w:r>
          </w:p>
        </w:tc>
        <w:tc>
          <w:tcPr>
            <w:tcW w:w="672" w:type="dxa"/>
            <w:tcBorders>
              <w:bottom w:val="single" w:sz="10" w:space="0" w:color="1C2B39"/>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96.37</w:t>
            </w:r>
          </w:p>
        </w:tc>
        <w:tc>
          <w:tcPr>
            <w:tcW w:w="1035" w:type="dxa"/>
            <w:tcBorders>
              <w:bottom w:val="single" w:sz="10" w:space="0" w:color="1C2B39"/>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87.0</w:t>
            </w:r>
          </w:p>
        </w:tc>
        <w:tc>
          <w:tcPr>
            <w:tcW w:w="1593" w:type="dxa"/>
            <w:tcBorders>
              <w:bottom w:val="single" w:sz="10" w:space="0" w:color="1C2B39"/>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DSM 44829</w:t>
            </w:r>
          </w:p>
        </w:tc>
      </w:tr>
    </w:tbl>
    <w:p>
      <w:pPr>
        <w:pStyle w:val="Normal"/>
        <w:spacing w:before="0" w:after="160"/>
        <w:rPr/>
      </w:pPr>
      <w:r>
        <w:rPr/>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Phylogenomic classification via GTDB-Tk and TYGS unambiguously confirmed all eight isolates as </w:t>
      </w:r>
      <w:r>
        <w:rPr>
          <w:rFonts w:eastAsia="Cambria" w:cs="Cambria"/>
          <w:b w:val="false"/>
          <w:bCs w:val="false"/>
          <w:i/>
          <w:iCs/>
          <w:color w:val="1A1A1A"/>
          <w:sz w:val="22"/>
          <w:szCs w:val="22"/>
        </w:rPr>
        <w:t>Mycolicibacterium cosmeticum</w:t>
      </w:r>
      <w:r>
        <w:rPr>
          <w:rFonts w:eastAsia="Cambria" w:cs="Cambria"/>
          <w:b w:val="false"/>
          <w:bCs w:val="false"/>
          <w:i w:val="false"/>
          <w:iCs w:val="false"/>
          <w:color w:val="1A1A1A"/>
          <w:sz w:val="22"/>
          <w:szCs w:val="22"/>
        </w:rPr>
        <w:t>, sharing 98.57% ANI with reference genome GCF_000613185.1 across high marker alignment coverage (96.37% MSA).</w:t>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Genome assembly completeness was assessed using BUSCO v5 against the lineage-specific </w:t>
      </w:r>
      <w:r>
        <w:rPr>
          <w:rFonts w:eastAsia="Consolas" w:cs="Consolas" w:ascii="Consolas" w:hAnsi="Consolas"/>
          <w:color w:val="9D174D"/>
          <w:sz w:val="20"/>
          <w:szCs w:val="20"/>
        </w:rPr>
        <w:t>mycolicibacterium_odb12</w:t>
      </w:r>
      <w:r>
        <w:rPr>
          <w:rFonts w:eastAsia="Cambria" w:cs="Cambria"/>
          <w:b w:val="false"/>
          <w:bCs w:val="false"/>
          <w:i w:val="false"/>
          <w:iCs w:val="false"/>
          <w:color w:val="1A1A1A"/>
          <w:sz w:val="22"/>
          <w:szCs w:val="22"/>
        </w:rPr>
        <w:t xml:space="preserve"> dataset comprising 1,712 single-copy orthologs. All eight </w:t>
      </w:r>
      <w:r>
        <w:rPr>
          <w:rFonts w:eastAsia="Cambria" w:cs="Cambria"/>
          <w:b w:val="false"/>
          <w:bCs w:val="false"/>
          <w:i/>
          <w:iCs/>
          <w:color w:val="1A1A1A"/>
          <w:sz w:val="22"/>
          <w:szCs w:val="22"/>
        </w:rPr>
        <w:t>Mycolicibacterium cosmeticum</w:t>
      </w:r>
      <w:r>
        <w:rPr>
          <w:rFonts w:eastAsia="Cambria" w:cs="Cambria"/>
          <w:b w:val="false"/>
          <w:bCs w:val="false"/>
          <w:i w:val="false"/>
          <w:iCs w:val="false"/>
          <w:color w:val="1A1A1A"/>
          <w:sz w:val="22"/>
          <w:szCs w:val="22"/>
        </w:rPr>
        <w:t xml:space="preserve"> assemblies exhibited near-complete gene recovery, with total completeness values exceeding 99.0% (ANT06, BULB01, BULB06, and DESC01 at 99.24%; ANT01 at 99.18%; BODY01, BODY06, and DESC06 at 99.07%). The vast majority of benchmark genes were identified in single copy (1,684–1,688 genes; 98.4%–98.6%), while duplicated (0.6%–0.8%), fragmented (~0.5%), and missing (&lt;0.5%) orthologs remained negligible across all isolates, validating the structural integrity of the polished genomes. Complementing the BUSCO benchmarks, genome quality assessment with CheckM2 demonstrated near-perfect completeness and high purity across all eight isolates, with lineage-specific completeness reaching 100.0% (99.33%–99.39% general completeness) and exceptionally low contamination rates (0.41%–0.43%), alongside consistent coding densities of 92.4%–92.7%.</w:t>
      </w:r>
    </w:p>
    <w:p>
      <w:pPr>
        <w:pStyle w:val="Normal"/>
        <w:spacing w:lineRule="auto" w:line="276" w:before="0" w:after="200"/>
        <w:jc w:val="both"/>
        <w:rPr>
          <w:rFonts w:ascii="Cambria" w:hAnsi="Cambria" w:eastAsia="Cambria" w:cs="Cambria"/>
          <w:b w:val="false"/>
          <w:bCs w:val="false"/>
          <w:i w:val="false"/>
          <w:iCs w:val="false"/>
          <w:color w:val="1A1A1A"/>
          <w:sz w:val="22"/>
          <w:szCs w:val="22"/>
        </w:rPr>
      </w:pPr>
      <w:r>
        <w:rPr>
          <w:rFonts w:eastAsia="Cambria" w:cs="Cambria"/>
          <w:b w:val="false"/>
          <w:bCs w:val="false"/>
          <w:i w:val="false"/>
          <w:iCs w:val="false"/>
          <w:color w:val="1A1A1A"/>
          <w:sz w:val="22"/>
          <w:szCs w:val="22"/>
        </w:rPr>
      </w:r>
    </w:p>
    <w:p>
      <w:pPr>
        <w:pStyle w:val="Normal"/>
        <w:spacing w:lineRule="auto" w:line="276" w:before="0" w:after="200"/>
        <w:jc w:val="both"/>
        <w:rPr>
          <w:rFonts w:ascii="Cambria" w:hAnsi="Cambria" w:eastAsia="Cambria" w:cs="Cambria"/>
          <w:b w:val="false"/>
          <w:bCs w:val="false"/>
          <w:i w:val="false"/>
          <w:iCs w:val="false"/>
          <w:color w:val="1A1A1A"/>
          <w:sz w:val="22"/>
          <w:szCs w:val="22"/>
        </w:rPr>
      </w:pPr>
      <w:r>
        <w:rPr>
          <w:rFonts w:eastAsia="Cambria" w:cs="Cambria"/>
          <w:b w:val="false"/>
          <w:bCs w:val="false"/>
          <w:i w:val="false"/>
          <w:iCs w:val="false"/>
          <w:color w:val="1A1A1A"/>
          <w:sz w:val="22"/>
          <w:szCs w:val="22"/>
        </w:rPr>
      </w:r>
    </w:p>
    <w:p>
      <w:pPr>
        <w:pStyle w:val="Normal"/>
        <w:spacing w:lineRule="auto" w:line="276" w:before="0" w:after="200"/>
        <w:jc w:val="both"/>
        <w:rPr>
          <w:rFonts w:ascii="Cambria" w:hAnsi="Cambria" w:eastAsia="Cambria" w:cs="Cambria"/>
          <w:b w:val="false"/>
          <w:bCs w:val="false"/>
          <w:i w:val="false"/>
          <w:iCs w:val="false"/>
          <w:color w:val="1A1A1A"/>
          <w:sz w:val="22"/>
          <w:szCs w:val="22"/>
        </w:rPr>
      </w:pPr>
      <w:r>
        <w:rPr>
          <w:rFonts w:eastAsia="Cambria" w:cs="Cambria"/>
          <w:b w:val="false"/>
          <w:bCs w:val="false"/>
          <w:i w:val="false"/>
          <w:iCs w:val="false"/>
          <w:color w:val="1A1A1A"/>
          <w:sz w:val="22"/>
          <w:szCs w:val="22"/>
        </w:rPr>
      </w:r>
    </w:p>
    <w:p>
      <w:pPr>
        <w:pStyle w:val="Normal"/>
        <w:spacing w:lineRule="auto" w:line="276" w:before="0" w:after="200"/>
        <w:jc w:val="both"/>
        <w:rPr>
          <w:rFonts w:ascii="Cambria" w:hAnsi="Cambria" w:eastAsia="Cambria" w:cs="Cambria"/>
          <w:b w:val="false"/>
          <w:bCs w:val="false"/>
          <w:i w:val="false"/>
          <w:iCs w:val="false"/>
          <w:color w:val="1A1A1A"/>
          <w:sz w:val="22"/>
          <w:szCs w:val="22"/>
        </w:rPr>
      </w:pPr>
      <w:r>
        <w:rPr>
          <w:rFonts w:eastAsia="Cambria" w:cs="Cambria"/>
          <w:b w:val="false"/>
          <w:bCs w:val="false"/>
          <w:i w:val="false"/>
          <w:iCs w:val="false"/>
          <w:color w:val="1A1A1A"/>
          <w:sz w:val="22"/>
          <w:szCs w:val="22"/>
        </w:rPr>
      </w:r>
    </w:p>
    <w:p>
      <w:pPr>
        <w:pStyle w:val="Normal"/>
        <w:spacing w:lineRule="auto" w:line="276" w:before="0" w:after="200"/>
        <w:jc w:val="both"/>
        <w:rPr>
          <w:rFonts w:ascii="Cambria" w:hAnsi="Cambria" w:eastAsia="Cambria" w:cs="Cambria"/>
          <w:b w:val="false"/>
          <w:bCs w:val="false"/>
          <w:i w:val="false"/>
          <w:iCs w:val="false"/>
          <w:color w:val="1A1A1A"/>
          <w:sz w:val="22"/>
          <w:szCs w:val="22"/>
        </w:rPr>
      </w:pPr>
      <w:r>
        <w:rPr>
          <w:rFonts w:eastAsia="Cambria" w:cs="Cambria"/>
          <w:b w:val="false"/>
          <w:bCs w:val="false"/>
          <w:i w:val="false"/>
          <w:iCs w:val="false"/>
          <w:color w:val="1A1A1A"/>
          <w:sz w:val="22"/>
          <w:szCs w:val="22"/>
        </w:rPr>
      </w:r>
    </w:p>
    <w:p>
      <w:pPr>
        <w:pStyle w:val="Normal"/>
        <w:spacing w:lineRule="auto" w:line="276" w:before="0" w:after="200"/>
        <w:jc w:val="both"/>
        <w:rPr>
          <w:rFonts w:ascii="Cambria" w:hAnsi="Cambria" w:eastAsia="Cambria" w:cs="Cambria"/>
          <w:b w:val="false"/>
          <w:bCs w:val="false"/>
          <w:i w:val="false"/>
          <w:iCs w:val="false"/>
          <w:color w:val="1A1A1A"/>
          <w:sz w:val="22"/>
          <w:szCs w:val="22"/>
        </w:rPr>
      </w:pPr>
      <w:r>
        <w:rPr>
          <w:rFonts w:eastAsia="Cambria" w:cs="Cambria"/>
          <w:b w:val="false"/>
          <w:bCs w:val="false"/>
          <w:i w:val="false"/>
          <w:iCs w:val="false"/>
          <w:color w:val="1A1A1A"/>
          <w:sz w:val="22"/>
          <w:szCs w:val="22"/>
        </w:rPr>
      </w:r>
    </w:p>
    <w:p>
      <w:pPr>
        <w:pStyle w:val="Normal"/>
        <w:spacing w:lineRule="auto" w:line="276" w:before="0" w:after="200"/>
        <w:jc w:val="both"/>
        <w:rPr>
          <w:rFonts w:ascii="Cambria" w:hAnsi="Cambria" w:eastAsia="Cambria" w:cs="Cambria"/>
          <w:b w:val="false"/>
          <w:bCs w:val="false"/>
          <w:i w:val="false"/>
          <w:iCs w:val="false"/>
          <w:color w:val="1A1A1A"/>
          <w:sz w:val="22"/>
          <w:szCs w:val="22"/>
        </w:rPr>
      </w:pPr>
      <w:r>
        <w:rPr>
          <w:rFonts w:eastAsia="Cambria" w:cs="Cambria"/>
          <w:b w:val="false"/>
          <w:bCs w:val="false"/>
          <w:i w:val="false"/>
          <w:iCs w:val="false"/>
          <w:color w:val="1A1A1A"/>
          <w:sz w:val="22"/>
          <w:szCs w:val="22"/>
        </w:rPr>
      </w:r>
    </w:p>
    <w:p>
      <w:pPr>
        <w:pStyle w:val="Normal"/>
        <w:spacing w:lineRule="auto" w:line="276" w:before="0" w:after="200"/>
        <w:jc w:val="both"/>
        <w:rPr/>
      </w:pPr>
      <w:r>
        <w:rPr>
          <w:rFonts w:eastAsia="Cambria" w:cs="Cambria"/>
          <w:b/>
          <w:bCs/>
          <w:i w:val="false"/>
          <w:iCs w:val="false"/>
          <w:color w:val="1A1A1A"/>
          <w:sz w:val="19"/>
          <w:szCs w:val="19"/>
        </w:rPr>
        <w:t>Figure 1.</w:t>
      </w:r>
      <w:r>
        <w:rPr>
          <w:rFonts w:eastAsia="Cambria" w:cs="Cambria"/>
          <w:b w:val="false"/>
          <w:bCs w:val="false"/>
          <w:i w:val="false"/>
          <w:iCs w:val="false"/>
          <w:color w:val="1A1A1A"/>
          <w:sz w:val="19"/>
          <w:szCs w:val="19"/>
        </w:rPr>
        <w:t xml:space="preserve"> BUSCO completeness profiles of the eight *Mycolicibacterium cosmeticum* genome assemblies based on the `mycolicibacterium_odb12` lineage dataset (n = 1,712 orthologs). Stacked bars show the proportions of complete single-copy (S), complete duplicated (D), fragmented (F), and missing (M) BUSCOs; labels within each bar report the corresponding gene counts.</w:t>
      </w:r>
    </w:p>
    <w:p>
      <w:pPr>
        <w:pStyle w:val="Normal"/>
        <w:spacing w:before="80" w:after="240"/>
        <w:jc w:val="center"/>
        <w:rPr/>
      </w:pPr>
      <w:r>
        <w:rPr/>
        <w:drawing>
          <wp:inline distT="0" distB="0" distL="0" distR="0">
            <wp:extent cx="5715000" cy="34290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5715000" cy="3429000"/>
                    </a:xfrm>
                    <a:prstGeom prst="rect">
                      <a:avLst/>
                    </a:prstGeom>
                    <a:noFill/>
                  </pic:spPr>
                </pic:pic>
              </a:graphicData>
            </a:graphic>
          </wp:inline>
        </w:drawing>
      </w:r>
    </w:p>
    <w:p>
      <w:pPr>
        <w:pStyle w:val="Heading2"/>
        <w:keepNext w:val="true"/>
        <w:spacing w:before="420" w:after="180"/>
        <w:rPr/>
      </w:pPr>
      <w:r>
        <w:rPr>
          <w:rFonts w:eastAsia="Calibri" w:cs="Calibri" w:ascii="Calibri" w:hAnsi="Calibri"/>
          <w:b/>
          <w:bCs/>
          <w:i w:val="false"/>
          <w:iCs w:val="false"/>
          <w:color w:val="1C2B39"/>
          <w:sz w:val="26"/>
          <w:szCs w:val="26"/>
        </w:rPr>
        <w:t>Virulence Factor Profiling</w:t>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Putative virulence factors across all eight </w:t>
      </w:r>
      <w:r>
        <w:rPr>
          <w:rFonts w:eastAsia="Cambria" w:cs="Cambria"/>
          <w:b w:val="false"/>
          <w:bCs w:val="false"/>
          <w:i/>
          <w:iCs/>
          <w:color w:val="1A1A1A"/>
          <w:sz w:val="22"/>
          <w:szCs w:val="22"/>
        </w:rPr>
        <w:t>Mycolicibacterium cosmeticum</w:t>
      </w:r>
      <w:r>
        <w:rPr>
          <w:rFonts w:eastAsia="Cambria" w:cs="Cambria"/>
          <w:b w:val="false"/>
          <w:bCs w:val="false"/>
          <w:i w:val="false"/>
          <w:iCs w:val="false"/>
          <w:color w:val="1A1A1A"/>
          <w:sz w:val="22"/>
          <w:szCs w:val="22"/>
        </w:rPr>
        <w:t xml:space="preserve"> genomes were identified using the VFanalyzer automated pipeline against the Virulence Factor Database (VFDB; </w:t>
      </w:r>
      <w:hyperlink r:id="rId8">
        <w:r>
          <w:rPr>
            <w:rStyle w:val="Style3"/>
            <w:rFonts w:eastAsia="Cambria" w:cs="Cambria"/>
            <w:color w:val="1D4ED8"/>
            <w:sz w:val="22"/>
            <w:szCs w:val="22"/>
            <w:u w:val="single"/>
          </w:rPr>
          <w:t>http://www.mgc.ac.cn/VFs/</w:t>
        </w:r>
      </w:hyperlink>
      <w:r>
        <w:rPr>
          <w:rFonts w:eastAsia="Cambria" w:cs="Cambria"/>
          <w:b w:val="false"/>
          <w:bCs w:val="false"/>
          <w:i w:val="false"/>
          <w:iCs w:val="false"/>
          <w:color w:val="1A1A1A"/>
          <w:sz w:val="22"/>
          <w:szCs w:val="22"/>
        </w:rPr>
        <w:t>) [Liu et al., 2022]. Predicted virulence determinants were classified into nine VFDB functional categories:</w:t>
      </w:r>
      <w:r>
        <w:rPr>
          <w:rFonts w:eastAsia="Cambria" w:cs="Cambria"/>
          <w:b w:val="false"/>
          <w:bCs w:val="false"/>
          <w:i w:val="false"/>
          <w:iCs w:val="false"/>
          <w:color w:val="1A1A1A"/>
          <w:sz w:val="22"/>
          <w:szCs w:val="22"/>
        </w:rPr>
        <w:t xml:space="preserve"> </w:t>
      </w:r>
      <w:r>
        <w:rPr>
          <w:rFonts w:eastAsia="Cambria" w:cs="Cambria"/>
          <w:b w:val="false"/>
          <w:bCs w:val="false"/>
          <w:i w:val="false"/>
          <w:iCs w:val="false"/>
          <w:color w:val="1A1A1A"/>
          <w:sz w:val="22"/>
          <w:szCs w:val="22"/>
        </w:rPr>
        <w:t xml:space="preserve">adherence, effector delivery systems, enzymes, exotoxins, immune modulation, nutritional/metabolic factors, regulation, stress survival, </w:t>
      </w:r>
      <w:r>
        <w:rPr>
          <w:rFonts w:eastAsia="Cambria" w:cs="Cambria"/>
          <w:b w:val="false"/>
          <w:bCs w:val="false"/>
          <w:i w:val="false"/>
          <w:iCs w:val="false"/>
          <w:color w:val="1A1A1A"/>
          <w:sz w:val="22"/>
          <w:szCs w:val="22"/>
        </w:rPr>
        <w:t xml:space="preserve">and </w:t>
      </w:r>
      <w:r>
        <w:rPr>
          <w:rFonts w:eastAsia="Cambria" w:cs="Cambria"/>
          <w:b w:val="false"/>
          <w:bCs w:val="false"/>
          <w:i w:val="false"/>
          <w:iCs w:val="false"/>
          <w:color w:val="1A1A1A"/>
          <w:sz w:val="22"/>
          <w:szCs w:val="22"/>
        </w:rPr>
        <w:t>others based on sequence similarity and conserved domain architecture.</w:t>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A conserved core of 53 virulence-associated genes (75–93% amino acid identity to VFDB reference sequences) was detected across all eight isolates and spanned seven of the nine categories. Adherence factors included antigen 85 complex component </w:t>
      </w:r>
      <w:r>
        <w:rPr>
          <w:rFonts w:eastAsia="Cambria" w:cs="Cambria"/>
          <w:b w:val="false"/>
          <w:bCs w:val="false"/>
          <w:i/>
          <w:iCs/>
          <w:color w:val="1A1A1A"/>
          <w:sz w:val="22"/>
          <w:szCs w:val="22"/>
        </w:rPr>
        <w:t>fbpC</w:t>
      </w:r>
      <w:r>
        <w:rPr>
          <w:rFonts w:eastAsia="Cambria" w:cs="Cambria"/>
          <w:b w:val="false"/>
          <w:bCs w:val="false"/>
          <w:i w:val="false"/>
          <w:iCs w:val="false"/>
          <w:color w:val="1A1A1A"/>
          <w:sz w:val="22"/>
          <w:szCs w:val="22"/>
        </w:rPr>
        <w:t xml:space="preserve"> (85.8% identity), the chaperonin </w:t>
      </w:r>
      <w:r>
        <w:rPr>
          <w:rFonts w:eastAsia="Cambria" w:cs="Cambria"/>
          <w:b w:val="false"/>
          <w:bCs w:val="false"/>
          <w:i/>
          <w:iCs/>
          <w:color w:val="1A1A1A"/>
          <w:sz w:val="22"/>
          <w:szCs w:val="22"/>
        </w:rPr>
        <w:t>groEL2</w:t>
      </w:r>
      <w:r>
        <w:rPr>
          <w:rFonts w:eastAsia="Cambria" w:cs="Cambria"/>
          <w:b w:val="false"/>
          <w:bCs w:val="false"/>
          <w:i w:val="false"/>
          <w:iCs w:val="false"/>
          <w:color w:val="1A1A1A"/>
          <w:sz w:val="22"/>
          <w:szCs w:val="22"/>
        </w:rPr>
        <w:t xml:space="preserve"> (89.3%), and malate synthase </w:t>
      </w:r>
      <w:r>
        <w:rPr>
          <w:rFonts w:eastAsia="Cambria" w:cs="Cambria"/>
          <w:b w:val="false"/>
          <w:bCs w:val="false"/>
          <w:i/>
          <w:iCs/>
          <w:color w:val="1A1A1A"/>
          <w:sz w:val="22"/>
          <w:szCs w:val="22"/>
        </w:rPr>
        <w:t>glcB</w:t>
      </w:r>
      <w:r>
        <w:rPr>
          <w:rFonts w:eastAsia="Cambria" w:cs="Cambria"/>
          <w:b w:val="false"/>
          <w:bCs w:val="false"/>
          <w:i w:val="false"/>
          <w:iCs w:val="false"/>
          <w:color w:val="1A1A1A"/>
          <w:sz w:val="22"/>
          <w:szCs w:val="22"/>
        </w:rPr>
        <w:t xml:space="preserve"> (78.8%). The effector delivery system category comprised Type VII secretion components of ESX-1 (</w:t>
      </w:r>
      <w:r>
        <w:rPr>
          <w:rFonts w:eastAsia="Cambria" w:cs="Cambria"/>
          <w:b w:val="false"/>
          <w:bCs w:val="false"/>
          <w:i/>
          <w:iCs/>
          <w:color w:val="1A1A1A"/>
          <w:sz w:val="22"/>
          <w:szCs w:val="22"/>
        </w:rPr>
        <w:t>eccA1</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eccB1</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eccCa1</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eccCb1</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eccE1</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espI</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mycP1</w:t>
      </w:r>
      <w:r>
        <w:rPr>
          <w:rFonts w:eastAsia="Cambria" w:cs="Cambria"/>
          <w:b w:val="false"/>
          <w:bCs w:val="false"/>
          <w:i w:val="false"/>
          <w:iCs w:val="false"/>
          <w:color w:val="1A1A1A"/>
          <w:sz w:val="22"/>
          <w:szCs w:val="22"/>
        </w:rPr>
        <w:t>; 78.7–84.2%) and ESX-3 (</w:t>
      </w:r>
      <w:r>
        <w:rPr>
          <w:rFonts w:eastAsia="Cambria" w:cs="Cambria"/>
          <w:b w:val="false"/>
          <w:bCs w:val="false"/>
          <w:i/>
          <w:iCs/>
          <w:color w:val="1A1A1A"/>
          <w:sz w:val="22"/>
          <w:szCs w:val="22"/>
        </w:rPr>
        <w:t>eccA3</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eccC3</w:t>
      </w:r>
      <w:r>
        <w:rPr>
          <w:rFonts w:eastAsia="Cambria" w:cs="Cambria"/>
          <w:b w:val="false"/>
          <w:bCs w:val="false"/>
          <w:i w:val="false"/>
          <w:iCs w:val="false"/>
          <w:color w:val="1A1A1A"/>
          <w:sz w:val="22"/>
          <w:szCs w:val="22"/>
        </w:rPr>
        <w:t xml:space="preserve">; 80.2–81.0%), along with the carboxylesterase </w:t>
      </w:r>
      <w:r>
        <w:rPr>
          <w:rFonts w:eastAsia="Cambria" w:cs="Cambria"/>
          <w:b w:val="false"/>
          <w:bCs w:val="false"/>
          <w:i/>
          <w:iCs/>
          <w:color w:val="1A1A1A"/>
          <w:sz w:val="22"/>
          <w:szCs w:val="22"/>
        </w:rPr>
        <w:t>caeA</w:t>
      </w:r>
      <w:r>
        <w:rPr>
          <w:rFonts w:eastAsia="Cambria" w:cs="Cambria"/>
          <w:b w:val="false"/>
          <w:bCs w:val="false"/>
          <w:i w:val="false"/>
          <w:iCs w:val="false"/>
          <w:color w:val="1A1A1A"/>
          <w:sz w:val="22"/>
          <w:szCs w:val="22"/>
        </w:rPr>
        <w:t xml:space="preserve"> (80.5%). Conserved enzymes included urease </w:t>
      </w:r>
      <w:r>
        <w:rPr>
          <w:rFonts w:eastAsia="Cambria" w:cs="Cambria"/>
          <w:b w:val="false"/>
          <w:bCs w:val="false"/>
          <w:i/>
          <w:iCs/>
          <w:color w:val="1A1A1A"/>
          <w:sz w:val="22"/>
          <w:szCs w:val="22"/>
        </w:rPr>
        <w:t>ureC</w:t>
      </w:r>
      <w:r>
        <w:rPr>
          <w:rFonts w:eastAsia="Cambria" w:cs="Cambria"/>
          <w:b w:val="false"/>
          <w:bCs w:val="false"/>
          <w:i w:val="false"/>
          <w:iCs w:val="false"/>
          <w:color w:val="1A1A1A"/>
          <w:sz w:val="22"/>
          <w:szCs w:val="22"/>
        </w:rPr>
        <w:t xml:space="preserve"> (87.1%) and the zinc metalloprotease </w:t>
      </w:r>
      <w:r>
        <w:rPr>
          <w:rFonts w:eastAsia="Cambria" w:cs="Cambria"/>
          <w:b w:val="false"/>
          <w:bCs w:val="false"/>
          <w:i/>
          <w:iCs/>
          <w:color w:val="1A1A1A"/>
          <w:sz w:val="22"/>
          <w:szCs w:val="22"/>
        </w:rPr>
        <w:t>zmp1</w:t>
      </w:r>
      <w:r>
        <w:rPr>
          <w:rFonts w:eastAsia="Cambria" w:cs="Cambria"/>
          <w:b w:val="false"/>
          <w:bCs w:val="false"/>
          <w:i w:val="false"/>
          <w:iCs w:val="false"/>
          <w:color w:val="1A1A1A"/>
          <w:sz w:val="22"/>
          <w:szCs w:val="22"/>
        </w:rPr>
        <w:t xml:space="preserve"> (83.5%). Immune modulation determinants encompassed glycopeptidolipid (GPL) biosynthesis loci (</w:t>
      </w:r>
      <w:r>
        <w:rPr>
          <w:rFonts w:eastAsia="Cambria" w:cs="Cambria"/>
          <w:b w:val="false"/>
          <w:bCs w:val="false"/>
          <w:i/>
          <w:iCs/>
          <w:color w:val="1A1A1A"/>
          <w:sz w:val="22"/>
          <w:szCs w:val="22"/>
        </w:rPr>
        <w:t>fadE5</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mps2</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pks</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Rv0926</w:t>
      </w:r>
      <w:r>
        <w:rPr>
          <w:rFonts w:eastAsia="Cambria" w:cs="Cambria"/>
          <w:b w:val="false"/>
          <w:bCs w:val="false"/>
          <w:i w:val="false"/>
          <w:iCs w:val="false"/>
          <w:color w:val="1A1A1A"/>
          <w:sz w:val="22"/>
          <w:szCs w:val="22"/>
        </w:rPr>
        <w:t>; 75.0–85.1%), lipoarabinomannan (LAM) elongation genes (</w:t>
      </w:r>
      <w:r>
        <w:rPr>
          <w:rFonts w:eastAsia="Cambria" w:cs="Cambria"/>
          <w:b w:val="false"/>
          <w:bCs w:val="false"/>
          <w:i/>
          <w:iCs/>
          <w:color w:val="1A1A1A"/>
          <w:sz w:val="22"/>
          <w:szCs w:val="22"/>
        </w:rPr>
        <w:t>aftD</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embC</w:t>
      </w:r>
      <w:r>
        <w:rPr>
          <w:rFonts w:eastAsia="Cambria" w:cs="Cambria"/>
          <w:b w:val="false"/>
          <w:bCs w:val="false"/>
          <w:i w:val="false"/>
          <w:iCs w:val="false"/>
          <w:color w:val="1A1A1A"/>
          <w:sz w:val="22"/>
          <w:szCs w:val="22"/>
        </w:rPr>
        <w:t xml:space="preserve">; 77.8–80.8%), the NADH dehydrogenase subunit </w:t>
      </w:r>
      <w:r>
        <w:rPr>
          <w:rFonts w:eastAsia="Cambria" w:cs="Cambria"/>
          <w:b w:val="false"/>
          <w:bCs w:val="false"/>
          <w:i/>
          <w:iCs/>
          <w:color w:val="1A1A1A"/>
          <w:sz w:val="22"/>
          <w:szCs w:val="22"/>
        </w:rPr>
        <w:t>nuoG</w:t>
      </w:r>
      <w:r>
        <w:rPr>
          <w:rFonts w:eastAsia="Cambria" w:cs="Cambria"/>
          <w:b w:val="false"/>
          <w:bCs w:val="false"/>
          <w:i w:val="false"/>
          <w:iCs w:val="false"/>
          <w:color w:val="1A1A1A"/>
          <w:sz w:val="22"/>
          <w:szCs w:val="22"/>
        </w:rPr>
        <w:t xml:space="preserve"> (78.6%), protein kinase G </w:t>
      </w:r>
      <w:r>
        <w:rPr>
          <w:rFonts w:eastAsia="Cambria" w:cs="Cambria"/>
          <w:b w:val="false"/>
          <w:bCs w:val="false"/>
          <w:i/>
          <w:iCs/>
          <w:color w:val="1A1A1A"/>
          <w:sz w:val="22"/>
          <w:szCs w:val="22"/>
        </w:rPr>
        <w:t>pknG</w:t>
      </w:r>
      <w:r>
        <w:rPr>
          <w:rFonts w:eastAsia="Cambria" w:cs="Cambria"/>
          <w:b w:val="false"/>
          <w:bCs w:val="false"/>
          <w:i w:val="false"/>
          <w:iCs w:val="false"/>
          <w:color w:val="1A1A1A"/>
          <w:sz w:val="22"/>
          <w:szCs w:val="22"/>
        </w:rPr>
        <w:t xml:space="preserve"> (81.8%), and sulfolipid-1 biosynthesis factor </w:t>
      </w:r>
      <w:r>
        <w:rPr>
          <w:rFonts w:eastAsia="Cambria" w:cs="Cambria"/>
          <w:b w:val="false"/>
          <w:bCs w:val="false"/>
          <w:i/>
          <w:iCs/>
          <w:color w:val="1A1A1A"/>
          <w:sz w:val="22"/>
          <w:szCs w:val="22"/>
        </w:rPr>
        <w:t>pks2</w:t>
      </w:r>
      <w:r>
        <w:rPr>
          <w:rFonts w:eastAsia="Cambria" w:cs="Cambria"/>
          <w:b w:val="false"/>
          <w:bCs w:val="false"/>
          <w:i w:val="false"/>
          <w:iCs w:val="false"/>
          <w:color w:val="1A1A1A"/>
          <w:sz w:val="22"/>
          <w:szCs w:val="22"/>
        </w:rPr>
        <w:t xml:space="preserve"> (76.7%). Nutritional and metabolic factors constituted the largest core category and included mammalian cell entry (MCE) transporters of the Mce1 (</w:t>
      </w:r>
      <w:r>
        <w:rPr>
          <w:rFonts w:eastAsia="Cambria" w:cs="Cambria"/>
          <w:b w:val="false"/>
          <w:bCs w:val="false"/>
          <w:i/>
          <w:iCs/>
          <w:color w:val="1A1A1A"/>
          <w:sz w:val="22"/>
          <w:szCs w:val="22"/>
        </w:rPr>
        <w:t>mce1C</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mce1F</w:t>
      </w:r>
      <w:r>
        <w:rPr>
          <w:rFonts w:eastAsia="Cambria" w:cs="Cambria"/>
          <w:b w:val="false"/>
          <w:bCs w:val="false"/>
          <w:i w:val="false"/>
          <w:iCs w:val="false"/>
          <w:color w:val="1A1A1A"/>
          <w:sz w:val="22"/>
          <w:szCs w:val="22"/>
        </w:rPr>
        <w:t>; 79.7–79.9%), Mce2 (</w:t>
      </w:r>
      <w:r>
        <w:rPr>
          <w:rFonts w:eastAsia="Cambria" w:cs="Cambria"/>
          <w:b w:val="false"/>
          <w:bCs w:val="false"/>
          <w:i/>
          <w:iCs/>
          <w:color w:val="1A1A1A"/>
          <w:sz w:val="22"/>
          <w:szCs w:val="22"/>
        </w:rPr>
        <w:t>mce2F</w:t>
      </w:r>
      <w:r>
        <w:rPr>
          <w:rFonts w:eastAsia="Cambria" w:cs="Cambria"/>
          <w:b w:val="false"/>
          <w:bCs w:val="false"/>
          <w:i w:val="false"/>
          <w:iCs w:val="false"/>
          <w:color w:val="1A1A1A"/>
          <w:sz w:val="22"/>
          <w:szCs w:val="22"/>
        </w:rPr>
        <w:t>; 77.7%), and Mce4 (</w:t>
      </w:r>
      <w:r>
        <w:rPr>
          <w:rFonts w:eastAsia="Cambria" w:cs="Cambria"/>
          <w:b w:val="false"/>
          <w:bCs w:val="false"/>
          <w:i/>
          <w:iCs/>
          <w:color w:val="1A1A1A"/>
          <w:sz w:val="22"/>
          <w:szCs w:val="22"/>
        </w:rPr>
        <w:t>mce4B</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mce4F</w:t>
      </w:r>
      <w:r>
        <w:rPr>
          <w:rFonts w:eastAsia="Cambria" w:cs="Cambria"/>
          <w:b w:val="false"/>
          <w:bCs w:val="false"/>
          <w:i w:val="false"/>
          <w:iCs w:val="false"/>
          <w:color w:val="1A1A1A"/>
          <w:sz w:val="22"/>
          <w:szCs w:val="22"/>
        </w:rPr>
        <w:t>; 79.1–83.2%) operons; mycobactin siderophore biosynthesis genes (</w:t>
      </w:r>
      <w:r>
        <w:rPr>
          <w:rFonts w:eastAsia="Cambria" w:cs="Cambria"/>
          <w:b w:val="false"/>
          <w:bCs w:val="false"/>
          <w:i/>
          <w:iCs/>
          <w:color w:val="1A1A1A"/>
          <w:sz w:val="22"/>
          <w:szCs w:val="22"/>
        </w:rPr>
        <w:t>mbtC</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mbtE</w:t>
      </w:r>
      <w:r>
        <w:rPr>
          <w:rFonts w:eastAsia="Cambria" w:cs="Cambria"/>
          <w:b w:val="false"/>
          <w:bCs w:val="false"/>
          <w:i w:val="false"/>
          <w:iCs w:val="false"/>
          <w:color w:val="1A1A1A"/>
          <w:sz w:val="22"/>
          <w:szCs w:val="22"/>
        </w:rPr>
        <w:t xml:space="preserve">; 78.4–79.5%); cholesterol catabolism enzyme </w:t>
      </w:r>
      <w:r>
        <w:rPr>
          <w:rFonts w:eastAsia="Cambria" w:cs="Cambria"/>
          <w:b w:val="false"/>
          <w:bCs w:val="false"/>
          <w:i/>
          <w:iCs/>
          <w:color w:val="1A1A1A"/>
          <w:sz w:val="22"/>
          <w:szCs w:val="22"/>
        </w:rPr>
        <w:t>cyp125</w:t>
      </w:r>
      <w:r>
        <w:rPr>
          <w:rFonts w:eastAsia="Cambria" w:cs="Cambria"/>
          <w:b w:val="false"/>
          <w:bCs w:val="false"/>
          <w:i w:val="false"/>
          <w:iCs w:val="false"/>
          <w:color w:val="1A1A1A"/>
          <w:sz w:val="22"/>
          <w:szCs w:val="22"/>
        </w:rPr>
        <w:t xml:space="preserve"> (88.7%); fatty acid synthase II component </w:t>
      </w:r>
      <w:r>
        <w:rPr>
          <w:rFonts w:eastAsia="Cambria" w:cs="Cambria"/>
          <w:b w:val="false"/>
          <w:bCs w:val="false"/>
          <w:i/>
          <w:iCs/>
          <w:color w:val="1A1A1A"/>
          <w:sz w:val="22"/>
          <w:szCs w:val="22"/>
        </w:rPr>
        <w:t>kasB</w:t>
      </w:r>
      <w:r>
        <w:rPr>
          <w:rFonts w:eastAsia="Cambria" w:cs="Cambria"/>
          <w:b w:val="false"/>
          <w:bCs w:val="false"/>
          <w:i w:val="false"/>
          <w:iCs w:val="false"/>
          <w:color w:val="1A1A1A"/>
          <w:sz w:val="22"/>
          <w:szCs w:val="22"/>
        </w:rPr>
        <w:t xml:space="preserve"> (83.7%); acyl-CoA dehydrogenase </w:t>
      </w:r>
      <w:r>
        <w:rPr>
          <w:rFonts w:eastAsia="Cambria" w:cs="Cambria"/>
          <w:b w:val="false"/>
          <w:bCs w:val="false"/>
          <w:i/>
          <w:iCs/>
          <w:color w:val="1A1A1A"/>
          <w:sz w:val="22"/>
          <w:szCs w:val="22"/>
        </w:rPr>
        <w:t>fadE29</w:t>
      </w:r>
      <w:r>
        <w:rPr>
          <w:rFonts w:eastAsia="Cambria" w:cs="Cambria"/>
          <w:b w:val="false"/>
          <w:bCs w:val="false"/>
          <w:i w:val="false"/>
          <w:iCs w:val="false"/>
          <w:color w:val="1A1A1A"/>
          <w:sz w:val="22"/>
          <w:szCs w:val="22"/>
        </w:rPr>
        <w:t xml:space="preserve"> (88.1%); glutamine synthetase </w:t>
      </w:r>
      <w:r>
        <w:rPr>
          <w:rFonts w:eastAsia="Cambria" w:cs="Cambria"/>
          <w:b w:val="false"/>
          <w:bCs w:val="false"/>
          <w:i/>
          <w:iCs/>
          <w:color w:val="1A1A1A"/>
          <w:sz w:val="22"/>
          <w:szCs w:val="22"/>
        </w:rPr>
        <w:t>glnA1</w:t>
      </w:r>
      <w:r>
        <w:rPr>
          <w:rFonts w:eastAsia="Cambria" w:cs="Cambria"/>
          <w:b w:val="false"/>
          <w:bCs w:val="false"/>
          <w:i w:val="false"/>
          <w:iCs w:val="false"/>
          <w:color w:val="1A1A1A"/>
          <w:sz w:val="22"/>
          <w:szCs w:val="22"/>
        </w:rPr>
        <w:t xml:space="preserve"> (92.6%); heme uptake transporters (</w:t>
      </w:r>
      <w:r>
        <w:rPr>
          <w:rFonts w:eastAsia="Cambria" w:cs="Cambria"/>
          <w:b w:val="false"/>
          <w:bCs w:val="false"/>
          <w:i/>
          <w:iCs/>
          <w:color w:val="1A1A1A"/>
          <w:sz w:val="22"/>
          <w:szCs w:val="22"/>
        </w:rPr>
        <w:t>mmpL3</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mmpL11</w:t>
      </w:r>
      <w:r>
        <w:rPr>
          <w:rFonts w:eastAsia="Cambria" w:cs="Cambria"/>
          <w:b w:val="false"/>
          <w:bCs w:val="false"/>
          <w:i w:val="false"/>
          <w:iCs w:val="false"/>
          <w:color w:val="1A1A1A"/>
          <w:sz w:val="22"/>
          <w:szCs w:val="22"/>
        </w:rPr>
        <w:t xml:space="preserve">; 78.4–81.3%); lysine biosynthesis enzyme </w:t>
      </w:r>
      <w:r>
        <w:rPr>
          <w:rFonts w:eastAsia="Cambria" w:cs="Cambria"/>
          <w:b w:val="false"/>
          <w:bCs w:val="false"/>
          <w:i/>
          <w:iCs/>
          <w:color w:val="1A1A1A"/>
          <w:sz w:val="22"/>
          <w:szCs w:val="22"/>
        </w:rPr>
        <w:t>lysA</w:t>
      </w:r>
      <w:r>
        <w:rPr>
          <w:rFonts w:eastAsia="Cambria" w:cs="Cambria"/>
          <w:b w:val="false"/>
          <w:bCs w:val="false"/>
          <w:i w:val="false"/>
          <w:iCs w:val="false"/>
          <w:color w:val="1A1A1A"/>
          <w:sz w:val="22"/>
          <w:szCs w:val="22"/>
        </w:rPr>
        <w:t xml:space="preserve"> (84.2%); the P-type Mn²⁺ ATPase </w:t>
      </w:r>
      <w:r>
        <w:rPr>
          <w:rFonts w:eastAsia="Cambria" w:cs="Cambria"/>
          <w:b w:val="false"/>
          <w:bCs w:val="false"/>
          <w:i/>
          <w:iCs/>
          <w:color w:val="1A1A1A"/>
          <w:sz w:val="22"/>
          <w:szCs w:val="22"/>
        </w:rPr>
        <w:t>ctpC</w:t>
      </w:r>
      <w:r>
        <w:rPr>
          <w:rFonts w:eastAsia="Cambria" w:cs="Cambria"/>
          <w:b w:val="false"/>
          <w:bCs w:val="false"/>
          <w:i w:val="false"/>
          <w:iCs w:val="false"/>
          <w:color w:val="1A1A1A"/>
          <w:sz w:val="22"/>
          <w:szCs w:val="22"/>
        </w:rPr>
        <w:t xml:space="preserve"> (79.1%); trehalose-recycling ABC transporter components (</w:t>
      </w:r>
      <w:r>
        <w:rPr>
          <w:rFonts w:eastAsia="Cambria" w:cs="Cambria"/>
          <w:b w:val="false"/>
          <w:bCs w:val="false"/>
          <w:i/>
          <w:iCs/>
          <w:color w:val="1A1A1A"/>
          <w:sz w:val="22"/>
          <w:szCs w:val="22"/>
        </w:rPr>
        <w:t>icl2</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lpqY</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sugA</w:t>
      </w:r>
      <w:r>
        <w:rPr>
          <w:rFonts w:eastAsia="Cambria" w:cs="Cambria"/>
          <w:b w:val="false"/>
          <w:bCs w:val="false"/>
          <w:i w:val="false"/>
          <w:iCs w:val="false"/>
          <w:color w:val="1A1A1A"/>
          <w:sz w:val="22"/>
          <w:szCs w:val="22"/>
        </w:rPr>
        <w:t xml:space="preserve">; 82.8–86.5%); and tryptophan biosynthesis enzyme </w:t>
      </w:r>
      <w:r>
        <w:rPr>
          <w:rFonts w:eastAsia="Cambria" w:cs="Cambria"/>
          <w:b w:val="false"/>
          <w:bCs w:val="false"/>
          <w:i/>
          <w:iCs/>
          <w:color w:val="1A1A1A"/>
          <w:sz w:val="22"/>
          <w:szCs w:val="22"/>
        </w:rPr>
        <w:t>trpD</w:t>
      </w:r>
      <w:r>
        <w:rPr>
          <w:rFonts w:eastAsia="Cambria" w:cs="Cambria"/>
          <w:b w:val="false"/>
          <w:bCs w:val="false"/>
          <w:i w:val="false"/>
          <w:iCs w:val="false"/>
          <w:color w:val="1A1A1A"/>
          <w:sz w:val="22"/>
          <w:szCs w:val="22"/>
        </w:rPr>
        <w:t xml:space="preserve"> (84.0%). Additional conserved factors included the accessory SecA2 secretion factor (83.1%), isocitrate lyase </w:t>
      </w:r>
      <w:r>
        <w:rPr>
          <w:rFonts w:eastAsia="Cambria" w:cs="Cambria"/>
          <w:b w:val="false"/>
          <w:bCs w:val="false"/>
          <w:i/>
          <w:iCs/>
          <w:color w:val="1A1A1A"/>
          <w:sz w:val="22"/>
          <w:szCs w:val="22"/>
        </w:rPr>
        <w:t>icl</w:t>
      </w:r>
      <w:r>
        <w:rPr>
          <w:rFonts w:eastAsia="Cambria" w:cs="Cambria"/>
          <w:b w:val="false"/>
          <w:bCs w:val="false"/>
          <w:i w:val="false"/>
          <w:iCs w:val="false"/>
          <w:color w:val="1A1A1A"/>
          <w:sz w:val="22"/>
          <w:szCs w:val="22"/>
        </w:rPr>
        <w:t xml:space="preserve"> (92.5%), the MprAB two-component regulator </w:t>
      </w:r>
      <w:r>
        <w:rPr>
          <w:rFonts w:eastAsia="Cambria" w:cs="Cambria"/>
          <w:b w:val="false"/>
          <w:bCs w:val="false"/>
          <w:i/>
          <w:iCs/>
          <w:color w:val="1A1A1A"/>
          <w:sz w:val="22"/>
          <w:szCs w:val="22"/>
        </w:rPr>
        <w:t>mprB</w:t>
      </w:r>
      <w:r>
        <w:rPr>
          <w:rFonts w:eastAsia="Cambria" w:cs="Cambria"/>
          <w:b w:val="false"/>
          <w:bCs w:val="false"/>
          <w:i w:val="false"/>
          <w:iCs w:val="false"/>
          <w:color w:val="1A1A1A"/>
          <w:sz w:val="22"/>
          <w:szCs w:val="22"/>
        </w:rPr>
        <w:t xml:space="preserve"> (81.2%), the stringent response mediator </w:t>
      </w:r>
      <w:r>
        <w:rPr>
          <w:rFonts w:eastAsia="Cambria" w:cs="Cambria"/>
          <w:b w:val="false"/>
          <w:bCs w:val="false"/>
          <w:i/>
          <w:iCs/>
          <w:color w:val="1A1A1A"/>
          <w:sz w:val="22"/>
          <w:szCs w:val="22"/>
        </w:rPr>
        <w:t>relA</w:t>
      </w:r>
      <w:r>
        <w:rPr>
          <w:rFonts w:eastAsia="Cambria" w:cs="Cambria"/>
          <w:b w:val="false"/>
          <w:bCs w:val="false"/>
          <w:i w:val="false"/>
          <w:iCs w:val="false"/>
          <w:color w:val="1A1A1A"/>
          <w:sz w:val="22"/>
          <w:szCs w:val="22"/>
        </w:rPr>
        <w:t xml:space="preserve"> (87.7%), the primary sigma factor </w:t>
      </w:r>
      <w:r>
        <w:rPr>
          <w:rFonts w:eastAsia="Cambria" w:cs="Cambria"/>
          <w:b w:val="false"/>
          <w:bCs w:val="false"/>
          <w:i/>
          <w:iCs/>
          <w:color w:val="1A1A1A"/>
          <w:sz w:val="22"/>
          <w:szCs w:val="22"/>
        </w:rPr>
        <w:t>sigA/rpoV</w:t>
      </w:r>
      <w:r>
        <w:rPr>
          <w:rFonts w:eastAsia="Cambria" w:cs="Cambria"/>
          <w:b w:val="false"/>
          <w:bCs w:val="false"/>
          <w:i w:val="false"/>
          <w:iCs w:val="false"/>
          <w:color w:val="1A1A1A"/>
          <w:sz w:val="22"/>
          <w:szCs w:val="22"/>
        </w:rPr>
        <w:t xml:space="preserve"> (85.8%), catalase-peroxidase </w:t>
      </w:r>
      <w:r>
        <w:rPr>
          <w:rFonts w:eastAsia="Cambria" w:cs="Cambria"/>
          <w:b w:val="false"/>
          <w:bCs w:val="false"/>
          <w:i/>
          <w:iCs/>
          <w:color w:val="1A1A1A"/>
          <w:sz w:val="22"/>
          <w:szCs w:val="22"/>
        </w:rPr>
        <w:t>katG</w:t>
      </w:r>
      <w:r>
        <w:rPr>
          <w:rFonts w:eastAsia="Cambria" w:cs="Cambria"/>
          <w:b w:val="false"/>
          <w:bCs w:val="false"/>
          <w:i w:val="false"/>
          <w:iCs w:val="false"/>
          <w:color w:val="1A1A1A"/>
          <w:sz w:val="22"/>
          <w:szCs w:val="22"/>
        </w:rPr>
        <w:t xml:space="preserve"> (84.4%), and proteasome-associated factors </w:t>
      </w:r>
      <w:r>
        <w:rPr>
          <w:rFonts w:eastAsia="Cambria" w:cs="Cambria"/>
          <w:b w:val="false"/>
          <w:bCs w:val="false"/>
          <w:i/>
          <w:iCs/>
          <w:color w:val="1A1A1A"/>
          <w:sz w:val="22"/>
          <w:szCs w:val="22"/>
        </w:rPr>
        <w:t>mpa</w:t>
      </w:r>
      <w:r>
        <w:rPr>
          <w:rFonts w:eastAsia="Cambria" w:cs="Cambria"/>
          <w:b w:val="false"/>
          <w:bCs w:val="false"/>
          <w:i w:val="false"/>
          <w:iCs w:val="false"/>
          <w:color w:val="1A1A1A"/>
          <w:sz w:val="22"/>
          <w:szCs w:val="22"/>
        </w:rPr>
        <w:t xml:space="preserve"> and </w:t>
      </w:r>
      <w:r>
        <w:rPr>
          <w:rFonts w:eastAsia="Cambria" w:cs="Cambria"/>
          <w:b w:val="false"/>
          <w:bCs w:val="false"/>
          <w:i/>
          <w:iCs/>
          <w:color w:val="1A1A1A"/>
          <w:sz w:val="22"/>
          <w:szCs w:val="22"/>
        </w:rPr>
        <w:t>pafA</w:t>
      </w:r>
      <w:r>
        <w:rPr>
          <w:rFonts w:eastAsia="Cambria" w:cs="Cambria"/>
          <w:b w:val="false"/>
          <w:bCs w:val="false"/>
          <w:i w:val="false"/>
          <w:iCs w:val="false"/>
          <w:color w:val="1A1A1A"/>
          <w:sz w:val="22"/>
          <w:szCs w:val="22"/>
        </w:rPr>
        <w:t xml:space="preserve"> (88.0–89.8%).</w:t>
      </w:r>
    </w:p>
    <w:p>
      <w:pPr>
        <w:pStyle w:val="Normal"/>
        <w:keepNext w:val="false"/>
        <w:spacing w:lineRule="auto" w:line="276" w:before="0" w:after="200"/>
        <w:jc w:val="both"/>
        <w:rPr/>
      </w:pPr>
      <w:r>
        <w:rPr>
          <w:rFonts w:eastAsia="Cambria" w:cs="Cambria"/>
          <w:b w:val="false"/>
          <w:bCs w:val="false"/>
          <w:i w:val="false"/>
          <w:iCs w:val="false"/>
          <w:color w:val="1A1A1A"/>
          <w:sz w:val="22"/>
          <w:szCs w:val="22"/>
        </w:rPr>
        <w:t>Strain-level variation was confined to two isolates and involved gains of accessory virulence loci rather than loss of the shared core. BULB06 uniquely harbored three Mce3 operon genes (</w:t>
      </w:r>
      <w:r>
        <w:rPr>
          <w:rFonts w:eastAsia="Cambria" w:cs="Cambria"/>
          <w:b w:val="false"/>
          <w:bCs w:val="false"/>
          <w:i/>
          <w:iCs/>
          <w:color w:val="1A1A1A"/>
          <w:sz w:val="22"/>
          <w:szCs w:val="22"/>
        </w:rPr>
        <w:t>mce3C</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mce3D</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mce3F</w:t>
      </w:r>
      <w:r>
        <w:rPr>
          <w:rFonts w:eastAsia="Cambria" w:cs="Cambria"/>
          <w:b w:val="false"/>
          <w:bCs w:val="false"/>
          <w:i w:val="false"/>
          <w:iCs w:val="false"/>
          <w:color w:val="1A1A1A"/>
          <w:sz w:val="22"/>
          <w:szCs w:val="22"/>
        </w:rPr>
        <w:t>; 73.2–78.3% identity) absent from the other seven genomes. DESC06 exhibited the most divergent virulence factor profile, with 34 of its 87 total VF gene hits mapping to a ~1.07 Mbp contig (cluster_002_consensus) that Trycycler assembled separately from the ~5.25 Mbp main chromosome. Several lines of evidence indicate that this contig represents a displaced chromosomal segment rather than a foreign replicon: (i) six conserved core genes (</w:t>
      </w:r>
      <w:r>
        <w:rPr>
          <w:rFonts w:eastAsia="Cambria" w:cs="Cambria"/>
          <w:b w:val="false"/>
          <w:bCs w:val="false"/>
          <w:i/>
          <w:iCs/>
          <w:color w:val="1A1A1A"/>
          <w:sz w:val="22"/>
          <w:szCs w:val="22"/>
        </w:rPr>
        <w:t>mbtC</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mbtE</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glnA1</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kasB</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caeA</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trpD</w:t>
      </w:r>
      <w:r>
        <w:rPr>
          <w:rFonts w:eastAsia="Cambria" w:cs="Cambria"/>
          <w:b w:val="false"/>
          <w:bCs w:val="false"/>
          <w:i w:val="false"/>
          <w:iCs w:val="false"/>
          <w:color w:val="1A1A1A"/>
          <w:sz w:val="22"/>
          <w:szCs w:val="22"/>
        </w:rPr>
        <w:t xml:space="preserve">) that reside on the main chromosome in all other isolates were relocated to this fragment in DESC06; (ii) TYGS analysis of the isolated fragment yielded a d4 digital DNA–DNA hybridization value of 84.6% (CI: 81.8–87.0%) against </w:t>
      </w:r>
      <w:r>
        <w:rPr>
          <w:rFonts w:eastAsia="Cambria" w:cs="Cambria"/>
          <w:b w:val="false"/>
          <w:bCs w:val="false"/>
          <w:i/>
          <w:iCs/>
          <w:color w:val="1A1A1A"/>
          <w:sz w:val="22"/>
          <w:szCs w:val="22"/>
        </w:rPr>
        <w:t>M. cosmeticum</w:t>
      </w:r>
      <w:r>
        <w:rPr>
          <w:rFonts w:eastAsia="Cambria" w:cs="Cambria"/>
          <w:b w:val="false"/>
          <w:bCs w:val="false"/>
          <w:i w:val="false"/>
          <w:iCs w:val="false"/>
          <w:color w:val="1A1A1A"/>
          <w:sz w:val="22"/>
          <w:szCs w:val="22"/>
        </w:rPr>
        <w:t xml:space="preserve"> DSM 44829, confirming same-species origin; and (iii) the combined size of the two contigs (5.25 + 1.07 ≈ 6.32 Mbp) is consistent with the chromosome sizes of the other isolates (6.33–6.57 Mbp). Beyond the displaced core genes, DESC06 carried genuinely unique virulence determinants on cluster_002, organized into two principal genomic regions: an extended mycobactin siderophore biosynthesis cluster at ~250–275 kb (</w:t>
      </w:r>
      <w:r>
        <w:rPr>
          <w:rFonts w:eastAsia="Cambria" w:cs="Cambria"/>
          <w:b w:val="false"/>
          <w:bCs w:val="false"/>
          <w:i/>
          <w:iCs/>
          <w:color w:val="1A1A1A"/>
          <w:sz w:val="22"/>
          <w:szCs w:val="22"/>
        </w:rPr>
        <w:t>mbtA</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mbtB</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mbtD</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mbtF</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mbtG</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mbtH</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mbtI</w:t>
      </w:r>
      <w:r>
        <w:rPr>
          <w:rFonts w:eastAsia="Cambria" w:cs="Cambria"/>
          <w:b w:val="false"/>
          <w:bCs w:val="false"/>
          <w:i w:val="false"/>
          <w:iCs w:val="false"/>
          <w:color w:val="1A1A1A"/>
          <w:sz w:val="22"/>
          <w:szCs w:val="22"/>
        </w:rPr>
        <w:t xml:space="preserve">; 75.8–89.1% identity) whose nonribosomal peptide synthetase (NRPS) domains also generated cross-hits to </w:t>
      </w:r>
      <w:r>
        <w:rPr>
          <w:rFonts w:eastAsia="Cambria" w:cs="Cambria"/>
          <w:b w:val="false"/>
          <w:bCs w:val="false"/>
          <w:i/>
          <w:iCs/>
          <w:color w:val="1A1A1A"/>
          <w:sz w:val="22"/>
          <w:szCs w:val="22"/>
        </w:rPr>
        <w:t>sypC</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pvdI</w:t>
      </w:r>
      <w:r>
        <w:rPr>
          <w:rFonts w:eastAsia="Cambria" w:cs="Cambria"/>
          <w:b w:val="false"/>
          <w:bCs w:val="false"/>
          <w:i w:val="false"/>
          <w:iCs w:val="false"/>
          <w:color w:val="1A1A1A"/>
          <w:sz w:val="22"/>
          <w:szCs w:val="22"/>
        </w:rPr>
        <w:t xml:space="preserve">, and </w:t>
      </w:r>
      <w:r>
        <w:rPr>
          <w:rFonts w:eastAsia="Cambria" w:cs="Cambria"/>
          <w:b w:val="false"/>
          <w:bCs w:val="false"/>
          <w:i/>
          <w:iCs/>
          <w:color w:val="1A1A1A"/>
          <w:sz w:val="22"/>
          <w:szCs w:val="22"/>
        </w:rPr>
        <w:t>pvdL</w:t>
      </w:r>
      <w:r>
        <w:rPr>
          <w:rFonts w:eastAsia="Cambria" w:cs="Cambria"/>
          <w:b w:val="false"/>
          <w:bCs w:val="false"/>
          <w:i w:val="false"/>
          <w:iCs w:val="false"/>
          <w:color w:val="1A1A1A"/>
          <w:sz w:val="22"/>
          <w:szCs w:val="22"/>
        </w:rPr>
        <w:t xml:space="preserve"> in VFDB, and a distal region at ~800–915 kb harboring adherence gene paralogs (</w:t>
      </w:r>
      <w:r>
        <w:rPr>
          <w:rFonts w:eastAsia="Cambria" w:cs="Cambria"/>
          <w:b w:val="false"/>
          <w:bCs w:val="false"/>
          <w:i/>
          <w:iCs/>
          <w:color w:val="1A1A1A"/>
          <w:sz w:val="22"/>
          <w:szCs w:val="22"/>
        </w:rPr>
        <w:t>fbpA</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fbpB</w:t>
      </w:r>
      <w:r>
        <w:rPr>
          <w:rFonts w:eastAsia="Cambria" w:cs="Cambria"/>
          <w:b w:val="false"/>
          <w:bCs w:val="false"/>
          <w:i w:val="false"/>
          <w:iCs w:val="false"/>
          <w:color w:val="1A1A1A"/>
          <w:sz w:val="22"/>
          <w:szCs w:val="22"/>
        </w:rPr>
        <w:t>; 76.1–76.2%), GPL locus genes (</w:t>
      </w:r>
      <w:r>
        <w:rPr>
          <w:rFonts w:eastAsia="Cambria" w:cs="Cambria"/>
          <w:b w:val="false"/>
          <w:bCs w:val="false"/>
          <w:i/>
          <w:iCs/>
          <w:color w:val="1A1A1A"/>
          <w:sz w:val="22"/>
          <w:szCs w:val="22"/>
        </w:rPr>
        <w:t>mmpL4b</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mps1</w:t>
      </w:r>
      <w:r>
        <w:rPr>
          <w:rFonts w:eastAsia="Cambria" w:cs="Cambria"/>
          <w:b w:val="false"/>
          <w:bCs w:val="false"/>
          <w:i w:val="false"/>
          <w:iCs w:val="false"/>
          <w:color w:val="1A1A1A"/>
          <w:sz w:val="22"/>
          <w:szCs w:val="22"/>
        </w:rPr>
        <w:t>; 71.7–73.5%), and Mce7/Mce8 family transporters (</w:t>
      </w:r>
      <w:r>
        <w:rPr>
          <w:rFonts w:eastAsia="Cambria" w:cs="Cambria"/>
          <w:b w:val="false"/>
          <w:bCs w:val="false"/>
          <w:i/>
          <w:iCs/>
          <w:color w:val="1A1A1A"/>
          <w:sz w:val="22"/>
          <w:szCs w:val="22"/>
        </w:rPr>
        <w:t>mce7D</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mce7F</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mce8A</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mce8D</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mce8E</w:t>
      </w:r>
      <w:r>
        <w:rPr>
          <w:rFonts w:eastAsia="Cambria" w:cs="Cambria"/>
          <w:b w:val="false"/>
          <w:bCs w:val="false"/>
          <w:i w:val="false"/>
          <w:iCs w:val="false"/>
          <w:color w:val="1A1A1A"/>
          <w:sz w:val="22"/>
          <w:szCs w:val="22"/>
        </w:rPr>
        <w:t xml:space="preserve">, </w:t>
      </w:r>
      <w:r>
        <w:rPr>
          <w:rFonts w:eastAsia="Cambria" w:cs="Cambria"/>
          <w:b w:val="false"/>
          <w:bCs w:val="false"/>
          <w:i/>
          <w:iCs/>
          <w:color w:val="1A1A1A"/>
          <w:sz w:val="22"/>
          <w:szCs w:val="22"/>
        </w:rPr>
        <w:t>mce8F</w:t>
      </w:r>
      <w:r>
        <w:rPr>
          <w:rFonts w:eastAsia="Cambria" w:cs="Cambria"/>
          <w:b w:val="false"/>
          <w:bCs w:val="false"/>
          <w:i w:val="false"/>
          <w:iCs w:val="false"/>
          <w:color w:val="1A1A1A"/>
          <w:sz w:val="22"/>
          <w:szCs w:val="22"/>
        </w:rPr>
        <w:t>; 71.9–79.0%). Additional DESC06-unique determinants residing on the main chromosome included immune modulators (</w:t>
      </w:r>
      <w:r>
        <w:rPr>
          <w:rFonts w:eastAsia="Cambria" w:cs="Cambria"/>
          <w:b w:val="false"/>
          <w:bCs w:val="false"/>
          <w:i/>
          <w:iCs/>
          <w:color w:val="1A1A1A"/>
          <w:sz w:val="22"/>
          <w:szCs w:val="22"/>
        </w:rPr>
        <w:t>ndk</w:t>
      </w:r>
      <w:r>
        <w:rPr>
          <w:rFonts w:eastAsia="Cambria" w:cs="Cambria"/>
          <w:b w:val="false"/>
          <w:bCs w:val="false"/>
          <w:i w:val="false"/>
          <w:iCs w:val="false"/>
          <w:color w:val="1A1A1A"/>
          <w:sz w:val="22"/>
          <w:szCs w:val="22"/>
        </w:rPr>
        <w:t xml:space="preserve">, 87.7%; </w:t>
      </w:r>
      <w:r>
        <w:rPr>
          <w:rFonts w:eastAsia="Cambria" w:cs="Cambria"/>
          <w:b w:val="false"/>
          <w:bCs w:val="false"/>
          <w:i/>
          <w:iCs/>
          <w:color w:val="1A1A1A"/>
          <w:sz w:val="22"/>
          <w:szCs w:val="22"/>
        </w:rPr>
        <w:t>ptpA</w:t>
      </w:r>
      <w:r>
        <w:rPr>
          <w:rFonts w:eastAsia="Cambria" w:cs="Cambria"/>
          <w:b w:val="false"/>
          <w:bCs w:val="false"/>
          <w:i w:val="false"/>
          <w:iCs w:val="false"/>
          <w:color w:val="1A1A1A"/>
          <w:sz w:val="22"/>
          <w:szCs w:val="22"/>
        </w:rPr>
        <w:t>, 79.2%), LAM biosynthesis genes (</w:t>
      </w:r>
      <w:r>
        <w:rPr>
          <w:rFonts w:eastAsia="Cambria" w:cs="Cambria"/>
          <w:b w:val="false"/>
          <w:bCs w:val="false"/>
          <w:i/>
          <w:iCs/>
          <w:color w:val="1A1A1A"/>
          <w:sz w:val="22"/>
          <w:szCs w:val="22"/>
        </w:rPr>
        <w:t>capA</w:t>
      </w:r>
      <w:r>
        <w:rPr>
          <w:rFonts w:eastAsia="Cambria" w:cs="Cambria"/>
          <w:b w:val="false"/>
          <w:bCs w:val="false"/>
          <w:i w:val="false"/>
          <w:iCs w:val="false"/>
          <w:color w:val="1A1A1A"/>
          <w:sz w:val="22"/>
          <w:szCs w:val="22"/>
        </w:rPr>
        <w:t xml:space="preserve">, 74.0%; </w:t>
      </w:r>
      <w:r>
        <w:rPr>
          <w:rFonts w:eastAsia="Cambria" w:cs="Cambria"/>
          <w:b w:val="false"/>
          <w:bCs w:val="false"/>
          <w:i/>
          <w:iCs/>
          <w:color w:val="1A1A1A"/>
          <w:sz w:val="22"/>
          <w:szCs w:val="22"/>
        </w:rPr>
        <w:t>mptC</w:t>
      </w:r>
      <w:r>
        <w:rPr>
          <w:rFonts w:eastAsia="Cambria" w:cs="Cambria"/>
          <w:b w:val="false"/>
          <w:bCs w:val="false"/>
          <w:i w:val="false"/>
          <w:iCs w:val="false"/>
          <w:color w:val="1A1A1A"/>
          <w:sz w:val="22"/>
          <w:szCs w:val="22"/>
        </w:rPr>
        <w:t xml:space="preserve">, 78.4%), GPL transporter </w:t>
      </w:r>
      <w:r>
        <w:rPr>
          <w:rFonts w:eastAsia="Cambria" w:cs="Cambria"/>
          <w:b w:val="false"/>
          <w:bCs w:val="false"/>
          <w:i/>
          <w:iCs/>
          <w:color w:val="1A1A1A"/>
          <w:sz w:val="22"/>
          <w:szCs w:val="22"/>
        </w:rPr>
        <w:t>mmpL4a</w:t>
      </w:r>
      <w:r>
        <w:rPr>
          <w:rFonts w:eastAsia="Cambria" w:cs="Cambria"/>
          <w:b w:val="false"/>
          <w:bCs w:val="false"/>
          <w:i w:val="false"/>
          <w:iCs w:val="false"/>
          <w:color w:val="1A1A1A"/>
          <w:sz w:val="22"/>
          <w:szCs w:val="22"/>
        </w:rPr>
        <w:t xml:space="preserve"> (70.8%), supplementary MCE components (</w:t>
      </w:r>
      <w:r>
        <w:rPr>
          <w:rFonts w:eastAsia="Cambria" w:cs="Cambria"/>
          <w:b w:val="false"/>
          <w:bCs w:val="false"/>
          <w:i/>
          <w:iCs/>
          <w:color w:val="1A1A1A"/>
          <w:sz w:val="22"/>
          <w:szCs w:val="22"/>
        </w:rPr>
        <w:t>mce1D</w:t>
      </w:r>
      <w:r>
        <w:rPr>
          <w:rFonts w:eastAsia="Cambria" w:cs="Cambria"/>
          <w:b w:val="false"/>
          <w:bCs w:val="false"/>
          <w:i w:val="false"/>
          <w:iCs w:val="false"/>
          <w:color w:val="1A1A1A"/>
          <w:sz w:val="22"/>
          <w:szCs w:val="22"/>
        </w:rPr>
        <w:t xml:space="preserve">, 81.1%; </w:t>
      </w:r>
      <w:r>
        <w:rPr>
          <w:rFonts w:eastAsia="Cambria" w:cs="Cambria"/>
          <w:b w:val="false"/>
          <w:bCs w:val="false"/>
          <w:i/>
          <w:iCs/>
          <w:color w:val="1A1A1A"/>
          <w:sz w:val="22"/>
          <w:szCs w:val="22"/>
        </w:rPr>
        <w:t>mce3C</w:t>
      </w:r>
      <w:r>
        <w:rPr>
          <w:rFonts w:eastAsia="Cambria" w:cs="Cambria"/>
          <w:b w:val="false"/>
          <w:bCs w:val="false"/>
          <w:i w:val="false"/>
          <w:iCs w:val="false"/>
          <w:color w:val="1A1A1A"/>
          <w:sz w:val="22"/>
          <w:szCs w:val="22"/>
        </w:rPr>
        <w:t xml:space="preserve">, 78.7%; </w:t>
      </w:r>
      <w:r>
        <w:rPr>
          <w:rFonts w:eastAsia="Cambria" w:cs="Cambria"/>
          <w:b w:val="false"/>
          <w:bCs w:val="false"/>
          <w:i/>
          <w:iCs/>
          <w:color w:val="1A1A1A"/>
          <w:sz w:val="22"/>
          <w:szCs w:val="22"/>
        </w:rPr>
        <w:t>mce4E</w:t>
      </w:r>
      <w:r>
        <w:rPr>
          <w:rFonts w:eastAsia="Cambria" w:cs="Cambria"/>
          <w:b w:val="false"/>
          <w:bCs w:val="false"/>
          <w:i w:val="false"/>
          <w:iCs w:val="false"/>
          <w:color w:val="1A1A1A"/>
          <w:sz w:val="22"/>
          <w:szCs w:val="22"/>
        </w:rPr>
        <w:t>, 80.6%), and two-component regulatory systems PhoP–PhoR (78.4–88.2%) and RegX3 (88.6%). The expanded virulence repertoire of DESC06, concentrated on a chromosomal segment that failed to reconcile during assembly, likely reflects a large-scale structural rearrangement or insertion in this isolate relative to the other seven genomes.</w:t>
      </w:r>
    </w:p>
    <w:p>
      <w:pPr>
        <w:pStyle w:val="Normal"/>
        <w:keepNext w:val="true"/>
        <w:spacing w:lineRule="auto" w:line="252" w:before="240" w:after="120"/>
        <w:jc w:val="start"/>
        <w:rPr/>
      </w:pPr>
      <w:r>
        <w:rPr>
          <w:rFonts w:eastAsia="Cambria" w:cs="Cambria"/>
          <w:b/>
          <w:bCs/>
          <w:i w:val="false"/>
          <w:iCs w:val="false"/>
          <w:color w:val="1A1A1A"/>
          <w:sz w:val="19"/>
          <w:szCs w:val="19"/>
        </w:rPr>
        <w:t xml:space="preserve">Figure </w:t>
      </w:r>
      <w:r>
        <w:rPr>
          <w:rFonts w:eastAsia="Cambria" w:cs="Cambria"/>
          <w:b/>
          <w:bCs/>
          <w:i w:val="false"/>
          <w:iCs w:val="false"/>
          <w:color w:val="1A1A1A"/>
          <w:sz w:val="19"/>
          <w:szCs w:val="19"/>
        </w:rPr>
        <w:t>2</w:t>
      </w:r>
      <w:r>
        <w:rPr>
          <w:rFonts w:eastAsia="Cambria" w:cs="Cambria"/>
          <w:b/>
          <w:bCs/>
          <w:i w:val="false"/>
          <w:iCs w:val="false"/>
          <w:color w:val="1A1A1A"/>
          <w:sz w:val="19"/>
          <w:szCs w:val="19"/>
        </w:rPr>
        <w:t>.</w:t>
      </w:r>
      <w:r>
        <w:rPr>
          <w:rFonts w:eastAsia="Cambria" w:cs="Cambria"/>
          <w:b w:val="false"/>
          <w:bCs w:val="false"/>
          <w:i w:val="false"/>
          <w:iCs w:val="false"/>
          <w:color w:val="1A1A1A"/>
          <w:sz w:val="19"/>
          <w:szCs w:val="19"/>
        </w:rPr>
        <w:t xml:space="preserve"> Comparative heatmap of predicted virulence factors and their percentage sequence identities across the eight </w:t>
      </w:r>
      <w:r>
        <w:rPr>
          <w:rFonts w:eastAsia="Cambria" w:cs="Cambria"/>
          <w:b w:val="false"/>
          <w:bCs w:val="false"/>
          <w:i/>
          <w:iCs/>
          <w:color w:val="1A1A1A"/>
          <w:sz w:val="19"/>
          <w:szCs w:val="19"/>
        </w:rPr>
        <w:t>Mycolicibacterium cosmeticum</w:t>
      </w:r>
      <w:r>
        <w:rPr>
          <w:rFonts w:eastAsia="Cambria" w:cs="Cambria"/>
          <w:b w:val="false"/>
          <w:bCs w:val="false"/>
          <w:i w:val="false"/>
          <w:iCs w:val="false"/>
          <w:color w:val="1A1A1A"/>
          <w:sz w:val="19"/>
          <w:szCs w:val="19"/>
        </w:rPr>
        <w:t xml:space="preserve"> isolates based on VFDB screening. Rows represent individual virulence genes grouped by functional category, and columns represent the eight genome assemblies. Color intensity indicates the percentage amino acid identity to the closest VFDB reference homolog; white cells denote absence (0% identity).</w:t>
      </w:r>
    </w:p>
    <w:p>
      <w:pPr>
        <w:pStyle w:val="Normal"/>
        <w:spacing w:before="80" w:after="240"/>
        <w:jc w:val="center"/>
        <w:rPr/>
      </w:pPr>
      <w:r>
        <w:rPr/>
        <w:drawing>
          <wp:inline distT="0" distB="0" distL="0" distR="0">
            <wp:extent cx="3457575" cy="70199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3457575" cy="7019925"/>
                    </a:xfrm>
                    <a:prstGeom prst="rect">
                      <a:avLst/>
                    </a:prstGeom>
                    <a:noFill/>
                  </pic:spPr>
                </pic:pic>
              </a:graphicData>
            </a:graphic>
          </wp:inline>
        </w:drawing>
      </w:r>
    </w:p>
    <w:p>
      <w:pPr>
        <w:pStyle w:val="Heading2"/>
        <w:keepNext w:val="true"/>
        <w:spacing w:before="420" w:after="180"/>
        <w:rPr/>
      </w:pPr>
      <w:r>
        <w:rPr>
          <w:rFonts w:eastAsia="Calibri" w:cs="Calibri" w:ascii="Calibri" w:hAnsi="Calibri"/>
          <w:b/>
          <w:bCs/>
          <w:i w:val="false"/>
          <w:iCs w:val="false"/>
          <w:color w:val="1C2B39"/>
          <w:sz w:val="26"/>
          <w:szCs w:val="26"/>
        </w:rPr>
        <w:t>Antimicrobial Resistance Gene Profiling</w:t>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All eight </w:t>
      </w:r>
      <w:r>
        <w:rPr>
          <w:rFonts w:eastAsia="Cambria" w:cs="Cambria"/>
          <w:b w:val="false"/>
          <w:bCs w:val="false"/>
          <w:i/>
          <w:iCs/>
          <w:color w:val="1A1A1A"/>
          <w:sz w:val="22"/>
          <w:szCs w:val="22"/>
        </w:rPr>
        <w:t>Mycolicibacterium cosmeticum</w:t>
      </w:r>
      <w:r>
        <w:rPr>
          <w:rFonts w:eastAsia="Cambria" w:cs="Cambria"/>
          <w:b w:val="false"/>
          <w:bCs w:val="false"/>
          <w:i w:val="false"/>
          <w:iCs w:val="false"/>
          <w:color w:val="1A1A1A"/>
          <w:sz w:val="22"/>
          <w:szCs w:val="22"/>
        </w:rPr>
        <w:t xml:space="preserve"> isolates returned an identical and minimal AMR gene complement of three Strict hits (Figure </w:t>
      </w:r>
      <w:r>
        <w:rPr>
          <w:rFonts w:eastAsia="Cambria" w:cs="Cambria"/>
          <w:b w:val="false"/>
          <w:bCs w:val="false"/>
          <w:i w:val="false"/>
          <w:iCs w:val="false"/>
          <w:color w:val="1A1A1A"/>
          <w:sz w:val="22"/>
          <w:szCs w:val="22"/>
        </w:rPr>
        <w:t>3</w:t>
      </w:r>
      <w:r>
        <w:rPr>
          <w:rFonts w:eastAsia="Cambria" w:cs="Cambria"/>
          <w:b w:val="false"/>
          <w:bCs w:val="false"/>
          <w:i w:val="false"/>
          <w:iCs w:val="false"/>
          <w:color w:val="1A1A1A"/>
          <w:sz w:val="22"/>
          <w:szCs w:val="22"/>
        </w:rPr>
        <w:t xml:space="preserve">). Two genes conferred predicted resistance to rifamycin antibiotics through distinct mechanisms: the RNA polymerase-binding protein </w:t>
      </w:r>
      <w:r>
        <w:rPr>
          <w:rFonts w:eastAsia="Cambria" w:cs="Cambria"/>
          <w:b w:val="false"/>
          <w:bCs w:val="false"/>
          <w:i/>
          <w:iCs/>
          <w:color w:val="1A1A1A"/>
          <w:sz w:val="22"/>
          <w:szCs w:val="22"/>
        </w:rPr>
        <w:t>rbpA</w:t>
      </w:r>
      <w:r>
        <w:rPr>
          <w:rFonts w:eastAsia="Cambria" w:cs="Cambria"/>
          <w:b w:val="false"/>
          <w:bCs w:val="false"/>
          <w:i w:val="false"/>
          <w:iCs w:val="false"/>
          <w:color w:val="1A1A1A"/>
          <w:sz w:val="22"/>
          <w:szCs w:val="22"/>
        </w:rPr>
        <w:t xml:space="preserve"> (93.75% amino acid identity; antibiotic target protection) and the rifampin monooxygenase </w:t>
      </w:r>
      <w:r>
        <w:rPr>
          <w:rFonts w:eastAsia="Cambria" w:cs="Cambria"/>
          <w:b w:val="false"/>
          <w:bCs w:val="false"/>
          <w:i/>
          <w:iCs/>
          <w:color w:val="1A1A1A"/>
          <w:sz w:val="22"/>
          <w:szCs w:val="22"/>
        </w:rPr>
        <w:t>rox</w:t>
      </w:r>
      <w:r>
        <w:rPr>
          <w:rFonts w:eastAsia="Cambria" w:cs="Cambria"/>
          <w:b w:val="false"/>
          <w:bCs w:val="false"/>
          <w:i w:val="false"/>
          <w:iCs w:val="false"/>
          <w:color w:val="1A1A1A"/>
          <w:sz w:val="22"/>
          <w:szCs w:val="22"/>
        </w:rPr>
        <w:t xml:space="preserve">, homologous to </w:t>
      </w:r>
      <w:r>
        <w:rPr>
          <w:rFonts w:eastAsia="Cambria" w:cs="Cambria"/>
          <w:b w:val="false"/>
          <w:bCs w:val="false"/>
          <w:i/>
          <w:iCs/>
          <w:color w:val="1A1A1A"/>
          <w:sz w:val="22"/>
          <w:szCs w:val="22"/>
        </w:rPr>
        <w:t>Streptomyces venezuelae</w:t>
      </w:r>
      <w:r>
        <w:rPr>
          <w:rFonts w:eastAsia="Cambria" w:cs="Cambria"/>
          <w:b w:val="false"/>
          <w:bCs w:val="false"/>
          <w:i w:val="false"/>
          <w:iCs w:val="false"/>
          <w:color w:val="1A1A1A"/>
          <w:sz w:val="22"/>
          <w:szCs w:val="22"/>
        </w:rPr>
        <w:t xml:space="preserve"> Rox (67.3% identity; antibiotic inactivation). RbpA is a broadly conserved actinobacterial transcription factor that enhances RNA polymerase activity and reduces rifamycin susceptibility, while Rox catalyzes oxidative inactivation of rifampin. The third determinant, a </w:t>
      </w:r>
      <w:r>
        <w:rPr>
          <w:rFonts w:eastAsia="Cambria" w:cs="Cambria"/>
          <w:b w:val="false"/>
          <w:bCs w:val="false"/>
          <w:i/>
          <w:iCs/>
          <w:color w:val="1A1A1A"/>
          <w:sz w:val="22"/>
          <w:szCs w:val="22"/>
        </w:rPr>
        <w:t>vanY</w:t>
      </w:r>
      <w:r>
        <w:rPr>
          <w:rFonts w:eastAsia="Cambria" w:cs="Cambria"/>
          <w:b w:val="false"/>
          <w:bCs w:val="false"/>
          <w:i w:val="false"/>
          <w:iCs w:val="false"/>
          <w:color w:val="1A1A1A"/>
          <w:sz w:val="22"/>
          <w:szCs w:val="22"/>
        </w:rPr>
        <w:t xml:space="preserve"> homolog in the </w:t>
      </w:r>
      <w:r>
        <w:rPr>
          <w:rFonts w:eastAsia="Cambria" w:cs="Cambria"/>
          <w:b w:val="false"/>
          <w:bCs w:val="false"/>
          <w:i/>
          <w:iCs/>
          <w:color w:val="1A1A1A"/>
          <w:sz w:val="22"/>
          <w:szCs w:val="22"/>
        </w:rPr>
        <w:t>vanB</w:t>
      </w:r>
      <w:r>
        <w:rPr>
          <w:rFonts w:eastAsia="Cambria" w:cs="Cambria"/>
          <w:b w:val="false"/>
          <w:bCs w:val="false"/>
          <w:i w:val="false"/>
          <w:iCs w:val="false"/>
          <w:color w:val="1A1A1A"/>
          <w:sz w:val="22"/>
          <w:szCs w:val="22"/>
        </w:rPr>
        <w:t xml:space="preserve"> gene cluster (32.77% identity), encodes a predicted D,D-carboxypeptidase associated with glycopeptide (vancomycin) resistance through antibiotic target alteration. The low sequence identity of the </w:t>
      </w:r>
      <w:r>
        <w:rPr>
          <w:rFonts w:eastAsia="Cambria" w:cs="Cambria"/>
          <w:b w:val="false"/>
          <w:bCs w:val="false"/>
          <w:i/>
          <w:iCs/>
          <w:color w:val="1A1A1A"/>
          <w:sz w:val="22"/>
          <w:szCs w:val="22"/>
        </w:rPr>
        <w:t>vanY</w:t>
      </w:r>
      <w:r>
        <w:rPr>
          <w:rFonts w:eastAsia="Cambria" w:cs="Cambria"/>
          <w:b w:val="false"/>
          <w:bCs w:val="false"/>
          <w:i w:val="false"/>
          <w:iCs w:val="false"/>
          <w:color w:val="1A1A1A"/>
          <w:sz w:val="22"/>
          <w:szCs w:val="22"/>
        </w:rPr>
        <w:t xml:space="preserve"> hit suggests a distantly related homolog rather than a recently acquired resistance cassette. No strain-level variation was observed in the AMR gene repertoire as all eight isolates carried exactly the same three determinants at identical sequence identities, consistent with the highly conserved core genome observed across the panel.</w:t>
      </w:r>
    </w:p>
    <w:p>
      <w:pPr>
        <w:pStyle w:val="Normal"/>
        <w:keepNext w:val="true"/>
        <w:spacing w:lineRule="auto" w:line="252" w:before="240" w:after="120"/>
        <w:jc w:val="start"/>
        <w:rPr/>
      </w:pPr>
      <w:r>
        <w:rPr>
          <w:rFonts w:eastAsia="Cambria" w:cs="Cambria"/>
          <w:b/>
          <w:bCs/>
          <w:i w:val="false"/>
          <w:iCs w:val="false"/>
          <w:color w:val="1A1A1A"/>
          <w:sz w:val="19"/>
          <w:szCs w:val="19"/>
        </w:rPr>
        <w:t xml:space="preserve">Figure </w:t>
      </w:r>
      <w:r>
        <w:rPr>
          <w:rFonts w:eastAsia="Cambria" w:cs="Cambria"/>
          <w:b/>
          <w:bCs/>
          <w:i w:val="false"/>
          <w:iCs w:val="false"/>
          <w:color w:val="1A1A1A"/>
          <w:sz w:val="19"/>
          <w:szCs w:val="19"/>
        </w:rPr>
        <w:t>3</w:t>
      </w:r>
      <w:r>
        <w:rPr>
          <w:rFonts w:eastAsia="Cambria" w:cs="Cambria"/>
          <w:b/>
          <w:bCs/>
          <w:i w:val="false"/>
          <w:iCs w:val="false"/>
          <w:color w:val="1A1A1A"/>
          <w:sz w:val="19"/>
          <w:szCs w:val="19"/>
        </w:rPr>
        <w:t>.</w:t>
      </w:r>
      <w:r>
        <w:rPr>
          <w:rFonts w:eastAsia="Cambria" w:cs="Cambria"/>
          <w:b w:val="false"/>
          <w:bCs w:val="false"/>
          <w:i w:val="false"/>
          <w:iCs w:val="false"/>
          <w:color w:val="1A1A1A"/>
          <w:sz w:val="19"/>
          <w:szCs w:val="19"/>
        </w:rPr>
        <w:t xml:space="preserve"> Heatmap of antimicrobial resistance genes identified across the eight </w:t>
      </w:r>
      <w:r>
        <w:rPr>
          <w:rFonts w:eastAsia="Cambria" w:cs="Cambria"/>
          <w:b w:val="false"/>
          <w:bCs w:val="false"/>
          <w:i/>
          <w:iCs/>
          <w:color w:val="1A1A1A"/>
          <w:sz w:val="19"/>
          <w:szCs w:val="19"/>
        </w:rPr>
        <w:t>Mycolicibacterium cosmeticum</w:t>
      </w:r>
      <w:r>
        <w:rPr>
          <w:rFonts w:eastAsia="Cambria" w:cs="Cambria"/>
          <w:b w:val="false"/>
          <w:bCs w:val="false"/>
          <w:i w:val="false"/>
          <w:iCs w:val="false"/>
          <w:color w:val="1A1A1A"/>
          <w:sz w:val="19"/>
          <w:szCs w:val="19"/>
        </w:rPr>
        <w:t xml:space="preserve"> isolates by RGI/CARD Strict-hit screening. All isolates share an identical complement of three resistance determinants: </w:t>
      </w:r>
      <w:r>
        <w:rPr>
          <w:rFonts w:eastAsia="Cambria" w:cs="Cambria"/>
          <w:b w:val="false"/>
          <w:bCs w:val="false"/>
          <w:i/>
          <w:iCs/>
          <w:color w:val="1A1A1A"/>
          <w:sz w:val="19"/>
          <w:szCs w:val="19"/>
        </w:rPr>
        <w:t>vanY</w:t>
      </w:r>
      <w:r>
        <w:rPr>
          <w:rFonts w:eastAsia="Cambria" w:cs="Cambria"/>
          <w:b w:val="false"/>
          <w:bCs w:val="false"/>
          <w:i w:val="false"/>
          <w:iCs w:val="false"/>
          <w:color w:val="1A1A1A"/>
          <w:sz w:val="19"/>
          <w:szCs w:val="19"/>
        </w:rPr>
        <w:t xml:space="preserve"> (glycopeptide resistance), </w:t>
      </w:r>
      <w:r>
        <w:rPr>
          <w:rFonts w:eastAsia="Cambria" w:cs="Cambria"/>
          <w:b w:val="false"/>
          <w:bCs w:val="false"/>
          <w:i/>
          <w:iCs/>
          <w:color w:val="1A1A1A"/>
          <w:sz w:val="19"/>
          <w:szCs w:val="19"/>
        </w:rPr>
        <w:t>rox</w:t>
      </w:r>
      <w:r>
        <w:rPr>
          <w:rFonts w:eastAsia="Cambria" w:cs="Cambria"/>
          <w:b w:val="false"/>
          <w:bCs w:val="false"/>
          <w:i w:val="false"/>
          <w:iCs w:val="false"/>
          <w:color w:val="1A1A1A"/>
          <w:sz w:val="19"/>
          <w:szCs w:val="19"/>
        </w:rPr>
        <w:t xml:space="preserve"> (rifamycin inactivation), and </w:t>
      </w:r>
      <w:r>
        <w:rPr>
          <w:rFonts w:eastAsia="Cambria" w:cs="Cambria"/>
          <w:b w:val="false"/>
          <w:bCs w:val="false"/>
          <w:i/>
          <w:iCs/>
          <w:color w:val="1A1A1A"/>
          <w:sz w:val="19"/>
          <w:szCs w:val="19"/>
        </w:rPr>
        <w:t>rbpA</w:t>
      </w:r>
      <w:r>
        <w:rPr>
          <w:rFonts w:eastAsia="Cambria" w:cs="Cambria"/>
          <w:b w:val="false"/>
          <w:bCs w:val="false"/>
          <w:i w:val="false"/>
          <w:iCs w:val="false"/>
          <w:color w:val="1A1A1A"/>
          <w:sz w:val="19"/>
          <w:szCs w:val="19"/>
        </w:rPr>
        <w:t xml:space="preserve"> (rifamycin target protection).</w:t>
      </w:r>
    </w:p>
    <w:p>
      <w:pPr>
        <w:pStyle w:val="Normal"/>
        <w:spacing w:before="80" w:after="240"/>
        <w:jc w:val="center"/>
        <w:rPr/>
      </w:pPr>
      <w:r>
        <w:rPr/>
        <w:drawing>
          <wp:inline distT="0" distB="0" distL="0" distR="0">
            <wp:extent cx="6400800" cy="29527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6400800" cy="2952750"/>
                    </a:xfrm>
                    <a:prstGeom prst="rect">
                      <a:avLst/>
                    </a:prstGeom>
                    <a:noFill/>
                  </pic:spPr>
                </pic:pic>
              </a:graphicData>
            </a:graphic>
          </wp:inline>
        </w:drawing>
      </w:r>
    </w:p>
    <w:p>
      <w:pPr>
        <w:pStyle w:val="Heading2"/>
        <w:keepNext w:val="true"/>
        <w:spacing w:before="420" w:after="180"/>
        <w:rPr/>
      </w:pPr>
      <w:r>
        <w:rPr>
          <w:rFonts w:eastAsia="Calibri" w:cs="Calibri" w:ascii="Calibri" w:hAnsi="Calibri"/>
          <w:b/>
          <w:bCs/>
          <w:i w:val="false"/>
          <w:iCs w:val="false"/>
          <w:color w:val="1C2B39"/>
          <w:sz w:val="26"/>
          <w:szCs w:val="26"/>
        </w:rPr>
        <w:t>Plasmid-Like Contigs and Mobilome Dynamics</w:t>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Beyond the main chromosome, all eight </w:t>
      </w:r>
      <w:r>
        <w:rPr>
          <w:rFonts w:eastAsia="Cambria" w:cs="Cambria"/>
          <w:b w:val="false"/>
          <w:bCs w:val="false"/>
          <w:i/>
          <w:iCs/>
          <w:color w:val="1A1A1A"/>
          <w:sz w:val="22"/>
          <w:szCs w:val="22"/>
        </w:rPr>
        <w:t>M. cosmeticum</w:t>
      </w:r>
      <w:r>
        <w:rPr>
          <w:rFonts w:eastAsia="Cambria" w:cs="Cambria"/>
          <w:b w:val="false"/>
          <w:bCs w:val="false"/>
          <w:i w:val="false"/>
          <w:iCs w:val="false"/>
          <w:color w:val="1A1A1A"/>
          <w:sz w:val="22"/>
          <w:szCs w:val="22"/>
        </w:rPr>
        <w:t xml:space="preserve"> isolates carried between one and four additional plasmid-like contigs resolved by Trycycler (Table 3). Several independent piece of evidence support a plausible plasmid identity for these contigs: (i) dnaapler reoriented them to a replication initiation protein gene (</w:t>
      </w:r>
      <w:r>
        <w:rPr>
          <w:rFonts w:eastAsia="Cambria" w:cs="Cambria"/>
          <w:b w:val="false"/>
          <w:bCs w:val="false"/>
          <w:i/>
          <w:iCs/>
          <w:color w:val="1A1A1A"/>
          <w:sz w:val="22"/>
          <w:szCs w:val="22"/>
        </w:rPr>
        <w:t>repA</w:t>
      </w:r>
      <w:r>
        <w:rPr>
          <w:rFonts w:eastAsia="Cambria" w:cs="Cambria"/>
          <w:b w:val="false"/>
          <w:bCs w:val="false"/>
          <w:i w:val="false"/>
          <w:iCs w:val="false"/>
          <w:color w:val="1A1A1A"/>
          <w:sz w:val="22"/>
          <w:szCs w:val="22"/>
        </w:rPr>
        <w:t xml:space="preserve">); (ii) their GC content (64.0%–65.3%) was consistently ~3% lower than that of the respective chromosomes (~68.3%); and (iii) geNomad classified 12 contigs as a plasmid with high confidence (scores 0.87–0.99) from its aggregate and marker classifiers, except the one weak-discordant call of DESC06 cluster_005 . MOB-suite </w:t>
      </w:r>
      <w:r>
        <w:rPr>
          <w:rFonts w:eastAsia="Consolas" w:cs="Consolas" w:ascii="Consolas" w:hAnsi="Consolas"/>
          <w:color w:val="9D174D"/>
          <w:sz w:val="20"/>
          <w:szCs w:val="20"/>
        </w:rPr>
        <w:t>mob_recon</w:t>
      </w:r>
      <w:r>
        <w:rPr>
          <w:rFonts w:eastAsia="Cambria" w:cs="Cambria"/>
          <w:b w:val="false"/>
          <w:bCs w:val="false"/>
          <w:i w:val="false"/>
          <w:iCs w:val="false"/>
          <w:color w:val="1A1A1A"/>
          <w:sz w:val="22"/>
          <w:szCs w:val="22"/>
        </w:rPr>
        <w:t xml:space="preserve">, however, assigned all contigs including these putative plasmids to the </w:t>
      </w:r>
      <w:r>
        <w:rPr>
          <w:rFonts w:eastAsia="Consolas" w:cs="Consolas" w:ascii="Consolas" w:hAnsi="Consolas"/>
          <w:color w:val="9D174D"/>
          <w:sz w:val="20"/>
          <w:szCs w:val="20"/>
        </w:rPr>
        <w:t>chromosome</w:t>
      </w:r>
      <w:r>
        <w:rPr>
          <w:rFonts w:eastAsia="Cambria" w:cs="Cambria"/>
          <w:b w:val="false"/>
          <w:bCs w:val="false"/>
          <w:i w:val="false"/>
          <w:iCs w:val="false"/>
          <w:color w:val="1A1A1A"/>
          <w:sz w:val="22"/>
          <w:szCs w:val="22"/>
        </w:rPr>
        <w:t xml:space="preserve"> bin, and did not detect replicon, relaxase, or oriT biomarkers in seven of the eight isolates; the sole exception was BULB06 cluster_002 (191.2 kbp), for which MOB-suite identified a replicon match to </w:t>
      </w:r>
      <w:r>
        <w:rPr>
          <w:rFonts w:eastAsia="Consolas" w:cs="Consolas" w:ascii="Consolas" w:hAnsi="Consolas"/>
          <w:color w:val="9D174D"/>
          <w:sz w:val="20"/>
          <w:szCs w:val="20"/>
        </w:rPr>
        <w:t>rep_cluster_1561</w:t>
      </w:r>
      <w:r>
        <w:rPr>
          <w:rFonts w:eastAsia="Cambria" w:cs="Cambria"/>
          <w:b w:val="false"/>
          <w:bCs w:val="false"/>
          <w:i w:val="false"/>
          <w:iCs w:val="false"/>
          <w:color w:val="1A1A1A"/>
          <w:sz w:val="22"/>
          <w:szCs w:val="22"/>
        </w:rPr>
        <w:t xml:space="preserve"> (NCBI accession CP015221; 99.88% identity and 100% coverage). Nevertheless, MOB-suite </w:t>
      </w:r>
      <w:r>
        <w:rPr>
          <w:rFonts w:eastAsia="Consolas" w:cs="Consolas" w:ascii="Consolas" w:hAnsi="Consolas"/>
          <w:color w:val="9D174D"/>
          <w:sz w:val="20"/>
          <w:szCs w:val="20"/>
        </w:rPr>
        <w:t>mob_typer</w:t>
      </w:r>
      <w:r>
        <w:rPr>
          <w:rFonts w:eastAsia="Cambria" w:cs="Cambria"/>
          <w:b w:val="false"/>
          <w:bCs w:val="false"/>
          <w:i w:val="false"/>
          <w:iCs w:val="false"/>
          <w:color w:val="1A1A1A"/>
          <w:sz w:val="22"/>
          <w:szCs w:val="22"/>
        </w:rPr>
        <w:t xml:space="preserve"> found no recognized mobility profile, so transferability cannot be inferred. This stark contrast with geNomad results likely reflects the limited representation of mycobacterial plasmids in MOB-suite's reference databases.</w:t>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Five isolates (ANT01, ANT06, BODY01, BULB01, and DESC01) each contained one large plasmid-like candidate of 212-241 kbp and 65.1%-65.2% GC. BODY06 and BULB06 contained related 153 kbp and 56 kbp plasmid-like candidates along with an additional plasmid-like contig for BULB06 sized 191.2 kbp. In DESC06, aside from the ~1.07 Mbp displaced chromosomal fragment discussed before, three additional contigs were classified as putative plasmids by geNomad: a 162.8 kbp element (score 0.989, reoriented to </w:t>
      </w:r>
      <w:r>
        <w:rPr>
          <w:rFonts w:eastAsia="Cambria" w:cs="Cambria"/>
          <w:b w:val="false"/>
          <w:bCs w:val="false"/>
          <w:i/>
          <w:iCs/>
          <w:color w:val="1A1A1A"/>
          <w:sz w:val="22"/>
          <w:szCs w:val="22"/>
        </w:rPr>
        <w:t>terL</w:t>
      </w:r>
      <w:r>
        <w:rPr>
          <w:rFonts w:eastAsia="Cambria" w:cs="Cambria"/>
          <w:b w:val="false"/>
          <w:bCs w:val="false"/>
          <w:i w:val="false"/>
          <w:iCs w:val="false"/>
          <w:color w:val="1A1A1A"/>
          <w:sz w:val="22"/>
          <w:szCs w:val="22"/>
        </w:rPr>
        <w:t xml:space="preserve"> by dnaapler), a 62.1 kbp </w:t>
      </w:r>
      <w:r>
        <w:rPr>
          <w:rFonts w:eastAsia="Cambria" w:cs="Cambria"/>
          <w:b w:val="false"/>
          <w:bCs w:val="false"/>
          <w:i/>
          <w:iCs/>
          <w:color w:val="1A1A1A"/>
          <w:sz w:val="22"/>
          <w:szCs w:val="22"/>
        </w:rPr>
        <w:t>repA</w:t>
      </w:r>
      <w:r>
        <w:rPr>
          <w:rFonts w:eastAsia="Cambria" w:cs="Cambria"/>
          <w:b w:val="false"/>
          <w:bCs w:val="false"/>
          <w:i w:val="false"/>
          <w:iCs w:val="false"/>
          <w:color w:val="1A1A1A"/>
          <w:sz w:val="22"/>
          <w:szCs w:val="22"/>
        </w:rPr>
        <w:t>-bearing replicon (score 0.989), and a 7.5 kbp element (score 0.868). geNomad additionally identified a conserved Caudoviricetes provirus (~10.9 kbp; virus score 0.945; 5 hallmark genes) integrated into the main chromosome at a syntenic position across seven of the eight isolates (~1.94 Mbp on cluster_001). In DESC06, a shorter proviral remnant (6.1 kbp; virus score 0.965) was detected at the start of the displaced cluster_002 segment rather than on the main chromosome, consistent with how the chromosome of this genome was split into two. MOB-suite MGE screening identified IS1511 (IS256 family) insertion sequences exclusively on the main chromosomes, with 4 copies in most isolates and 3 in DESC06 (on its shorter cluster_001). No IS elements were detected on any of the extrachromosomal contigs.</w:t>
      </w:r>
    </w:p>
    <w:p>
      <w:pPr>
        <w:pStyle w:val="Normal"/>
        <w:keepNext w:val="true"/>
        <w:spacing w:lineRule="auto" w:line="252" w:before="240" w:after="120"/>
        <w:jc w:val="start"/>
        <w:rPr/>
      </w:pPr>
      <w:r>
        <w:rPr>
          <w:rFonts w:eastAsia="Cambria" w:cs="Cambria"/>
          <w:b/>
          <w:bCs/>
          <w:i w:val="false"/>
          <w:iCs w:val="false"/>
          <w:color w:val="1A1A1A"/>
          <w:sz w:val="19"/>
          <w:szCs w:val="19"/>
        </w:rPr>
        <w:t>Table 3.</w:t>
      </w:r>
      <w:r>
        <w:rPr>
          <w:rFonts w:eastAsia="Cambria" w:cs="Cambria"/>
          <w:b w:val="false"/>
          <w:bCs w:val="false"/>
          <w:i w:val="false"/>
          <w:iCs w:val="false"/>
          <w:color w:val="1A1A1A"/>
          <w:sz w:val="19"/>
          <w:szCs w:val="19"/>
        </w:rPr>
        <w:t xml:space="preserve"> Contig-level classification of all non-chromosomal elements across the eight </w:t>
      </w:r>
      <w:r>
        <w:rPr>
          <w:rFonts w:eastAsia="Cambria" w:cs="Cambria"/>
          <w:b w:val="false"/>
          <w:bCs w:val="false"/>
          <w:i/>
          <w:iCs/>
          <w:color w:val="1A1A1A"/>
          <w:sz w:val="19"/>
          <w:szCs w:val="19"/>
        </w:rPr>
        <w:t>M. cosmeticum</w:t>
      </w:r>
      <w:r>
        <w:rPr>
          <w:rFonts w:eastAsia="Cambria" w:cs="Cambria"/>
          <w:b w:val="false"/>
          <w:bCs w:val="false"/>
          <w:i w:val="false"/>
          <w:iCs w:val="false"/>
          <w:color w:val="1A1A1A"/>
          <w:sz w:val="19"/>
          <w:szCs w:val="19"/>
        </w:rPr>
        <w:t xml:space="preserve"> isolates. mob_recon classification, dnaapler reorientation gene, and geNomad plasmid/provirus scores are shown for each contig. The main chromosomes (cluster_001, reoriented to </w:t>
      </w:r>
      <w:r>
        <w:rPr>
          <w:rFonts w:eastAsia="Cambria" w:cs="Cambria"/>
          <w:b w:val="false"/>
          <w:bCs w:val="false"/>
          <w:i/>
          <w:iCs/>
          <w:color w:val="1A1A1A"/>
          <w:sz w:val="19"/>
          <w:szCs w:val="19"/>
        </w:rPr>
        <w:t>dnaA</w:t>
      </w:r>
      <w:r>
        <w:rPr>
          <w:rFonts w:eastAsia="Cambria" w:cs="Cambria"/>
          <w:b w:val="false"/>
          <w:bCs w:val="false"/>
          <w:i w:val="false"/>
          <w:iCs w:val="false"/>
          <w:color w:val="1A1A1A"/>
          <w:sz w:val="19"/>
          <w:szCs w:val="19"/>
        </w:rPr>
        <w:t>) are omitted for brevity.</w:t>
      </w:r>
    </w:p>
    <w:tbl>
      <w:tblPr>
        <w:tblW w:w="10080" w:type="dxa"/>
        <w:jc w:val="start"/>
        <w:tblInd w:w="0" w:type="dxa"/>
        <w:tblLayout w:type="fixed"/>
        <w:tblCellMar>
          <w:top w:w="90" w:type="dxa"/>
          <w:start w:w="80" w:type="dxa"/>
          <w:bottom w:w="90" w:type="dxa"/>
          <w:end w:w="80" w:type="dxa"/>
        </w:tblCellMar>
      </w:tblPr>
      <w:tblGrid>
        <w:gridCol w:w="833"/>
        <w:gridCol w:w="1203"/>
        <w:gridCol w:w="1018"/>
        <w:gridCol w:w="650"/>
        <w:gridCol w:w="1110"/>
        <w:gridCol w:w="1477"/>
        <w:gridCol w:w="1295"/>
        <w:gridCol w:w="2494"/>
      </w:tblGrid>
      <w:tr>
        <w:trPr>
          <w:tblHeader w:val="true"/>
        </w:trPr>
        <w:tc>
          <w:tcPr>
            <w:tcW w:w="833" w:type="dxa"/>
            <w:tcBorders>
              <w:top w:val="single" w:sz="10" w:space="0" w:color="1C2B39"/>
              <w:bottom w:val="single" w:sz="4" w:space="0" w:color="1C2B39"/>
            </w:tcBorders>
            <w:shd w:color="auto" w:fill="F3F4F6" w:val="clear"/>
            <w:vAlign w:val="center"/>
          </w:tcPr>
          <w:p>
            <w:pPr>
              <w:pStyle w:val="Normal"/>
              <w:jc w:val="start"/>
              <w:rPr/>
            </w:pPr>
            <w:r>
              <w:rPr>
                <w:rFonts w:eastAsia="Cambria" w:cs="Cambria"/>
                <w:b/>
                <w:bCs/>
                <w:i w:val="false"/>
                <w:iCs w:val="false"/>
                <w:color w:val="1C2B39"/>
                <w:sz w:val="17"/>
                <w:szCs w:val="17"/>
              </w:rPr>
              <w:t>Isolate</w:t>
            </w:r>
          </w:p>
        </w:tc>
        <w:tc>
          <w:tcPr>
            <w:tcW w:w="1203" w:type="dxa"/>
            <w:tcBorders>
              <w:top w:val="single" w:sz="10" w:space="0" w:color="1C2B39"/>
              <w:bottom w:val="single" w:sz="4" w:space="0" w:color="1C2B39"/>
            </w:tcBorders>
            <w:shd w:color="auto" w:fill="F3F4F6" w:val="clear"/>
            <w:vAlign w:val="center"/>
          </w:tcPr>
          <w:p>
            <w:pPr>
              <w:pStyle w:val="Normal"/>
              <w:jc w:val="start"/>
              <w:rPr/>
            </w:pPr>
            <w:r>
              <w:rPr>
                <w:rFonts w:eastAsia="Cambria" w:cs="Cambria"/>
                <w:b/>
                <w:bCs/>
                <w:i w:val="false"/>
                <w:iCs w:val="false"/>
                <w:color w:val="1C2B39"/>
                <w:sz w:val="17"/>
                <w:szCs w:val="17"/>
              </w:rPr>
              <w:t>Contig</w:t>
            </w:r>
          </w:p>
        </w:tc>
        <w:tc>
          <w:tcPr>
            <w:tcW w:w="1018" w:type="dxa"/>
            <w:tcBorders>
              <w:top w:val="single" w:sz="10" w:space="0" w:color="1C2B39"/>
              <w:bottom w:val="single" w:sz="4" w:space="0" w:color="1C2B39"/>
            </w:tcBorders>
            <w:shd w:color="auto" w:fill="F3F4F6" w:val="clear"/>
            <w:vAlign w:val="center"/>
          </w:tcPr>
          <w:p>
            <w:pPr>
              <w:pStyle w:val="Normal"/>
              <w:jc w:val="end"/>
              <w:rPr/>
            </w:pPr>
            <w:r>
              <w:rPr>
                <w:rFonts w:eastAsia="Cambria" w:cs="Cambria"/>
                <w:b/>
                <w:bCs/>
                <w:i w:val="false"/>
                <w:iCs w:val="false"/>
                <w:color w:val="1C2B39"/>
                <w:sz w:val="17"/>
                <w:szCs w:val="17"/>
              </w:rPr>
              <w:t>Size (bp)</w:t>
            </w:r>
          </w:p>
        </w:tc>
        <w:tc>
          <w:tcPr>
            <w:tcW w:w="650" w:type="dxa"/>
            <w:tcBorders>
              <w:top w:val="single" w:sz="10" w:space="0" w:color="1C2B39"/>
              <w:bottom w:val="single" w:sz="4" w:space="0" w:color="1C2B39"/>
            </w:tcBorders>
            <w:shd w:color="auto" w:fill="F3F4F6" w:val="clear"/>
            <w:vAlign w:val="center"/>
          </w:tcPr>
          <w:p>
            <w:pPr>
              <w:pStyle w:val="Normal"/>
              <w:jc w:val="end"/>
              <w:rPr/>
            </w:pPr>
            <w:r>
              <w:rPr>
                <w:rFonts w:eastAsia="Cambria" w:cs="Cambria"/>
                <w:b/>
                <w:bCs/>
                <w:i w:val="false"/>
                <w:iCs w:val="false"/>
                <w:color w:val="1C2B39"/>
                <w:sz w:val="17"/>
                <w:szCs w:val="17"/>
              </w:rPr>
              <w:t>GC (%)</w:t>
            </w:r>
          </w:p>
        </w:tc>
        <w:tc>
          <w:tcPr>
            <w:tcW w:w="1110" w:type="dxa"/>
            <w:tcBorders>
              <w:top w:val="single" w:sz="10" w:space="0" w:color="1C2B39"/>
              <w:bottom w:val="single" w:sz="4" w:space="0" w:color="1C2B39"/>
            </w:tcBorders>
            <w:shd w:color="auto" w:fill="F3F4F6" w:val="clear"/>
            <w:vAlign w:val="center"/>
          </w:tcPr>
          <w:p>
            <w:pPr>
              <w:pStyle w:val="Normal"/>
              <w:jc w:val="start"/>
              <w:rPr/>
            </w:pPr>
            <w:r>
              <w:rPr>
                <w:rFonts w:eastAsia="Cambria" w:cs="Cambria"/>
                <w:b/>
                <w:bCs/>
                <w:i w:val="false"/>
                <w:iCs w:val="false"/>
                <w:color w:val="1C2B39"/>
                <w:sz w:val="17"/>
                <w:szCs w:val="17"/>
              </w:rPr>
              <w:t>mob_recon class</w:t>
            </w:r>
          </w:p>
        </w:tc>
        <w:tc>
          <w:tcPr>
            <w:tcW w:w="1477" w:type="dxa"/>
            <w:tcBorders>
              <w:top w:val="single" w:sz="10" w:space="0" w:color="1C2B39"/>
              <w:bottom w:val="single" w:sz="4" w:space="0" w:color="1C2B39"/>
            </w:tcBorders>
            <w:shd w:color="auto" w:fill="F3F4F6" w:val="clear"/>
            <w:vAlign w:val="center"/>
          </w:tcPr>
          <w:p>
            <w:pPr>
              <w:pStyle w:val="Normal"/>
              <w:jc w:val="start"/>
              <w:rPr/>
            </w:pPr>
            <w:r>
              <w:rPr>
                <w:rFonts w:eastAsia="Cambria" w:cs="Cambria"/>
                <w:b/>
                <w:bCs/>
                <w:i w:val="false"/>
                <w:iCs w:val="false"/>
                <w:color w:val="1C2B39"/>
                <w:sz w:val="17"/>
                <w:szCs w:val="17"/>
              </w:rPr>
              <w:t>rep_type</w:t>
            </w:r>
          </w:p>
        </w:tc>
        <w:tc>
          <w:tcPr>
            <w:tcW w:w="1295" w:type="dxa"/>
            <w:tcBorders>
              <w:top w:val="single" w:sz="10" w:space="0" w:color="1C2B39"/>
              <w:bottom w:val="single" w:sz="4" w:space="0" w:color="1C2B39"/>
            </w:tcBorders>
            <w:shd w:color="auto" w:fill="F3F4F6" w:val="clear"/>
            <w:vAlign w:val="center"/>
          </w:tcPr>
          <w:p>
            <w:pPr>
              <w:pStyle w:val="Normal"/>
              <w:jc w:val="start"/>
              <w:rPr/>
            </w:pPr>
            <w:r>
              <w:rPr>
                <w:rFonts w:eastAsia="Cambria" w:cs="Cambria"/>
                <w:b/>
                <w:bCs/>
                <w:i w:val="false"/>
                <w:iCs w:val="false"/>
                <w:color w:val="1C2B39"/>
                <w:sz w:val="17"/>
                <w:szCs w:val="17"/>
              </w:rPr>
              <w:t>dnaapler gene</w:t>
            </w:r>
          </w:p>
        </w:tc>
        <w:tc>
          <w:tcPr>
            <w:tcW w:w="2494" w:type="dxa"/>
            <w:tcBorders>
              <w:top w:val="single" w:sz="10" w:space="0" w:color="1C2B39"/>
              <w:bottom w:val="single" w:sz="4" w:space="0" w:color="1C2B39"/>
            </w:tcBorders>
            <w:shd w:color="auto" w:fill="F3F4F6" w:val="clear"/>
            <w:vAlign w:val="center"/>
          </w:tcPr>
          <w:p>
            <w:pPr>
              <w:pStyle w:val="Normal"/>
              <w:jc w:val="start"/>
              <w:rPr/>
            </w:pPr>
            <w:r>
              <w:rPr>
                <w:rFonts w:eastAsia="Cambria" w:cs="Cambria"/>
                <w:b/>
                <w:bCs/>
                <w:i w:val="false"/>
                <w:iCs w:val="false"/>
                <w:color w:val="1C2B39"/>
                <w:sz w:val="17"/>
                <w:szCs w:val="17"/>
              </w:rPr>
              <w:t>geNomad finding</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ANT01</w:t>
            </w:r>
          </w:p>
        </w:tc>
        <w:tc>
          <w:tcPr>
            <w:tcW w:w="120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cluster_002</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241,330</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65.15</w:t>
            </w:r>
          </w:p>
        </w:tc>
        <w:tc>
          <w:tcPr>
            <w:tcW w:w="1110"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chromosome</w:t>
            </w:r>
          </w:p>
        </w:tc>
        <w:tc>
          <w:tcPr>
            <w:tcW w:w="1477"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w:t>
            </w:r>
          </w:p>
        </w:tc>
        <w:tc>
          <w:tcPr>
            <w:tcW w:w="1295" w:type="dxa"/>
            <w:tcBorders/>
            <w:tcMar>
              <w:top w:w="70" w:type="dxa"/>
              <w:bottom w:w="70" w:type="dxa"/>
            </w:tcMar>
            <w:vAlign w:val="center"/>
          </w:tcPr>
          <w:p>
            <w:pPr>
              <w:pStyle w:val="Normal"/>
              <w:jc w:val="start"/>
              <w:rPr/>
            </w:pPr>
            <w:r>
              <w:rPr>
                <w:rFonts w:eastAsia="Cambria" w:cs="Cambria"/>
                <w:b w:val="false"/>
                <w:bCs w:val="false"/>
                <w:i/>
                <w:iCs/>
                <w:color w:val="1A1A1A"/>
                <w:sz w:val="17"/>
                <w:szCs w:val="17"/>
              </w:rPr>
              <w:t>repA</w:t>
            </w:r>
            <w:r>
              <w:rPr>
                <w:rFonts w:eastAsia="Cambria" w:cs="Cambria"/>
                <w:b w:val="false"/>
                <w:bCs w:val="false"/>
                <w:i w:val="false"/>
                <w:iCs w:val="false"/>
                <w:color w:val="1A1A1A"/>
                <w:sz w:val="17"/>
                <w:szCs w:val="17"/>
              </w:rPr>
              <w:t>-like</w:t>
            </w:r>
          </w:p>
        </w:tc>
        <w:tc>
          <w:tcPr>
            <w:tcW w:w="249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Plasmid-like (0.989; 1 hallmark)</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ANT06</w:t>
            </w:r>
          </w:p>
        </w:tc>
        <w:tc>
          <w:tcPr>
            <w:tcW w:w="120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cluster_003</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212,343</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65.12</w:t>
            </w:r>
          </w:p>
        </w:tc>
        <w:tc>
          <w:tcPr>
            <w:tcW w:w="1110"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chromosome</w:t>
            </w:r>
          </w:p>
        </w:tc>
        <w:tc>
          <w:tcPr>
            <w:tcW w:w="1477"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w:t>
            </w:r>
          </w:p>
        </w:tc>
        <w:tc>
          <w:tcPr>
            <w:tcW w:w="1295" w:type="dxa"/>
            <w:tcBorders/>
            <w:tcMar>
              <w:top w:w="70" w:type="dxa"/>
              <w:bottom w:w="70" w:type="dxa"/>
            </w:tcMar>
            <w:vAlign w:val="center"/>
          </w:tcPr>
          <w:p>
            <w:pPr>
              <w:pStyle w:val="Normal"/>
              <w:jc w:val="start"/>
              <w:rPr/>
            </w:pPr>
            <w:r>
              <w:rPr>
                <w:rFonts w:eastAsia="Cambria" w:cs="Cambria"/>
                <w:b w:val="false"/>
                <w:bCs w:val="false"/>
                <w:i/>
                <w:iCs/>
                <w:color w:val="1A1A1A"/>
                <w:sz w:val="17"/>
                <w:szCs w:val="17"/>
              </w:rPr>
              <w:t>repA</w:t>
            </w:r>
            <w:r>
              <w:rPr>
                <w:rFonts w:eastAsia="Cambria" w:cs="Cambria"/>
                <w:b w:val="false"/>
                <w:bCs w:val="false"/>
                <w:i w:val="false"/>
                <w:iCs w:val="false"/>
                <w:color w:val="1A1A1A"/>
                <w:sz w:val="17"/>
                <w:szCs w:val="17"/>
              </w:rPr>
              <w:t>-like</w:t>
            </w:r>
          </w:p>
        </w:tc>
        <w:tc>
          <w:tcPr>
            <w:tcW w:w="249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Plasmid-like (0.988; 1 hallmark)</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BODY01</w:t>
            </w:r>
          </w:p>
        </w:tc>
        <w:tc>
          <w:tcPr>
            <w:tcW w:w="120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cluster_002</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233,501</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65.10</w:t>
            </w:r>
          </w:p>
        </w:tc>
        <w:tc>
          <w:tcPr>
            <w:tcW w:w="1110"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chromosome</w:t>
            </w:r>
          </w:p>
        </w:tc>
        <w:tc>
          <w:tcPr>
            <w:tcW w:w="1477"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w:t>
            </w:r>
          </w:p>
        </w:tc>
        <w:tc>
          <w:tcPr>
            <w:tcW w:w="1295" w:type="dxa"/>
            <w:tcBorders/>
            <w:tcMar>
              <w:top w:w="70" w:type="dxa"/>
              <w:bottom w:w="70" w:type="dxa"/>
            </w:tcMar>
            <w:vAlign w:val="center"/>
          </w:tcPr>
          <w:p>
            <w:pPr>
              <w:pStyle w:val="Normal"/>
              <w:jc w:val="start"/>
              <w:rPr/>
            </w:pPr>
            <w:r>
              <w:rPr>
                <w:rFonts w:eastAsia="Cambria" w:cs="Cambria"/>
                <w:b w:val="false"/>
                <w:bCs w:val="false"/>
                <w:i/>
                <w:iCs/>
                <w:color w:val="1A1A1A"/>
                <w:sz w:val="17"/>
                <w:szCs w:val="17"/>
              </w:rPr>
              <w:t>repA</w:t>
            </w:r>
            <w:r>
              <w:rPr>
                <w:rFonts w:eastAsia="Cambria" w:cs="Cambria"/>
                <w:b w:val="false"/>
                <w:bCs w:val="false"/>
                <w:i w:val="false"/>
                <w:iCs w:val="false"/>
                <w:color w:val="1A1A1A"/>
                <w:sz w:val="17"/>
                <w:szCs w:val="17"/>
              </w:rPr>
              <w:t>-like</w:t>
            </w:r>
          </w:p>
        </w:tc>
        <w:tc>
          <w:tcPr>
            <w:tcW w:w="249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Plasmid-like (0.989; 1 hallmark)</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BODY06</w:t>
            </w:r>
          </w:p>
        </w:tc>
        <w:tc>
          <w:tcPr>
            <w:tcW w:w="120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cluster_002</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153,339</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65.10</w:t>
            </w:r>
          </w:p>
        </w:tc>
        <w:tc>
          <w:tcPr>
            <w:tcW w:w="1110"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chromosome</w:t>
            </w:r>
          </w:p>
        </w:tc>
        <w:tc>
          <w:tcPr>
            <w:tcW w:w="1477"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w:t>
            </w:r>
          </w:p>
        </w:tc>
        <w:tc>
          <w:tcPr>
            <w:tcW w:w="1295" w:type="dxa"/>
            <w:tcBorders/>
            <w:tcMar>
              <w:top w:w="70" w:type="dxa"/>
              <w:bottom w:w="70" w:type="dxa"/>
            </w:tcMar>
            <w:vAlign w:val="center"/>
          </w:tcPr>
          <w:p>
            <w:pPr>
              <w:pStyle w:val="Normal"/>
              <w:jc w:val="start"/>
              <w:rPr/>
            </w:pPr>
            <w:r>
              <w:rPr>
                <w:rFonts w:eastAsia="Cambria" w:cs="Cambria"/>
                <w:b w:val="false"/>
                <w:bCs w:val="false"/>
                <w:i/>
                <w:iCs/>
                <w:color w:val="1A1A1A"/>
                <w:sz w:val="17"/>
                <w:szCs w:val="17"/>
              </w:rPr>
              <w:t>repA</w:t>
            </w:r>
            <w:r>
              <w:rPr>
                <w:rFonts w:eastAsia="Cambria" w:cs="Cambria"/>
                <w:b w:val="false"/>
                <w:bCs w:val="false"/>
                <w:i w:val="false"/>
                <w:iCs w:val="false"/>
                <w:color w:val="1A1A1A"/>
                <w:sz w:val="17"/>
                <w:szCs w:val="17"/>
              </w:rPr>
              <w:t>-like</w:t>
            </w:r>
          </w:p>
        </w:tc>
        <w:tc>
          <w:tcPr>
            <w:tcW w:w="249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Plasmid-like (0.989; 0 hallmarks)</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BODY06</w:t>
            </w:r>
          </w:p>
        </w:tc>
        <w:tc>
          <w:tcPr>
            <w:tcW w:w="120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cluster_003</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56,425</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65.25</w:t>
            </w:r>
          </w:p>
        </w:tc>
        <w:tc>
          <w:tcPr>
            <w:tcW w:w="1110"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chromosome</w:t>
            </w:r>
          </w:p>
        </w:tc>
        <w:tc>
          <w:tcPr>
            <w:tcW w:w="1477"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w:t>
            </w:r>
          </w:p>
        </w:tc>
        <w:tc>
          <w:tcPr>
            <w:tcW w:w="1295"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autocomplete</w:t>
            </w:r>
          </w:p>
        </w:tc>
        <w:tc>
          <w:tcPr>
            <w:tcW w:w="249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Plasmid-like (0.982; 1 hallmark)</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BULB01</w:t>
            </w:r>
          </w:p>
        </w:tc>
        <w:tc>
          <w:tcPr>
            <w:tcW w:w="120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cluster_002</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234,995</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65.12</w:t>
            </w:r>
          </w:p>
        </w:tc>
        <w:tc>
          <w:tcPr>
            <w:tcW w:w="1110"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chromosome</w:t>
            </w:r>
          </w:p>
        </w:tc>
        <w:tc>
          <w:tcPr>
            <w:tcW w:w="1477"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w:t>
            </w:r>
          </w:p>
        </w:tc>
        <w:tc>
          <w:tcPr>
            <w:tcW w:w="1295" w:type="dxa"/>
            <w:tcBorders/>
            <w:tcMar>
              <w:top w:w="70" w:type="dxa"/>
              <w:bottom w:w="70" w:type="dxa"/>
            </w:tcMar>
            <w:vAlign w:val="center"/>
          </w:tcPr>
          <w:p>
            <w:pPr>
              <w:pStyle w:val="Normal"/>
              <w:jc w:val="start"/>
              <w:rPr/>
            </w:pPr>
            <w:r>
              <w:rPr>
                <w:rFonts w:eastAsia="Cambria" w:cs="Cambria"/>
                <w:b w:val="false"/>
                <w:bCs w:val="false"/>
                <w:i/>
                <w:iCs/>
                <w:color w:val="1A1A1A"/>
                <w:sz w:val="17"/>
                <w:szCs w:val="17"/>
              </w:rPr>
              <w:t>repA</w:t>
            </w:r>
            <w:r>
              <w:rPr>
                <w:rFonts w:eastAsia="Cambria" w:cs="Cambria"/>
                <w:b w:val="false"/>
                <w:bCs w:val="false"/>
                <w:i w:val="false"/>
                <w:iCs w:val="false"/>
                <w:color w:val="1A1A1A"/>
                <w:sz w:val="17"/>
                <w:szCs w:val="17"/>
              </w:rPr>
              <w:t>-like</w:t>
            </w:r>
          </w:p>
        </w:tc>
        <w:tc>
          <w:tcPr>
            <w:tcW w:w="249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Plasmid-like (0.988; 1 hallmark)</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BULB06</w:t>
            </w:r>
          </w:p>
        </w:tc>
        <w:tc>
          <w:tcPr>
            <w:tcW w:w="120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cluster_002</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191,200</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64.82</w:t>
            </w:r>
          </w:p>
        </w:tc>
        <w:tc>
          <w:tcPr>
            <w:tcW w:w="1110"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chromosome</w:t>
            </w:r>
          </w:p>
        </w:tc>
        <w:tc>
          <w:tcPr>
            <w:tcW w:w="1477"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rep_cluster_1561*</w:t>
            </w:r>
          </w:p>
        </w:tc>
        <w:tc>
          <w:tcPr>
            <w:tcW w:w="1295"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autocomplete</w:t>
            </w:r>
          </w:p>
        </w:tc>
        <w:tc>
          <w:tcPr>
            <w:tcW w:w="249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Plasmid-like (0.989; 2 hallmarks)</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BULB06</w:t>
            </w:r>
          </w:p>
        </w:tc>
        <w:tc>
          <w:tcPr>
            <w:tcW w:w="120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cluster_005</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153,343</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65.10</w:t>
            </w:r>
          </w:p>
        </w:tc>
        <w:tc>
          <w:tcPr>
            <w:tcW w:w="1110"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chromosome</w:t>
            </w:r>
          </w:p>
        </w:tc>
        <w:tc>
          <w:tcPr>
            <w:tcW w:w="1477"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w:t>
            </w:r>
          </w:p>
        </w:tc>
        <w:tc>
          <w:tcPr>
            <w:tcW w:w="1295" w:type="dxa"/>
            <w:tcBorders/>
            <w:tcMar>
              <w:top w:w="70" w:type="dxa"/>
              <w:bottom w:w="70" w:type="dxa"/>
            </w:tcMar>
            <w:vAlign w:val="center"/>
          </w:tcPr>
          <w:p>
            <w:pPr>
              <w:pStyle w:val="Normal"/>
              <w:jc w:val="start"/>
              <w:rPr/>
            </w:pPr>
            <w:r>
              <w:rPr>
                <w:rFonts w:eastAsia="Cambria" w:cs="Cambria"/>
                <w:b w:val="false"/>
                <w:bCs w:val="false"/>
                <w:i/>
                <w:iCs/>
                <w:color w:val="1A1A1A"/>
                <w:sz w:val="17"/>
                <w:szCs w:val="17"/>
              </w:rPr>
              <w:t>repA</w:t>
            </w:r>
            <w:r>
              <w:rPr>
                <w:rFonts w:eastAsia="Cambria" w:cs="Cambria"/>
                <w:b w:val="false"/>
                <w:bCs w:val="false"/>
                <w:i w:val="false"/>
                <w:iCs w:val="false"/>
                <w:color w:val="1A1A1A"/>
                <w:sz w:val="17"/>
                <w:szCs w:val="17"/>
              </w:rPr>
              <w:t>-like</w:t>
            </w:r>
          </w:p>
        </w:tc>
        <w:tc>
          <w:tcPr>
            <w:tcW w:w="249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Plasmid-like (0.989; 0 hallmarks)</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BULB06</w:t>
            </w:r>
          </w:p>
        </w:tc>
        <w:tc>
          <w:tcPr>
            <w:tcW w:w="120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cluster_007</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56,704</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65.20</w:t>
            </w:r>
          </w:p>
        </w:tc>
        <w:tc>
          <w:tcPr>
            <w:tcW w:w="1110"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chromosome</w:t>
            </w:r>
          </w:p>
        </w:tc>
        <w:tc>
          <w:tcPr>
            <w:tcW w:w="1477"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w:t>
            </w:r>
          </w:p>
        </w:tc>
        <w:tc>
          <w:tcPr>
            <w:tcW w:w="1295"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autocomplete</w:t>
            </w:r>
          </w:p>
        </w:tc>
        <w:tc>
          <w:tcPr>
            <w:tcW w:w="249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Plasmid-like (0.982; 1 hallmark)</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DESC01</w:t>
            </w:r>
          </w:p>
        </w:tc>
        <w:tc>
          <w:tcPr>
            <w:tcW w:w="120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cluster_002</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241,128</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65.16</w:t>
            </w:r>
          </w:p>
        </w:tc>
        <w:tc>
          <w:tcPr>
            <w:tcW w:w="1110"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chromosome</w:t>
            </w:r>
          </w:p>
        </w:tc>
        <w:tc>
          <w:tcPr>
            <w:tcW w:w="1477"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w:t>
            </w:r>
          </w:p>
        </w:tc>
        <w:tc>
          <w:tcPr>
            <w:tcW w:w="1295" w:type="dxa"/>
            <w:tcBorders/>
            <w:tcMar>
              <w:top w:w="70" w:type="dxa"/>
              <w:bottom w:w="70" w:type="dxa"/>
            </w:tcMar>
            <w:vAlign w:val="center"/>
          </w:tcPr>
          <w:p>
            <w:pPr>
              <w:pStyle w:val="Normal"/>
              <w:jc w:val="start"/>
              <w:rPr/>
            </w:pPr>
            <w:r>
              <w:rPr>
                <w:rFonts w:eastAsia="Cambria" w:cs="Cambria"/>
                <w:b w:val="false"/>
                <w:bCs w:val="false"/>
                <w:i/>
                <w:iCs/>
                <w:color w:val="1A1A1A"/>
                <w:sz w:val="17"/>
                <w:szCs w:val="17"/>
              </w:rPr>
              <w:t>repA</w:t>
            </w:r>
            <w:r>
              <w:rPr>
                <w:rFonts w:eastAsia="Cambria" w:cs="Cambria"/>
                <w:b w:val="false"/>
                <w:bCs w:val="false"/>
                <w:i w:val="false"/>
                <w:iCs w:val="false"/>
                <w:color w:val="1A1A1A"/>
                <w:sz w:val="17"/>
                <w:szCs w:val="17"/>
              </w:rPr>
              <w:t>-like</w:t>
            </w:r>
          </w:p>
        </w:tc>
        <w:tc>
          <w:tcPr>
            <w:tcW w:w="249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Plasmid-like (0.988; 1 hallmark)</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DESC06</w:t>
            </w:r>
          </w:p>
        </w:tc>
        <w:tc>
          <w:tcPr>
            <w:tcW w:w="120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cluster_002†</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1,069,271</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67.93</w:t>
            </w:r>
          </w:p>
        </w:tc>
        <w:tc>
          <w:tcPr>
            <w:tcW w:w="1110"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chromosome</w:t>
            </w:r>
          </w:p>
        </w:tc>
        <w:tc>
          <w:tcPr>
            <w:tcW w:w="1477"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w:t>
            </w:r>
          </w:p>
        </w:tc>
        <w:tc>
          <w:tcPr>
            <w:tcW w:w="1295" w:type="dxa"/>
            <w:tcBorders/>
            <w:tcMar>
              <w:top w:w="70" w:type="dxa"/>
              <w:bottom w:w="70" w:type="dxa"/>
            </w:tcMar>
            <w:vAlign w:val="center"/>
          </w:tcPr>
          <w:p>
            <w:pPr>
              <w:pStyle w:val="Normal"/>
              <w:jc w:val="start"/>
              <w:rPr/>
            </w:pPr>
            <w:r>
              <w:rPr>
                <w:rFonts w:eastAsia="Cambria" w:cs="Cambria"/>
                <w:b w:val="false"/>
                <w:bCs w:val="false"/>
                <w:i/>
                <w:iCs/>
                <w:color w:val="1A1A1A"/>
                <w:sz w:val="17"/>
                <w:szCs w:val="17"/>
              </w:rPr>
              <w:t>terL</w:t>
            </w:r>
          </w:p>
        </w:tc>
        <w:tc>
          <w:tcPr>
            <w:tcW w:w="249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Provirus at 1–6,117 bp (0.965)</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DESC06</w:t>
            </w:r>
          </w:p>
        </w:tc>
        <w:tc>
          <w:tcPr>
            <w:tcW w:w="120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cluster_003</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162,770</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65.31</w:t>
            </w:r>
          </w:p>
        </w:tc>
        <w:tc>
          <w:tcPr>
            <w:tcW w:w="1110"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chromosome</w:t>
            </w:r>
          </w:p>
        </w:tc>
        <w:tc>
          <w:tcPr>
            <w:tcW w:w="1477"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w:t>
            </w:r>
          </w:p>
        </w:tc>
        <w:tc>
          <w:tcPr>
            <w:tcW w:w="1295" w:type="dxa"/>
            <w:tcBorders/>
            <w:tcMar>
              <w:top w:w="70" w:type="dxa"/>
              <w:bottom w:w="70" w:type="dxa"/>
            </w:tcMar>
            <w:vAlign w:val="center"/>
          </w:tcPr>
          <w:p>
            <w:pPr>
              <w:pStyle w:val="Normal"/>
              <w:jc w:val="start"/>
              <w:rPr/>
            </w:pPr>
            <w:r>
              <w:rPr>
                <w:rFonts w:eastAsia="Cambria" w:cs="Cambria"/>
                <w:b w:val="false"/>
                <w:bCs w:val="false"/>
                <w:i/>
                <w:iCs/>
                <w:color w:val="1A1A1A"/>
                <w:sz w:val="17"/>
                <w:szCs w:val="17"/>
              </w:rPr>
              <w:t>terL</w:t>
            </w:r>
            <w:r>
              <w:rPr>
                <w:rFonts w:eastAsia="Cambria" w:cs="Cambria"/>
                <w:b w:val="false"/>
                <w:bCs w:val="false"/>
                <w:i w:val="false"/>
                <w:iCs w:val="false"/>
                <w:color w:val="1A1A1A"/>
                <w:sz w:val="17"/>
                <w:szCs w:val="17"/>
              </w:rPr>
              <w:t>-like</w:t>
            </w:r>
          </w:p>
        </w:tc>
        <w:tc>
          <w:tcPr>
            <w:tcW w:w="249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Plasmid-like (0.989; 1 hallmark)</w:t>
            </w:r>
          </w:p>
        </w:tc>
      </w:tr>
      <w:tr>
        <w:trPr/>
        <w:tc>
          <w:tcPr>
            <w:tcW w:w="83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DESC06</w:t>
            </w:r>
          </w:p>
        </w:tc>
        <w:tc>
          <w:tcPr>
            <w:tcW w:w="1203"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cluster_004</w:t>
            </w:r>
          </w:p>
        </w:tc>
        <w:tc>
          <w:tcPr>
            <w:tcW w:w="1018"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62,124</w:t>
            </w:r>
          </w:p>
        </w:tc>
        <w:tc>
          <w:tcPr>
            <w:tcW w:w="650" w:type="dxa"/>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64.68</w:t>
            </w:r>
          </w:p>
        </w:tc>
        <w:tc>
          <w:tcPr>
            <w:tcW w:w="1110"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chromosome</w:t>
            </w:r>
          </w:p>
        </w:tc>
        <w:tc>
          <w:tcPr>
            <w:tcW w:w="1477"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w:t>
            </w:r>
          </w:p>
        </w:tc>
        <w:tc>
          <w:tcPr>
            <w:tcW w:w="1295" w:type="dxa"/>
            <w:tcBorders/>
            <w:tcMar>
              <w:top w:w="70" w:type="dxa"/>
              <w:bottom w:w="70" w:type="dxa"/>
            </w:tcMar>
            <w:vAlign w:val="center"/>
          </w:tcPr>
          <w:p>
            <w:pPr>
              <w:pStyle w:val="Normal"/>
              <w:jc w:val="start"/>
              <w:rPr/>
            </w:pPr>
            <w:r>
              <w:rPr>
                <w:rFonts w:eastAsia="Cambria" w:cs="Cambria"/>
                <w:b w:val="false"/>
                <w:bCs w:val="false"/>
                <w:i/>
                <w:iCs/>
                <w:color w:val="1A1A1A"/>
                <w:sz w:val="17"/>
                <w:szCs w:val="17"/>
              </w:rPr>
              <w:t>repA</w:t>
            </w:r>
            <w:r>
              <w:rPr>
                <w:rFonts w:eastAsia="Cambria" w:cs="Cambria"/>
                <w:b w:val="false"/>
                <w:bCs w:val="false"/>
                <w:i w:val="false"/>
                <w:iCs w:val="false"/>
                <w:color w:val="1A1A1A"/>
                <w:sz w:val="17"/>
                <w:szCs w:val="17"/>
              </w:rPr>
              <w:t>-like</w:t>
            </w:r>
          </w:p>
        </w:tc>
        <w:tc>
          <w:tcPr>
            <w:tcW w:w="2494" w:type="dxa"/>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Plasmid-like (0.989; 0 hallmarks)</w:t>
            </w:r>
          </w:p>
        </w:tc>
      </w:tr>
      <w:tr>
        <w:trPr/>
        <w:tc>
          <w:tcPr>
            <w:tcW w:w="833" w:type="dxa"/>
            <w:tcBorders>
              <w:bottom w:val="single" w:sz="10" w:space="0" w:color="1C2B39"/>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DESC06</w:t>
            </w:r>
          </w:p>
        </w:tc>
        <w:tc>
          <w:tcPr>
            <w:tcW w:w="1203" w:type="dxa"/>
            <w:tcBorders>
              <w:bottom w:val="single" w:sz="10" w:space="0" w:color="1C2B39"/>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cluster_005</w:t>
            </w:r>
          </w:p>
        </w:tc>
        <w:tc>
          <w:tcPr>
            <w:tcW w:w="1018" w:type="dxa"/>
            <w:tcBorders>
              <w:bottom w:val="single" w:sz="10" w:space="0" w:color="1C2B39"/>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7,487</w:t>
            </w:r>
          </w:p>
        </w:tc>
        <w:tc>
          <w:tcPr>
            <w:tcW w:w="650" w:type="dxa"/>
            <w:tcBorders>
              <w:bottom w:val="single" w:sz="10" w:space="0" w:color="1C2B39"/>
            </w:tcBorders>
            <w:tcMar>
              <w:top w:w="70" w:type="dxa"/>
              <w:bottom w:w="70" w:type="dxa"/>
            </w:tcMar>
            <w:vAlign w:val="center"/>
          </w:tcPr>
          <w:p>
            <w:pPr>
              <w:pStyle w:val="Normal"/>
              <w:jc w:val="end"/>
              <w:rPr/>
            </w:pPr>
            <w:r>
              <w:rPr>
                <w:rFonts w:eastAsia="Cambria" w:cs="Cambria"/>
                <w:b w:val="false"/>
                <w:bCs w:val="false"/>
                <w:i w:val="false"/>
                <w:iCs w:val="false"/>
                <w:color w:val="1A1A1A"/>
                <w:sz w:val="17"/>
                <w:szCs w:val="17"/>
              </w:rPr>
              <w:t>64.04</w:t>
            </w:r>
          </w:p>
        </w:tc>
        <w:tc>
          <w:tcPr>
            <w:tcW w:w="1110" w:type="dxa"/>
            <w:tcBorders>
              <w:bottom w:val="single" w:sz="10" w:space="0" w:color="1C2B39"/>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chromosome</w:t>
            </w:r>
          </w:p>
        </w:tc>
        <w:tc>
          <w:tcPr>
            <w:tcW w:w="1477" w:type="dxa"/>
            <w:tcBorders>
              <w:bottom w:val="single" w:sz="10" w:space="0" w:color="1C2B39"/>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w:t>
            </w:r>
          </w:p>
        </w:tc>
        <w:tc>
          <w:tcPr>
            <w:tcW w:w="1295" w:type="dxa"/>
            <w:tcBorders>
              <w:bottom w:val="single" w:sz="10" w:space="0" w:color="1C2B39"/>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autocomplete</w:t>
            </w:r>
          </w:p>
        </w:tc>
        <w:tc>
          <w:tcPr>
            <w:tcW w:w="2494" w:type="dxa"/>
            <w:tcBorders>
              <w:bottom w:val="single" w:sz="10" w:space="0" w:color="1C2B39"/>
            </w:tcBorders>
            <w:tcMar>
              <w:top w:w="70" w:type="dxa"/>
              <w:bottom w:w="70" w:type="dxa"/>
            </w:tcMar>
            <w:vAlign w:val="center"/>
          </w:tcPr>
          <w:p>
            <w:pPr>
              <w:pStyle w:val="Normal"/>
              <w:jc w:val="start"/>
              <w:rPr/>
            </w:pPr>
            <w:r>
              <w:rPr>
                <w:rFonts w:eastAsia="Cambria" w:cs="Cambria"/>
                <w:b w:val="false"/>
                <w:bCs w:val="false"/>
                <w:i w:val="false"/>
                <w:iCs w:val="false"/>
                <w:color w:val="1A1A1A"/>
                <w:sz w:val="17"/>
                <w:szCs w:val="17"/>
              </w:rPr>
              <w:t>Provisional plasmid-like (aggregate 0.868; marker 0.381)</w:t>
            </w:r>
          </w:p>
        </w:tc>
      </w:tr>
    </w:tbl>
    <w:p>
      <w:pPr>
        <w:pStyle w:val="Normal"/>
        <w:spacing w:before="0" w:after="160"/>
        <w:rPr/>
      </w:pPr>
      <w:r>
        <w:rPr/>
      </w:r>
    </w:p>
    <w:p>
      <w:pPr>
        <w:pStyle w:val="Normal"/>
        <w:spacing w:lineRule="auto" w:line="240" w:before="80" w:after="240"/>
        <w:jc w:val="start"/>
        <w:rPr/>
      </w:pPr>
      <w:r>
        <w:rPr>
          <w:rFonts w:eastAsia="Cambria" w:cs="Cambria"/>
          <w:b w:val="false"/>
          <w:bCs w:val="false"/>
          <w:i/>
          <w:iCs/>
          <w:color w:val="6B7280"/>
          <w:sz w:val="18"/>
          <w:szCs w:val="18"/>
        </w:rPr>
        <w:t>†</w:t>
      </w:r>
      <w:r>
        <w:rPr>
          <w:rFonts w:eastAsia="Cambria" w:cs="Cambria"/>
          <w:b w:val="false"/>
          <w:bCs w:val="false"/>
          <w:i/>
          <w:iCs/>
          <w:color w:val="6B7280"/>
          <w:sz w:val="18"/>
          <w:szCs w:val="18"/>
        </w:rPr>
        <w:t>Displaced chromosomal segment; not plasmid (see Virulence Factor Profiling section).</w:t>
      </w:r>
    </w:p>
    <w:p>
      <w:pPr>
        <w:pStyle w:val="Heading2"/>
        <w:keepNext w:val="true"/>
        <w:spacing w:before="420" w:after="180"/>
        <w:rPr/>
      </w:pPr>
      <w:r>
        <w:rPr>
          <w:rFonts w:eastAsia="Calibri" w:cs="Calibri" w:ascii="Calibri" w:hAnsi="Calibri"/>
          <w:b/>
          <w:bCs/>
          <w:i w:val="false"/>
          <w:iCs w:val="false"/>
          <w:color w:val="1C2B39"/>
          <w:sz w:val="26"/>
          <w:szCs w:val="26"/>
        </w:rPr>
        <w:t>Comparative Pangenome Analysis</w:t>
      </w:r>
    </w:p>
    <w:p>
      <w:pPr>
        <w:pStyle w:val="Normal"/>
        <w:keepNext w:val="false"/>
        <w:spacing w:lineRule="auto" w:line="276" w:before="0" w:after="200"/>
        <w:jc w:val="both"/>
        <w:rPr/>
      </w:pPr>
      <w:r>
        <w:rPr>
          <w:rFonts w:eastAsia="Cambria" w:cs="Cambria"/>
          <w:b w:val="false"/>
          <w:bCs w:val="false"/>
          <w:i w:val="false"/>
          <w:iCs w:val="false"/>
          <w:color w:val="1A1A1A"/>
          <w:sz w:val="22"/>
          <w:szCs w:val="22"/>
        </w:rPr>
        <w:t xml:space="preserve">Across the 15-genome dataset, Panaroo identified 10,087 gene families, of which 1,466 (14.5%) were present in all genomes. However, this small apparent core was largely driven by the divergent public assembly GCA_016197365.1: 3,829 families occurred in every other genome but were absent from this assembly, and excluding it increased the universal core to 5,295 of 9,149 families (57.9%). GCA_016197365.1 also showed low gene-content similarity to the remaining genomes and retained only 2,458 of its 5,271 input CDS assignments after strict graph cleaning. The 15-genome result therefore should not be interpreted as evidence of an extremely open </w:t>
      </w:r>
      <w:r>
        <w:rPr>
          <w:rFonts w:eastAsia="Cambria" w:cs="Cambria"/>
          <w:b w:val="false"/>
          <w:bCs w:val="false"/>
          <w:i/>
          <w:iCs/>
          <w:color w:val="1A1A1A"/>
          <w:sz w:val="22"/>
          <w:szCs w:val="22"/>
        </w:rPr>
        <w:t>M. cosmeticum</w:t>
      </w:r>
      <w:r>
        <w:rPr>
          <w:rFonts w:eastAsia="Cambria" w:cs="Cambria"/>
          <w:b w:val="false"/>
          <w:bCs w:val="false"/>
          <w:i w:val="false"/>
          <w:iCs w:val="false"/>
          <w:color w:val="1A1A1A"/>
          <w:sz w:val="22"/>
          <w:szCs w:val="22"/>
        </w:rPr>
        <w:t xml:space="preserve"> pangenome until the taxonomic placement and assembly quality of this accession have been independently verified.</w:t>
      </w:r>
    </w:p>
    <w:p>
      <w:pPr>
        <w:pStyle w:val="Normal"/>
        <w:keepNext w:val="false"/>
        <w:spacing w:lineRule="auto" w:line="276" w:before="0" w:after="200"/>
        <w:jc w:val="both"/>
        <w:rPr/>
      </w:pPr>
      <w:r>
        <w:rPr>
          <w:rFonts w:eastAsia="Cambria" w:cs="Cambria"/>
          <w:b w:val="false"/>
          <w:bCs w:val="false"/>
          <w:i w:val="false"/>
          <w:iCs w:val="false"/>
          <w:color w:val="1A1A1A"/>
          <w:sz w:val="22"/>
          <w:szCs w:val="22"/>
        </w:rPr>
        <w:t>In contrast, the eight isolates generated in this study formed a highly conserved gene-content group: 6,299 of 6,397 families (98.5%) were shared by all eight, leaving only 98 variable families, and pairwise gene-content Jaccard similarities ranged from approximately 0.988 to 0.9995. A further 472 families were shared by the eight study isolates but absent from the public genomes, with many occurring in contiguous blocks, including 201 families on the large plasmid-like contig of ANT01 and homologous regions in the other study isolates. Strict cleaning also removed all 190 CDSs from the distinct BULB06 plasmid-like contig despite its coherent replication, conjugation, Type VII secretion, mercury-resistance, and mobile-element annotations. Thus, the strict pangenome matrix captures the close relatedness of the study isolates but likely underestimates their mobile accessory gene content.</w:t>
      </w:r>
      <w:r>
        <w:br w:type="page"/>
      </w:r>
    </w:p>
    <w:p>
      <w:pPr>
        <w:pStyle w:val="Heading1"/>
        <w:keepNext w:val="true"/>
        <w:pBdr>
          <w:bottom w:val="single" w:sz="6" w:space="6" w:color="1C2B39"/>
        </w:pBdr>
        <w:spacing w:before="0" w:after="240"/>
        <w:rPr/>
      </w:pPr>
      <w:r>
        <w:rPr>
          <w:rFonts w:eastAsia="Calibri" w:cs="Calibri" w:ascii="Calibri" w:hAnsi="Calibri"/>
          <w:b/>
          <w:bCs/>
          <w:i w:val="false"/>
          <w:iCs w:val="false"/>
          <w:color w:val="1C2B39"/>
          <w:sz w:val="32"/>
          <w:szCs w:val="32"/>
        </w:rPr>
        <w:t>References</w:t>
      </w:r>
    </w:p>
    <w:p>
      <w:pPr>
        <w:pStyle w:val="ListParagraph"/>
        <w:numPr>
          <w:ilvl w:val="0"/>
          <w:numId w:val="3"/>
        </w:numPr>
        <w:spacing w:lineRule="auto" w:line="264" w:before="0" w:after="160"/>
        <w:jc w:val="start"/>
        <w:rPr/>
      </w:pPr>
      <w:r>
        <w:rPr>
          <w:rFonts w:eastAsia="Cambria" w:cs="Cambria"/>
          <w:b/>
          <w:bCs/>
          <w:i w:val="false"/>
          <w:iCs w:val="false"/>
          <w:color w:val="1A1A1A"/>
          <w:sz w:val="20"/>
          <w:szCs w:val="20"/>
        </w:rPr>
        <w:t>Trycycler</w:t>
      </w:r>
      <w:r>
        <w:rPr>
          <w:rFonts w:eastAsia="Cambria" w:cs="Cambria"/>
          <w:b w:val="false"/>
          <w:bCs w:val="false"/>
          <w:i w:val="false"/>
          <w:iCs w:val="false"/>
          <w:color w:val="1A1A1A"/>
          <w:sz w:val="20"/>
          <w:szCs w:val="20"/>
        </w:rPr>
        <w:t xml:space="preserve">: Wick, R. R., Judd, L. M., Cerdeira, L. T., Hawkey, J., Méric, G., Vezina, B., Wyres, K. L., &amp; Holt, K. E. (2021). Trycycler: consensus assembly of bacterial genomes from multiple long-read assemblies. </w:t>
      </w:r>
      <w:r>
        <w:rPr>
          <w:rFonts w:eastAsia="Cambria" w:cs="Cambria"/>
          <w:b w:val="false"/>
          <w:bCs w:val="false"/>
          <w:i/>
          <w:iCs/>
          <w:color w:val="1A1A1A"/>
          <w:sz w:val="20"/>
          <w:szCs w:val="20"/>
        </w:rPr>
        <w:t>Genome Biology</w:t>
      </w:r>
      <w:r>
        <w:rPr>
          <w:rFonts w:eastAsia="Cambria" w:cs="Cambria"/>
          <w:b w:val="false"/>
          <w:bCs w:val="false"/>
          <w:i w:val="false"/>
          <w:iCs w:val="false"/>
          <w:color w:val="1A1A1A"/>
          <w:sz w:val="20"/>
          <w:szCs w:val="20"/>
        </w:rPr>
        <w:t xml:space="preserve">, 22(1), 256. </w:t>
      </w:r>
      <w:hyperlink r:id="rId11">
        <w:r>
          <w:rPr>
            <w:rStyle w:val="Style3"/>
            <w:rFonts w:eastAsia="Cambria" w:cs="Cambria"/>
            <w:color w:val="1D4ED8"/>
            <w:sz w:val="20"/>
            <w:szCs w:val="20"/>
            <w:u w:val="single"/>
          </w:rPr>
          <w:t>https://doi.org/10.1186/s13059-021-02483-3</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BWA-MEM</w:t>
      </w:r>
      <w:r>
        <w:rPr>
          <w:rFonts w:eastAsia="Cambria" w:cs="Cambria"/>
          <w:b w:val="false"/>
          <w:bCs w:val="false"/>
          <w:i w:val="false"/>
          <w:iCs w:val="false"/>
          <w:color w:val="1A1A1A"/>
          <w:sz w:val="20"/>
          <w:szCs w:val="20"/>
        </w:rPr>
        <w:t xml:space="preserve">: Li, H. (2013). Aligning sequence reads, clone sequences and assembly contigs with BWA-MEM. </w:t>
      </w:r>
      <w:r>
        <w:rPr>
          <w:rFonts w:eastAsia="Cambria" w:cs="Cambria"/>
          <w:b w:val="false"/>
          <w:bCs w:val="false"/>
          <w:i/>
          <w:iCs/>
          <w:color w:val="1A1A1A"/>
          <w:sz w:val="20"/>
          <w:szCs w:val="20"/>
        </w:rPr>
        <w:t>arXiv preprint</w:t>
      </w:r>
      <w:r>
        <w:rPr>
          <w:rFonts w:eastAsia="Cambria" w:cs="Cambria"/>
          <w:b w:val="false"/>
          <w:bCs w:val="false"/>
          <w:i w:val="false"/>
          <w:iCs w:val="false"/>
          <w:color w:val="1A1A1A"/>
          <w:sz w:val="20"/>
          <w:szCs w:val="20"/>
        </w:rPr>
        <w:t xml:space="preserve">, arXiv:1303.3997. </w:t>
      </w:r>
      <w:hyperlink r:id="rId12">
        <w:r>
          <w:rPr>
            <w:rStyle w:val="Style3"/>
            <w:rFonts w:eastAsia="Cambria" w:cs="Cambria"/>
            <w:color w:val="1D4ED8"/>
            <w:sz w:val="20"/>
            <w:szCs w:val="20"/>
            <w:u w:val="single"/>
          </w:rPr>
          <w:t>https://doi.org/10.48550/arXiv.1303.3997</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Polypolish</w:t>
      </w:r>
      <w:r>
        <w:rPr>
          <w:rFonts w:eastAsia="Cambria" w:cs="Cambria"/>
          <w:b w:val="false"/>
          <w:bCs w:val="false"/>
          <w:i w:val="false"/>
          <w:iCs w:val="false"/>
          <w:color w:val="1A1A1A"/>
          <w:sz w:val="20"/>
          <w:szCs w:val="20"/>
        </w:rPr>
        <w:t xml:space="preserve">: Wick, R. R., &amp; Holt, K. E. (2022). Polypolish: Short-read polishing of long-read bacterial genome assemblies. </w:t>
      </w:r>
      <w:r>
        <w:rPr>
          <w:rFonts w:eastAsia="Cambria" w:cs="Cambria"/>
          <w:b w:val="false"/>
          <w:bCs w:val="false"/>
          <w:i/>
          <w:iCs/>
          <w:color w:val="1A1A1A"/>
          <w:sz w:val="20"/>
          <w:szCs w:val="20"/>
        </w:rPr>
        <w:t>PLOS Computational Biology</w:t>
      </w:r>
      <w:r>
        <w:rPr>
          <w:rFonts w:eastAsia="Cambria" w:cs="Cambria"/>
          <w:b w:val="false"/>
          <w:bCs w:val="false"/>
          <w:i w:val="false"/>
          <w:iCs w:val="false"/>
          <w:color w:val="1A1A1A"/>
          <w:sz w:val="20"/>
          <w:szCs w:val="20"/>
        </w:rPr>
        <w:t xml:space="preserve">, 18(1), e1009804. </w:t>
      </w:r>
      <w:hyperlink r:id="rId13">
        <w:r>
          <w:rPr>
            <w:rStyle w:val="Style3"/>
            <w:rFonts w:eastAsia="Cambria" w:cs="Cambria"/>
            <w:color w:val="1D4ED8"/>
            <w:sz w:val="20"/>
            <w:szCs w:val="20"/>
            <w:u w:val="single"/>
          </w:rPr>
          <w:t>https://doi.org/10.1371/journal.pcbi.1009804</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Pypolca / POLCA</w:t>
      </w:r>
      <w:r>
        <w:rPr>
          <w:rFonts w:eastAsia="Cambria" w:cs="Cambria"/>
          <w:b w:val="false"/>
          <w:bCs w:val="false"/>
          <w:i w:val="false"/>
          <w:iCs w:val="false"/>
          <w:color w:val="1A1A1A"/>
          <w:sz w:val="20"/>
          <w:szCs w:val="20"/>
        </w:rPr>
        <w:t>:</w:t>
      </w:r>
    </w:p>
    <w:p>
      <w:pPr>
        <w:pStyle w:val="Normal"/>
        <w:spacing w:lineRule="auto" w:line="264" w:before="0" w:after="120"/>
        <w:ind w:start="660"/>
        <w:jc w:val="start"/>
        <w:rPr/>
      </w:pPr>
      <w:r>
        <w:rPr>
          <w:rFonts w:eastAsia="Cambria" w:cs="Cambria"/>
          <w:color w:val="6B7280"/>
          <w:sz w:val="20"/>
          <w:szCs w:val="20"/>
        </w:rPr>
        <w:t xml:space="preserve">– </w:t>
      </w:r>
      <w:r>
        <w:rPr>
          <w:rFonts w:eastAsia="Cambria" w:cs="Cambria"/>
          <w:b w:val="false"/>
          <w:bCs w:val="false"/>
          <w:i w:val="false"/>
          <w:iCs w:val="false"/>
          <w:color w:val="1A1A1A"/>
          <w:sz w:val="20"/>
          <w:szCs w:val="20"/>
        </w:rPr>
        <w:t xml:space="preserve">Bouras, G. (2024). </w:t>
      </w:r>
      <w:r>
        <w:rPr>
          <w:rFonts w:eastAsia="Cambria" w:cs="Cambria"/>
          <w:b w:val="false"/>
          <w:bCs w:val="false"/>
          <w:i/>
          <w:iCs/>
          <w:color w:val="1A1A1A"/>
          <w:sz w:val="20"/>
          <w:szCs w:val="20"/>
        </w:rPr>
        <w:t>pypolca: Standalone Python implementation of the POLCA polisher from MaSuRCA</w:t>
      </w:r>
      <w:r>
        <w:rPr>
          <w:rFonts w:eastAsia="Cambria" w:cs="Cambria"/>
          <w:b w:val="false"/>
          <w:bCs w:val="false"/>
          <w:i w:val="false"/>
          <w:iCs w:val="false"/>
          <w:color w:val="1A1A1A"/>
          <w:sz w:val="20"/>
          <w:szCs w:val="20"/>
        </w:rPr>
        <w:t xml:space="preserve"> (v0.4.0). GitHub. </w:t>
      </w:r>
      <w:hyperlink r:id="rId14">
        <w:r>
          <w:rPr>
            <w:rStyle w:val="Style3"/>
            <w:rFonts w:eastAsia="Cambria" w:cs="Cambria"/>
            <w:color w:val="1D4ED8"/>
            <w:sz w:val="20"/>
            <w:szCs w:val="20"/>
            <w:u w:val="single"/>
          </w:rPr>
          <w:t>https://github.com/gbouras13/pypolca</w:t>
        </w:r>
      </w:hyperlink>
    </w:p>
    <w:p>
      <w:pPr>
        <w:pStyle w:val="Normal"/>
        <w:spacing w:lineRule="auto" w:line="264" w:before="0" w:after="120"/>
        <w:ind w:start="660"/>
        <w:jc w:val="start"/>
        <w:rPr/>
      </w:pPr>
      <w:r>
        <w:rPr>
          <w:rFonts w:eastAsia="Cambria" w:cs="Cambria"/>
          <w:color w:val="6B7280"/>
          <w:sz w:val="20"/>
          <w:szCs w:val="20"/>
        </w:rPr>
        <w:t xml:space="preserve">– </w:t>
      </w:r>
      <w:r>
        <w:rPr>
          <w:rFonts w:eastAsia="Cambria" w:cs="Cambria"/>
          <w:b w:val="false"/>
          <w:bCs w:val="false"/>
          <w:i w:val="false"/>
          <w:iCs w:val="false"/>
          <w:color w:val="1A1A1A"/>
          <w:sz w:val="20"/>
          <w:szCs w:val="20"/>
        </w:rPr>
        <w:t xml:space="preserve">Zimin, A. V., &amp; Salzberg, S. L. (2020). POLCA: rapid and accurate error correction for genome assemblies. </w:t>
      </w:r>
      <w:r>
        <w:rPr>
          <w:rFonts w:eastAsia="Cambria" w:cs="Cambria"/>
          <w:b w:val="false"/>
          <w:bCs w:val="false"/>
          <w:i/>
          <w:iCs/>
          <w:color w:val="1A1A1A"/>
          <w:sz w:val="20"/>
          <w:szCs w:val="20"/>
        </w:rPr>
        <w:t>Bioinformatics</w:t>
      </w:r>
      <w:r>
        <w:rPr>
          <w:rFonts w:eastAsia="Cambria" w:cs="Cambria"/>
          <w:b w:val="false"/>
          <w:bCs w:val="false"/>
          <w:i w:val="false"/>
          <w:iCs w:val="false"/>
          <w:color w:val="1A1A1A"/>
          <w:sz w:val="20"/>
          <w:szCs w:val="20"/>
        </w:rPr>
        <w:t xml:space="preserve">, 36(9), 2877–2879. </w:t>
      </w:r>
      <w:hyperlink r:id="rId15">
        <w:r>
          <w:rPr>
            <w:rStyle w:val="Style3"/>
            <w:rFonts w:eastAsia="Cambria" w:cs="Cambria"/>
            <w:color w:val="1D4ED8"/>
            <w:sz w:val="20"/>
            <w:szCs w:val="20"/>
            <w:u w:val="single"/>
          </w:rPr>
          <w:t>https://doi.org/10.1093/bioinformatics/btaa080</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Dnaapler</w:t>
      </w:r>
      <w:r>
        <w:rPr>
          <w:rFonts w:eastAsia="Cambria" w:cs="Cambria"/>
          <w:b w:val="false"/>
          <w:bCs w:val="false"/>
          <w:i w:val="false"/>
          <w:iCs w:val="false"/>
          <w:color w:val="1A1A1A"/>
          <w:sz w:val="20"/>
          <w:szCs w:val="20"/>
        </w:rPr>
        <w:t xml:space="preserve">: Bouras, G., Mallawaarachchi, S., Papudeshi, B., Roach, M. J., &amp; Edwards, R. A. (2024). Dnaapler: reorienting microbial genomes to a designated starting gene. </w:t>
      </w:r>
      <w:r>
        <w:rPr>
          <w:rFonts w:eastAsia="Cambria" w:cs="Cambria"/>
          <w:b w:val="false"/>
          <w:bCs w:val="false"/>
          <w:i/>
          <w:iCs/>
          <w:color w:val="1A1A1A"/>
          <w:sz w:val="20"/>
          <w:szCs w:val="20"/>
        </w:rPr>
        <w:t>Microbial Genomics</w:t>
      </w:r>
      <w:r>
        <w:rPr>
          <w:rFonts w:eastAsia="Cambria" w:cs="Cambria"/>
          <w:b w:val="false"/>
          <w:bCs w:val="false"/>
          <w:i w:val="false"/>
          <w:iCs w:val="false"/>
          <w:color w:val="1A1A1A"/>
          <w:sz w:val="20"/>
          <w:szCs w:val="20"/>
        </w:rPr>
        <w:t xml:space="preserve">, 10(11), 001306. </w:t>
      </w:r>
      <w:hyperlink r:id="rId16">
        <w:r>
          <w:rPr>
            <w:rStyle w:val="Style3"/>
            <w:rFonts w:eastAsia="Cambria" w:cs="Cambria"/>
            <w:color w:val="1D4ED8"/>
            <w:sz w:val="20"/>
            <w:szCs w:val="20"/>
            <w:u w:val="single"/>
          </w:rPr>
          <w:t>https://doi.org/10.1099/mgen.0.001306</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Short-Read Depth Recommendation</w:t>
      </w:r>
      <w:r>
        <w:rPr>
          <w:rFonts w:eastAsia="Cambria" w:cs="Cambria"/>
          <w:b w:val="false"/>
          <w:bCs w:val="false"/>
          <w:i w:val="false"/>
          <w:iCs w:val="false"/>
          <w:color w:val="1A1A1A"/>
          <w:sz w:val="20"/>
          <w:szCs w:val="20"/>
        </w:rPr>
        <w:t xml:space="preserve">: Wick, R. R. (2024). </w:t>
      </w:r>
      <w:r>
        <w:rPr>
          <w:rFonts w:eastAsia="Cambria" w:cs="Cambria"/>
          <w:b w:val="false"/>
          <w:bCs w:val="false"/>
          <w:i/>
          <w:iCs/>
          <w:color w:val="1A1A1A"/>
          <w:sz w:val="20"/>
          <w:szCs w:val="20"/>
        </w:rPr>
        <w:t>How much short-read depth do you need for hybrid polishing?</w:t>
      </w:r>
      <w:r>
        <w:rPr>
          <w:rFonts w:eastAsia="Cambria" w:cs="Cambria"/>
          <w:b w:val="false"/>
          <w:bCs w:val="false"/>
          <w:i w:val="false"/>
          <w:iCs w:val="false"/>
          <w:color w:val="1A1A1A"/>
          <w:sz w:val="20"/>
          <w:szCs w:val="20"/>
        </w:rPr>
        <w:t xml:space="preserve"> Ryan Wick's Bioinformatics Blog. </w:t>
      </w:r>
      <w:hyperlink r:id="rId17">
        <w:r>
          <w:rPr>
            <w:rStyle w:val="Style3"/>
            <w:rFonts w:eastAsia="Cambria" w:cs="Cambria"/>
            <w:color w:val="1D4ED8"/>
            <w:sz w:val="20"/>
            <w:szCs w:val="20"/>
            <w:u w:val="single"/>
          </w:rPr>
          <w:t>https://rrwick.github.io/2024/06/11/short-read-depth.html</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GTDB-Tk</w:t>
      </w:r>
      <w:r>
        <w:rPr>
          <w:rFonts w:eastAsia="Cambria" w:cs="Cambria"/>
          <w:b w:val="false"/>
          <w:bCs w:val="false"/>
          <w:i w:val="false"/>
          <w:iCs w:val="false"/>
          <w:color w:val="1A1A1A"/>
          <w:sz w:val="20"/>
          <w:szCs w:val="20"/>
        </w:rPr>
        <w:t xml:space="preserve">: Chaumeil, P. A., Mussig, A. J., Hugenholtz, P., &amp; Parks, D. H. (2022). GTDB-Tk v2: memory friendly classification with the Genome Taxonomy Database. </w:t>
      </w:r>
      <w:r>
        <w:rPr>
          <w:rFonts w:eastAsia="Cambria" w:cs="Cambria"/>
          <w:b w:val="false"/>
          <w:bCs w:val="false"/>
          <w:i/>
          <w:iCs/>
          <w:color w:val="1A1A1A"/>
          <w:sz w:val="20"/>
          <w:szCs w:val="20"/>
        </w:rPr>
        <w:t>Bioinformatics</w:t>
      </w:r>
      <w:r>
        <w:rPr>
          <w:rFonts w:eastAsia="Cambria" w:cs="Cambria"/>
          <w:b w:val="false"/>
          <w:bCs w:val="false"/>
          <w:i w:val="false"/>
          <w:iCs w:val="false"/>
          <w:color w:val="1A1A1A"/>
          <w:sz w:val="20"/>
          <w:szCs w:val="20"/>
        </w:rPr>
        <w:t xml:space="preserve">, 38(23), 5315–5316. </w:t>
      </w:r>
      <w:hyperlink r:id="rId18">
        <w:r>
          <w:rPr>
            <w:rStyle w:val="Style3"/>
            <w:rFonts w:eastAsia="Cambria" w:cs="Cambria"/>
            <w:color w:val="1D4ED8"/>
            <w:sz w:val="20"/>
            <w:szCs w:val="20"/>
            <w:u w:val="single"/>
          </w:rPr>
          <w:t>https://doi.org/10.1093/bioinformatics/btac672</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TYGS</w:t>
      </w:r>
      <w:r>
        <w:rPr>
          <w:rFonts w:eastAsia="Cambria" w:cs="Cambria"/>
          <w:b w:val="false"/>
          <w:bCs w:val="false"/>
          <w:i w:val="false"/>
          <w:iCs w:val="false"/>
          <w:color w:val="1A1A1A"/>
          <w:sz w:val="20"/>
          <w:szCs w:val="20"/>
        </w:rPr>
        <w:t xml:space="preserve">: Meier-Kolthoff, J. P., &amp; Göker, M. (2019). TYGS is an automated high-throughput platform for state-of-the-art genome-based taxonomy. </w:t>
      </w:r>
      <w:r>
        <w:rPr>
          <w:rFonts w:eastAsia="Cambria" w:cs="Cambria"/>
          <w:b w:val="false"/>
          <w:bCs w:val="false"/>
          <w:i/>
          <w:iCs/>
          <w:color w:val="1A1A1A"/>
          <w:sz w:val="20"/>
          <w:szCs w:val="20"/>
        </w:rPr>
        <w:t>Nature Communications</w:t>
      </w:r>
      <w:r>
        <w:rPr>
          <w:rFonts w:eastAsia="Cambria" w:cs="Cambria"/>
          <w:b w:val="false"/>
          <w:bCs w:val="false"/>
          <w:i w:val="false"/>
          <w:iCs w:val="false"/>
          <w:color w:val="1A1A1A"/>
          <w:sz w:val="20"/>
          <w:szCs w:val="20"/>
        </w:rPr>
        <w:t xml:space="preserve">, 10(1), 2182. </w:t>
      </w:r>
      <w:hyperlink r:id="rId19">
        <w:r>
          <w:rPr>
            <w:rStyle w:val="Style3"/>
            <w:rFonts w:eastAsia="Cambria" w:cs="Cambria"/>
            <w:color w:val="1D4ED8"/>
            <w:sz w:val="20"/>
            <w:szCs w:val="20"/>
            <w:u w:val="single"/>
          </w:rPr>
          <w:t>https://doi.org/10.1038/s41467-019-10210-3</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Bakta</w:t>
      </w:r>
      <w:r>
        <w:rPr>
          <w:rFonts w:eastAsia="Cambria" w:cs="Cambria"/>
          <w:b w:val="false"/>
          <w:bCs w:val="false"/>
          <w:i w:val="false"/>
          <w:iCs w:val="false"/>
          <w:color w:val="1A1A1A"/>
          <w:sz w:val="20"/>
          <w:szCs w:val="20"/>
        </w:rPr>
        <w:t xml:space="preserve">: Schwengers, O., Jelonek, L., Dieckmann, M. A., Beyvers, S., Blom, J., &amp; Goesmann, A. (2021). Bakta: rapid and standardized annotation of bacterial genomes via alignment-free sequence identification. </w:t>
      </w:r>
      <w:r>
        <w:rPr>
          <w:rFonts w:eastAsia="Cambria" w:cs="Cambria"/>
          <w:b w:val="false"/>
          <w:bCs w:val="false"/>
          <w:i/>
          <w:iCs/>
          <w:color w:val="1A1A1A"/>
          <w:sz w:val="20"/>
          <w:szCs w:val="20"/>
        </w:rPr>
        <w:t>Microbial Genomics</w:t>
      </w:r>
      <w:r>
        <w:rPr>
          <w:rFonts w:eastAsia="Cambria" w:cs="Cambria"/>
          <w:b w:val="false"/>
          <w:bCs w:val="false"/>
          <w:i w:val="false"/>
          <w:iCs w:val="false"/>
          <w:color w:val="1A1A1A"/>
          <w:sz w:val="20"/>
          <w:szCs w:val="20"/>
        </w:rPr>
        <w:t xml:space="preserve">, 7(11), 000685. </w:t>
      </w:r>
      <w:hyperlink r:id="rId20">
        <w:r>
          <w:rPr>
            <w:rStyle w:val="Style3"/>
            <w:rFonts w:eastAsia="Cambria" w:cs="Cambria"/>
            <w:color w:val="1D4ED8"/>
            <w:sz w:val="20"/>
            <w:szCs w:val="20"/>
            <w:u w:val="single"/>
          </w:rPr>
          <w:t>https://doi.org/10.1099/mgen.0.000685</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CheckM2</w:t>
      </w:r>
      <w:r>
        <w:rPr>
          <w:rFonts w:eastAsia="Cambria" w:cs="Cambria"/>
          <w:b w:val="false"/>
          <w:bCs w:val="false"/>
          <w:i w:val="false"/>
          <w:iCs w:val="false"/>
          <w:color w:val="1A1A1A"/>
          <w:sz w:val="20"/>
          <w:szCs w:val="20"/>
        </w:rPr>
        <w:t xml:space="preserve">: Chklovski, A., Parks, D. H., Woodcroft, B. J., &amp; Tyson, G. W. (2023). CheckM2: a rapid, scalable and accurate tool for assessing microbial genome quality using machine learning. </w:t>
      </w:r>
      <w:r>
        <w:rPr>
          <w:rFonts w:eastAsia="Cambria" w:cs="Cambria"/>
          <w:b w:val="false"/>
          <w:bCs w:val="false"/>
          <w:i/>
          <w:iCs/>
          <w:color w:val="1A1A1A"/>
          <w:sz w:val="20"/>
          <w:szCs w:val="20"/>
        </w:rPr>
        <w:t>Nature Methods</w:t>
      </w:r>
      <w:r>
        <w:rPr>
          <w:rFonts w:eastAsia="Cambria" w:cs="Cambria"/>
          <w:b w:val="false"/>
          <w:bCs w:val="false"/>
          <w:i w:val="false"/>
          <w:iCs w:val="false"/>
          <w:color w:val="1A1A1A"/>
          <w:sz w:val="20"/>
          <w:szCs w:val="20"/>
        </w:rPr>
        <w:t xml:space="preserve">, 20(8), 1203–1212. </w:t>
      </w:r>
      <w:hyperlink r:id="rId21">
        <w:r>
          <w:rPr>
            <w:rStyle w:val="Style3"/>
            <w:rFonts w:eastAsia="Cambria" w:cs="Cambria"/>
            <w:color w:val="1D4ED8"/>
            <w:sz w:val="20"/>
            <w:szCs w:val="20"/>
            <w:u w:val="single"/>
          </w:rPr>
          <w:t>https://doi.org/10.1038/s41592-023-01940-9</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BUSCO</w:t>
      </w:r>
      <w:r>
        <w:rPr>
          <w:rFonts w:eastAsia="Cambria" w:cs="Cambria"/>
          <w:b w:val="false"/>
          <w:bCs w:val="false"/>
          <w:i w:val="false"/>
          <w:iCs w:val="false"/>
          <w:color w:val="1A1A1A"/>
          <w:sz w:val="20"/>
          <w:szCs w:val="20"/>
        </w:rPr>
        <w:t xml:space="preserve">: Manni, M., Berkeley, M. R., Seppey, M., Simão, F. A., &amp; Zdobnov, E. M. (2021). BUSCO update: novel and streamlined workflows along with broader and deeper phylogenetic coverage for scoring of eukaryotic, prokaryotic, and viral genomes. </w:t>
      </w:r>
      <w:r>
        <w:rPr>
          <w:rFonts w:eastAsia="Cambria" w:cs="Cambria"/>
          <w:b w:val="false"/>
          <w:bCs w:val="false"/>
          <w:i/>
          <w:iCs/>
          <w:color w:val="1A1A1A"/>
          <w:sz w:val="20"/>
          <w:szCs w:val="20"/>
        </w:rPr>
        <w:t>Molecular Biology and Evolution</w:t>
      </w:r>
      <w:r>
        <w:rPr>
          <w:rFonts w:eastAsia="Cambria" w:cs="Cambria"/>
          <w:b w:val="false"/>
          <w:bCs w:val="false"/>
          <w:i w:val="false"/>
          <w:iCs w:val="false"/>
          <w:color w:val="1A1A1A"/>
          <w:sz w:val="20"/>
          <w:szCs w:val="20"/>
        </w:rPr>
        <w:t xml:space="preserve">, 38(10), 4647–4654. </w:t>
      </w:r>
      <w:hyperlink r:id="rId22">
        <w:r>
          <w:rPr>
            <w:rStyle w:val="Style3"/>
            <w:rFonts w:eastAsia="Cambria" w:cs="Cambria"/>
            <w:color w:val="1D4ED8"/>
            <w:sz w:val="20"/>
            <w:szCs w:val="20"/>
            <w:u w:val="single"/>
          </w:rPr>
          <w:t>https://doi.org/10.1093/molbev/msab199</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VFDB</w:t>
      </w:r>
      <w:r>
        <w:rPr>
          <w:rFonts w:eastAsia="Cambria" w:cs="Cambria"/>
          <w:b w:val="false"/>
          <w:bCs w:val="false"/>
          <w:i w:val="false"/>
          <w:iCs w:val="false"/>
          <w:color w:val="1A1A1A"/>
          <w:sz w:val="20"/>
          <w:szCs w:val="20"/>
        </w:rPr>
        <w:t xml:space="preserve">: Liu, B., Zheng, D., Zhou, S., Chen, L., &amp; Yang, J. (2022). VFDB 2022: a general classification scheme for bacterial virulence factors. </w:t>
      </w:r>
      <w:r>
        <w:rPr>
          <w:rFonts w:eastAsia="Cambria" w:cs="Cambria"/>
          <w:b w:val="false"/>
          <w:bCs w:val="false"/>
          <w:i/>
          <w:iCs/>
          <w:color w:val="1A1A1A"/>
          <w:sz w:val="20"/>
          <w:szCs w:val="20"/>
        </w:rPr>
        <w:t>Nucleic Acids Research</w:t>
      </w:r>
      <w:r>
        <w:rPr>
          <w:rFonts w:eastAsia="Cambria" w:cs="Cambria"/>
          <w:b w:val="false"/>
          <w:bCs w:val="false"/>
          <w:i w:val="false"/>
          <w:iCs w:val="false"/>
          <w:color w:val="1A1A1A"/>
          <w:sz w:val="20"/>
          <w:szCs w:val="20"/>
        </w:rPr>
        <w:t xml:space="preserve">, 50(D1), D912–D917. </w:t>
      </w:r>
      <w:hyperlink r:id="rId23">
        <w:r>
          <w:rPr>
            <w:rStyle w:val="Style3"/>
            <w:rFonts w:eastAsia="Cambria" w:cs="Cambria"/>
            <w:color w:val="1D4ED8"/>
            <w:sz w:val="20"/>
            <w:szCs w:val="20"/>
            <w:u w:val="single"/>
          </w:rPr>
          <w:t>https://doi.org/10.1093/nar/gkab1107</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CARD/RGI</w:t>
      </w:r>
      <w:r>
        <w:rPr>
          <w:rFonts w:eastAsia="Cambria" w:cs="Cambria"/>
          <w:b w:val="false"/>
          <w:bCs w:val="false"/>
          <w:i w:val="false"/>
          <w:iCs w:val="false"/>
          <w:color w:val="1A1A1A"/>
          <w:sz w:val="20"/>
          <w:szCs w:val="20"/>
        </w:rPr>
        <w:t xml:space="preserve">: Alcock, B. P., Huynh, W., Chalil, R., Smith, K. W., Raphenya, A. R., Wlodarski, M. A., Edalatmand, A., Petkau, A., Syed, S. A., Tsang, K. K., Baker, S. J. C., Dave, M., McCarthy, M. C., Mukiri, K. M., Nasber, J. A., Pascoe, B., Stintzi, A., Tyber, F., Whitney, K. N., Zubyk, H. L., Baber, A. K., Mulvey, M. R., &amp; McArthur, A. G. (2023). CARD 2023: expanded curation, support for machine learning, and resistome prediction at the Comprehensive Antibiotic Resistance Database. </w:t>
      </w:r>
      <w:r>
        <w:rPr>
          <w:rFonts w:eastAsia="Cambria" w:cs="Cambria"/>
          <w:b w:val="false"/>
          <w:bCs w:val="false"/>
          <w:i/>
          <w:iCs/>
          <w:color w:val="1A1A1A"/>
          <w:sz w:val="20"/>
          <w:szCs w:val="20"/>
        </w:rPr>
        <w:t>Nucleic Acids Research</w:t>
      </w:r>
      <w:r>
        <w:rPr>
          <w:rFonts w:eastAsia="Cambria" w:cs="Cambria"/>
          <w:b w:val="false"/>
          <w:bCs w:val="false"/>
          <w:i w:val="false"/>
          <w:iCs w:val="false"/>
          <w:color w:val="1A1A1A"/>
          <w:sz w:val="20"/>
          <w:szCs w:val="20"/>
        </w:rPr>
        <w:t xml:space="preserve">, 51(D1), D605–D612. </w:t>
      </w:r>
      <w:hyperlink r:id="rId24">
        <w:r>
          <w:rPr>
            <w:rStyle w:val="Style3"/>
            <w:rFonts w:eastAsia="Cambria" w:cs="Cambria"/>
            <w:color w:val="1D4ED8"/>
            <w:sz w:val="20"/>
            <w:szCs w:val="20"/>
            <w:u w:val="single"/>
          </w:rPr>
          <w:t>https://doi.org/10.1093/nar/gkac920</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MOB-suite</w:t>
      </w:r>
      <w:r>
        <w:rPr>
          <w:rFonts w:eastAsia="Cambria" w:cs="Cambria"/>
          <w:b w:val="false"/>
          <w:bCs w:val="false"/>
          <w:i w:val="false"/>
          <w:iCs w:val="false"/>
          <w:color w:val="1A1A1A"/>
          <w:sz w:val="20"/>
          <w:szCs w:val="20"/>
        </w:rPr>
        <w:t xml:space="preserve">: Robertson, J., &amp; Nash, J. H. (2018). MOB-suite: software tools for clustering, reconstruction and typing of bacterial plasmids. </w:t>
      </w:r>
      <w:r>
        <w:rPr>
          <w:rFonts w:eastAsia="Cambria" w:cs="Cambria"/>
          <w:b w:val="false"/>
          <w:bCs w:val="false"/>
          <w:i/>
          <w:iCs/>
          <w:color w:val="1A1A1A"/>
          <w:sz w:val="20"/>
          <w:szCs w:val="20"/>
        </w:rPr>
        <w:t>Microbial Genomics</w:t>
      </w:r>
      <w:r>
        <w:rPr>
          <w:rFonts w:eastAsia="Cambria" w:cs="Cambria"/>
          <w:b w:val="false"/>
          <w:bCs w:val="false"/>
          <w:i w:val="false"/>
          <w:iCs w:val="false"/>
          <w:color w:val="1A1A1A"/>
          <w:sz w:val="20"/>
          <w:szCs w:val="20"/>
        </w:rPr>
        <w:t xml:space="preserve">, 4(8), e000206. </w:t>
      </w:r>
      <w:hyperlink r:id="rId25">
        <w:r>
          <w:rPr>
            <w:rStyle w:val="Style3"/>
            <w:rFonts w:eastAsia="Cambria" w:cs="Cambria"/>
            <w:color w:val="1D4ED8"/>
            <w:sz w:val="20"/>
            <w:szCs w:val="20"/>
            <w:u w:val="single"/>
          </w:rPr>
          <w:t>https://doi.org/10.1099/mgen.0.000206</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geNomad</w:t>
      </w:r>
      <w:r>
        <w:rPr>
          <w:rFonts w:eastAsia="Cambria" w:cs="Cambria"/>
          <w:b w:val="false"/>
          <w:bCs w:val="false"/>
          <w:i w:val="false"/>
          <w:iCs w:val="false"/>
          <w:color w:val="1A1A1A"/>
          <w:sz w:val="20"/>
          <w:szCs w:val="20"/>
        </w:rPr>
        <w:t xml:space="preserve">: Camargo, A. P., Roux, S., Schulz, F., Babinski, M., Xu, Y., Hu, B., Chain, P. S. G., Nayfach, S., &amp; Kyrpides, N. C. (2024). Identification of mobile genetic elements with geNomad. </w:t>
      </w:r>
      <w:r>
        <w:rPr>
          <w:rFonts w:eastAsia="Cambria" w:cs="Cambria"/>
          <w:b w:val="false"/>
          <w:bCs w:val="false"/>
          <w:i/>
          <w:iCs/>
          <w:color w:val="1A1A1A"/>
          <w:sz w:val="20"/>
          <w:szCs w:val="20"/>
        </w:rPr>
        <w:t>Nature Biotechnology</w:t>
      </w:r>
      <w:r>
        <w:rPr>
          <w:rFonts w:eastAsia="Cambria" w:cs="Cambria"/>
          <w:b w:val="false"/>
          <w:bCs w:val="false"/>
          <w:i w:val="false"/>
          <w:iCs w:val="false"/>
          <w:color w:val="1A1A1A"/>
          <w:sz w:val="20"/>
          <w:szCs w:val="20"/>
        </w:rPr>
        <w:t xml:space="preserve">, 42(8), 1276–1285. </w:t>
      </w:r>
      <w:hyperlink r:id="rId26">
        <w:r>
          <w:rPr>
            <w:rStyle w:val="Style3"/>
            <w:rFonts w:eastAsia="Cambria" w:cs="Cambria"/>
            <w:color w:val="1D4ED8"/>
            <w:sz w:val="20"/>
            <w:szCs w:val="20"/>
            <w:u w:val="single"/>
          </w:rPr>
          <w:t>https://doi.org/10.1038/s41587-023-01953-y</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Panaroo</w:t>
      </w:r>
      <w:r>
        <w:rPr>
          <w:rFonts w:eastAsia="Cambria" w:cs="Cambria"/>
          <w:b w:val="false"/>
          <w:bCs w:val="false"/>
          <w:i w:val="false"/>
          <w:iCs w:val="false"/>
          <w:color w:val="1A1A1A"/>
          <w:sz w:val="20"/>
          <w:szCs w:val="20"/>
        </w:rPr>
        <w:t xml:space="preserve">: Tonkin-Hill, G., MacAlasdair, N., Ruis, C., Weimann, A., Horesh, G., Lees, J. A., Gladstone, R. A., Lo, S., Beaudoin, C., Floto, R. A., Frost, S. D. W., Corander, J., Bentley, S. D., &amp; Parkhill, J. (2020). Producing polished prokaryotic pangenomes with the Panaroo pipeline. </w:t>
      </w:r>
      <w:r>
        <w:rPr>
          <w:rFonts w:eastAsia="Cambria" w:cs="Cambria"/>
          <w:b w:val="false"/>
          <w:bCs w:val="false"/>
          <w:i/>
          <w:iCs/>
          <w:color w:val="1A1A1A"/>
          <w:sz w:val="20"/>
          <w:szCs w:val="20"/>
        </w:rPr>
        <w:t>Genome Biology</w:t>
      </w:r>
      <w:r>
        <w:rPr>
          <w:rFonts w:eastAsia="Cambria" w:cs="Cambria"/>
          <w:b w:val="false"/>
          <w:bCs w:val="false"/>
          <w:i w:val="false"/>
          <w:iCs w:val="false"/>
          <w:color w:val="1A1A1A"/>
          <w:sz w:val="20"/>
          <w:szCs w:val="20"/>
        </w:rPr>
        <w:t xml:space="preserve">, 21, 180. </w:t>
      </w:r>
      <w:hyperlink r:id="rId27">
        <w:r>
          <w:rPr>
            <w:rStyle w:val="Style3"/>
            <w:rFonts w:eastAsia="Cambria" w:cs="Cambria"/>
            <w:color w:val="1D4ED8"/>
            <w:sz w:val="20"/>
            <w:szCs w:val="20"/>
            <w:u w:val="single"/>
          </w:rPr>
          <w:t>https://doi.org/10.1186/s13059-020-02090-4</w:t>
        </w:r>
      </w:hyperlink>
    </w:p>
    <w:p>
      <w:pPr>
        <w:pStyle w:val="ListParagraph"/>
        <w:numPr>
          <w:ilvl w:val="0"/>
          <w:numId w:val="1"/>
        </w:numPr>
        <w:spacing w:lineRule="auto" w:line="264" w:before="0" w:after="160"/>
        <w:jc w:val="start"/>
        <w:rPr/>
      </w:pPr>
      <w:r>
        <w:rPr>
          <w:rFonts w:eastAsia="Cambria" w:cs="Cambria"/>
          <w:b/>
          <w:bCs/>
          <w:i w:val="false"/>
          <w:iCs w:val="false"/>
          <w:color w:val="1A1A1A"/>
          <w:sz w:val="20"/>
          <w:szCs w:val="20"/>
        </w:rPr>
        <w:t>MAFFT</w:t>
      </w:r>
      <w:r>
        <w:rPr>
          <w:rFonts w:eastAsia="Cambria" w:cs="Cambria"/>
          <w:b w:val="false"/>
          <w:bCs w:val="false"/>
          <w:i w:val="false"/>
          <w:iCs w:val="false"/>
          <w:color w:val="1A1A1A"/>
          <w:sz w:val="20"/>
          <w:szCs w:val="20"/>
        </w:rPr>
        <w:t xml:space="preserve">: Katoh, K., &amp; Standley, D. M. (2013). MAFFT multiple sequence alignment software version 7: improvements in performance and usability. </w:t>
      </w:r>
      <w:r>
        <w:rPr>
          <w:rFonts w:eastAsia="Cambria" w:cs="Cambria"/>
          <w:b w:val="false"/>
          <w:bCs w:val="false"/>
          <w:i/>
          <w:iCs/>
          <w:color w:val="1A1A1A"/>
          <w:sz w:val="20"/>
          <w:szCs w:val="20"/>
        </w:rPr>
        <w:t>Molecular Biology and Evolution</w:t>
      </w:r>
      <w:r>
        <w:rPr>
          <w:rFonts w:eastAsia="Cambria" w:cs="Cambria"/>
          <w:b w:val="false"/>
          <w:bCs w:val="false"/>
          <w:i w:val="false"/>
          <w:iCs w:val="false"/>
          <w:color w:val="1A1A1A"/>
          <w:sz w:val="20"/>
          <w:szCs w:val="20"/>
        </w:rPr>
        <w:t xml:space="preserve">, 30(4), 772–780. </w:t>
      </w:r>
      <w:hyperlink r:id="rId28">
        <w:r>
          <w:rPr>
            <w:rStyle w:val="Style3"/>
            <w:rFonts w:eastAsia="Cambria" w:cs="Cambria"/>
            <w:color w:val="1D4ED8"/>
            <w:sz w:val="20"/>
            <w:szCs w:val="20"/>
            <w:u w:val="single"/>
          </w:rPr>
          <w:t>https://doi.org/10.1093/molbev/mst010</w:t>
        </w:r>
      </w:hyperlink>
    </w:p>
    <w:sectPr>
      <w:headerReference w:type="even" r:id="rId29"/>
      <w:headerReference w:type="default" r:id="rId30"/>
      <w:headerReference w:type="first" r:id="rId31"/>
      <w:footerReference w:type="even" r:id="rId32"/>
      <w:footerReference w:type="default" r:id="rId33"/>
      <w:footerReference w:type="first" r:id="rId34"/>
      <w:type w:val="nextPage"/>
      <w:pgSz w:w="12240" w:h="15840"/>
      <w:pgMar w:left="108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9CA3AF"/>
      </w:pBdr>
      <w:tabs>
        <w:tab w:val="clear" w:pos="720"/>
        <w:tab w:val="right" w:pos="10080" w:leader="none"/>
      </w:tabs>
      <w:rPr/>
    </w:pPr>
    <w:r>
      <w:rPr>
        <w:rFonts w:eastAsia="Calibri" w:cs="Calibri" w:ascii="Calibri" w:hAnsi="Calibri"/>
        <w:i/>
        <w:iCs/>
        <w:color w:val="6B7280"/>
        <w:sz w:val="15"/>
        <w:szCs w:val="15"/>
      </w:rPr>
      <w:t>Mycolicibacterium cosmeticum — Comparative Genomics</w:t>
      <w:tab/>
      <w:t>Draft manuscript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9CA3AF"/>
      </w:pBdr>
      <w:tabs>
        <w:tab w:val="clear" w:pos="720"/>
        <w:tab w:val="right" w:pos="10080" w:leader="none"/>
      </w:tabs>
      <w:rPr/>
    </w:pPr>
    <w:r>
      <w:rPr>
        <w:rFonts w:eastAsia="Calibri" w:cs="Calibri" w:ascii="Calibri" w:hAnsi="Calibri"/>
        <w:i/>
        <w:iCs/>
        <w:color w:val="6B7280"/>
        <w:sz w:val="15"/>
        <w:szCs w:val="15"/>
      </w:rPr>
      <w:t>Mycolicibacterium cosmeticum — Comparative Genomics</w:t>
      <w:tab/>
      <w:t>Draft manuscript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60" w:hanging="4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color w:val="1A1A1A"/>
        <w:sz w:val="22"/>
        <w:szCs w:val="22"/>
        <w:lang w:val="en-ID"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Cambria" w:hAnsi="Cambria" w:eastAsia="Cambria" w:cs="Cambria"/>
      <w:color w:val="1A1A1A"/>
      <w:kern w:val="0"/>
      <w:sz w:val="22"/>
      <w:szCs w:val="22"/>
      <w:lang w:val="en-ID"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0"/>
      <w:jc w:val="start"/>
    </w:pPr>
    <w:rPr>
      <w:rFonts w:ascii="Cambria" w:hAnsi="Cambria" w:eastAsia="Cambria" w:cs="Cambria"/>
      <w:b/>
      <w:bCs/>
      <w:color w:val="1A1A1A"/>
      <w:kern w:val="0"/>
      <w:sz w:val="22"/>
      <w:szCs w:val="22"/>
      <w:lang w:val="en-ID" w:eastAsia="zh-CN" w:bidi="hi-IN"/>
    </w:rPr>
  </w:style>
  <w:style w:type="paragraph" w:styleId="ListParagraph">
    <w:name w:val="List Paragraph"/>
    <w:qFormat/>
    <w:pPr>
      <w:widowControl/>
      <w:bidi w:val="0"/>
      <w:spacing w:lineRule="auto" w:line="276" w:before="0" w:after="0"/>
      <w:jc w:val="start"/>
    </w:pPr>
    <w:rPr>
      <w:rFonts w:ascii="Cambria" w:hAnsi="Cambria" w:eastAsia="Cambria" w:cs="Cambria"/>
      <w:color w:val="1A1A1A"/>
      <w:kern w:val="0"/>
      <w:sz w:val="22"/>
      <w:szCs w:val="22"/>
      <w:lang w:val="en-ID"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rwick.github.io/2024/06/11/short-read-depth.html" TargetMode="External"/><Relationship Id="rId3" Type="http://schemas.openxmlformats.org/officeDocument/2006/relationships/hyperlink" Target="https://github.com/gbouras13/pypolca" TargetMode="External"/><Relationship Id="rId4" Type="http://schemas.openxmlformats.org/officeDocument/2006/relationships/hyperlink" Target="https://tygs.dsmz.de/" TargetMode="External"/><Relationship Id="rId5" Type="http://schemas.openxmlformats.org/officeDocument/2006/relationships/hyperlink" Target="https://github.com/GenomicaMicrob/VF_classifier" TargetMode="External"/><Relationship Id="rId6" Type="http://schemas.openxmlformats.org/officeDocument/2006/relationships/hyperlink" Target="http://www.mgc.ac.cn/VFs/" TargetMode="External"/><Relationship Id="rId7" Type="http://schemas.openxmlformats.org/officeDocument/2006/relationships/image" Target="media/image1.png"/><Relationship Id="rId8" Type="http://schemas.openxmlformats.org/officeDocument/2006/relationships/hyperlink" Target="http://www.mgc.ac.cn/VFs/" TargetMode="Externa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yperlink" Target="https://doi.org/10.1186/s13059-021-02483-3" TargetMode="External"/><Relationship Id="rId12" Type="http://schemas.openxmlformats.org/officeDocument/2006/relationships/hyperlink" Target="https://doi.org/10.48550/arXiv.1303.3997" TargetMode="External"/><Relationship Id="rId13" Type="http://schemas.openxmlformats.org/officeDocument/2006/relationships/hyperlink" Target="https://doi.org/10.1371/journal.pcbi.1009804" TargetMode="External"/><Relationship Id="rId14" Type="http://schemas.openxmlformats.org/officeDocument/2006/relationships/hyperlink" Target="https://github.com/gbouras13/pypolca" TargetMode="External"/><Relationship Id="rId15" Type="http://schemas.openxmlformats.org/officeDocument/2006/relationships/hyperlink" Target="https://doi.org/10.1093/bioinformatics/btaa080" TargetMode="External"/><Relationship Id="rId16" Type="http://schemas.openxmlformats.org/officeDocument/2006/relationships/hyperlink" Target="https://doi.org/10.1099/mgen.0.001306" TargetMode="External"/><Relationship Id="rId17" Type="http://schemas.openxmlformats.org/officeDocument/2006/relationships/hyperlink" Target="https://rrwick.github.io/2024/06/11/short-read-depth.html" TargetMode="External"/><Relationship Id="rId18" Type="http://schemas.openxmlformats.org/officeDocument/2006/relationships/hyperlink" Target="https://doi.org/10.1093/bioinformatics/btac672" TargetMode="External"/><Relationship Id="rId19" Type="http://schemas.openxmlformats.org/officeDocument/2006/relationships/hyperlink" Target="https://doi.org/10.1038/s41467-019-10210-3" TargetMode="External"/><Relationship Id="rId20" Type="http://schemas.openxmlformats.org/officeDocument/2006/relationships/hyperlink" Target="https://doi.org/10.1099/mgen.0.000685" TargetMode="External"/><Relationship Id="rId21" Type="http://schemas.openxmlformats.org/officeDocument/2006/relationships/hyperlink" Target="https://doi.org/10.1038/s41592-023-01940-9" TargetMode="External"/><Relationship Id="rId22" Type="http://schemas.openxmlformats.org/officeDocument/2006/relationships/hyperlink" Target="https://doi.org/10.1093/molbev/msab199" TargetMode="External"/><Relationship Id="rId23" Type="http://schemas.openxmlformats.org/officeDocument/2006/relationships/hyperlink" Target="https://doi.org/10.1093/nar/gkab1107" TargetMode="External"/><Relationship Id="rId24" Type="http://schemas.openxmlformats.org/officeDocument/2006/relationships/hyperlink" Target="https://doi.org/10.1093/nar/gkac920" TargetMode="External"/><Relationship Id="rId25" Type="http://schemas.openxmlformats.org/officeDocument/2006/relationships/hyperlink" Target="https://doi.org/10.1099/mgen.0.000206" TargetMode="External"/><Relationship Id="rId26" Type="http://schemas.openxmlformats.org/officeDocument/2006/relationships/hyperlink" Target="https://doi.org/10.1038/s41587-023-01953-y" TargetMode="External"/><Relationship Id="rId27" Type="http://schemas.openxmlformats.org/officeDocument/2006/relationships/hyperlink" Target="https://doi.org/10.1186/s13059-020-02090-4" TargetMode="External"/><Relationship Id="rId28" Type="http://schemas.openxmlformats.org/officeDocument/2006/relationships/hyperlink" Target="https://doi.org/10.1093/molbev/mst010" TargetMode="External"/><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LibreOffice/26.2.1.2$Windows_X86_64 LibreOffice_project/620$Build-2</Application>
  <AppVersion>15.0000</AppVersion>
  <Pages>13</Pages>
  <Words>4219</Words>
  <Characters>27101</Characters>
  <CharactersWithSpaces>30906</CharactersWithSpaces>
  <Paragraphs>354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2026-08-27T01:57:58Z</dcterms:created>
  <dc:creator>Un-named</dc:creator>
  <dc:description/>
  <dc:language>en-ID</dc:language>
  <cp:lastModifiedBy/>
  <dcterms:modified xsi:type="dcterms:W3CDTF">2026-08-27T09:36:45Z</dcterms:modified>
  <cp:revision>4</cp:revision>
  <dc:subject/>
  <dc:title/>
</cp:coreProperties>
</file>