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6B7280"/>
          <w:sz w:val="18"/>
          <w:szCs w:val="18"/>
        </w:rPr>
        <w:t xml:space="preserve">ENGINEERING RESPONSE</w:t>
      </w:r>
    </w:p>
    <w:p>
      <w:pPr>
        <w:spacing w:after="120"/>
      </w:pPr>
      <w:r>
        <w:rPr>
          <w:b/>
          <w:bCs/>
          <w:color w:val="1F2937"/>
          <w:sz w:val="40"/>
          <w:szCs w:val="40"/>
        </w:rPr>
        <w:t xml:space="preserve">CaseDesk CRM — QA Report v2: Fixes, Corrections &amp; Follow-ups</w:t>
      </w:r>
    </w:p>
    <w:p>
      <w:pPr>
        <w:spacing w:after="300"/>
      </w:pPr>
      <w:r>
        <w:rPr>
          <w:i/>
          <w:iCs/>
          <w:color w:val="6B7280"/>
          <w:sz w:val="20"/>
          <w:szCs w:val="20"/>
        </w:rPr>
        <w:t xml:space="preserve">Prepared for CHK Immigration Services · In response to “CaseDesk CRM — QA Assessment v2” (prepared 14 August 2026, second pass, Gagandeep Singh Dhillon) · 14 August 2026</w:t>
      </w:r>
    </w:p>
    <w:p>
      <w:pPr>
        <w:pStyle w:val="Heading1"/>
        <w:pBdr>
          <w:bottom w:val="single" w:color="D1D5DB" w:sz="6" w:space="4"/>
        </w:pBdr>
        <w:spacing w:after="200" w:before="480"/>
      </w:pPr>
      <w:r>
        <w:rPr>
          <w:b/>
          <w:bCs/>
          <w:color w:val="1F2937"/>
          <w:sz w:val="30"/>
          <w:szCs w:val="30"/>
        </w:rPr>
        <w:t xml:space="preserve">1. Executive summary</w:t>
      </w:r>
    </w:p>
    <w:p>
      <w:pPr>
        <w:spacing w:after="160" w:line="300"/>
      </w:pPr>
      <w:r>
        <w:rPr>
          <w:color w:val="1F2937"/>
          <w:sz w:val="21"/>
          <w:szCs w:val="21"/>
        </w:rPr>
        <w:t xml:space="preserve">This document responds to the QA report point by point. Nine of the report's findings described real, reproducible defects; those have been fixed or partially fixed this session and are documented below with the exact files changed. Five findings were wrong or overstated as written, and are corrected with source-level evidence in Section 3. A number of lower-severity items and one larger architectural recommendation were confirmed accurate but intentionally not attempted here, for reasons explained in Section 4.</w:t>
      </w:r>
    </w:p>
    <w:p>
      <w:pPr>
        <w:spacing w:after="160" w:line="300"/>
      </w:pPr>
      <w:r>
        <w:rPr>
          <w:color w:val="1F2937"/>
          <w:sz w:val="21"/>
          <w:szCs w:val="21"/>
        </w:rPr>
        <w:t xml:space="preserve">The headline claim — that the Payments header cards render a different, often-zero number on every reload — was accurate and is now fixed. The root cause was not what the report guessed (client-side summing of paginated rows); it was a missing stale-response guard on the summary endpoint combined with a silent fallback to $0 on both load and error. Both are fixed the same way the report recommended: a dedicated loading state, an explicit error state with retry, and the growth badge suppressed when there's no real figure to compare against.</w:t>
      </w:r>
    </w:p>
    <w:p>
      <w:pPr>
        <w:pStyle w:val="Heading2"/>
        <w:spacing w:after="140" w:before="340"/>
      </w:pPr>
      <w:r>
        <w:rPr>
          <w:b/>
          <w:bCs/>
          <w:color w:val="1F2937"/>
          <w:sz w:val="24"/>
          <w:szCs w:val="24"/>
        </w:rPr>
        <w:t xml:space="preserve">Summary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1700"/>
        <w:gridCol w:w="2000"/>
      </w:tblGrid>
      <w:tr>
        <w:trPr>
          <w:tblHeader/>
        </w:trPr>
        <w:tc>
          <w:tcPr>
            <w:tcW w:type="auto" w:w="0"/>
            <w:shd w:fill="111827" w:val="clear"/>
            <w:tcMar>
              <w:top w:type="dxa" w:w="90"/>
              <w:left w:type="dxa" w:w="120"/>
              <w:bottom w:type="dxa" w:w="90"/>
              <w:right w:type="dxa" w:w="120"/>
            </w:tcMar>
            <w:vAlign w:val="center"/>
          </w:tcPr>
          <w:p>
            <w:r>
              <w:rPr>
                <w:b/>
                <w:bCs/>
                <w:color w:val="FFFFFF"/>
                <w:sz w:val="18"/>
                <w:szCs w:val="18"/>
              </w:rPr>
              <w:t xml:space="preserve">ID</w:t>
            </w:r>
          </w:p>
        </w:tc>
        <w:tc>
          <w:tcPr>
            <w:tcW w:type="auto" w:w="0"/>
            <w:shd w:fill="111827" w:val="clear"/>
            <w:tcMar>
              <w:top w:type="dxa" w:w="90"/>
              <w:left w:type="dxa" w:w="120"/>
              <w:bottom w:type="dxa" w:w="90"/>
              <w:right w:type="dxa" w:w="120"/>
            </w:tcMar>
            <w:vAlign w:val="center"/>
          </w:tcPr>
          <w:p>
            <w:r>
              <w:rPr>
                <w:b/>
                <w:bCs/>
                <w:color w:val="FFFFFF"/>
                <w:sz w:val="18"/>
                <w:szCs w:val="18"/>
              </w:rPr>
              <w:t xml:space="preserve">Finding</w:t>
            </w:r>
          </w:p>
        </w:tc>
        <w:tc>
          <w:tcPr>
            <w:tcW w:type="auto" w:w="0"/>
            <w:shd w:fill="111827" w:val="clear"/>
            <w:tcMar>
              <w:top w:type="dxa" w:w="90"/>
              <w:left w:type="dxa" w:w="120"/>
              <w:bottom w:type="dxa" w:w="90"/>
              <w:right w:type="dxa" w:w="120"/>
            </w:tcMar>
            <w:vAlign w:val="center"/>
          </w:tcPr>
          <w:p>
            <w:r>
              <w:rPr>
                <w:b/>
                <w:bCs/>
                <w:color w:val="FFFFFF"/>
                <w:sz w:val="18"/>
                <w:szCs w:val="18"/>
              </w:rPr>
              <w:t xml:space="preserve">Our verdict</w:t>
            </w:r>
          </w:p>
        </w:tc>
        <w:tc>
          <w:tcPr>
            <w:tcW w:type="auto" w:w="0"/>
            <w:shd w:fill="111827" w:val="clear"/>
            <w:tcMar>
              <w:top w:type="dxa" w:w="90"/>
              <w:left w:type="dxa" w:w="120"/>
              <w:bottom w:type="dxa" w:w="90"/>
              <w:right w:type="dxa" w:w="120"/>
            </w:tcMar>
            <w:vAlign w:val="center"/>
          </w:tcPr>
          <w:p>
            <w:r>
              <w:rPr>
                <w:b/>
                <w:bCs/>
                <w:color w:val="FFFFFF"/>
                <w:sz w:val="18"/>
                <w:szCs w:val="18"/>
              </w:rPr>
              <w:t xml:space="preserve">Session status</w:t>
            </w:r>
          </w:p>
        </w:tc>
      </w:tr>
      <w:tr>
        <w:tc>
          <w:tcPr>
            <w:shd w:fill="FFFFFF" w:val="clear"/>
            <w:tcMar>
              <w:top w:type="dxa" w:w="90"/>
              <w:left w:type="dxa" w:w="120"/>
              <w:bottom w:type="dxa" w:w="90"/>
              <w:right w:type="dxa" w:w="120"/>
            </w:tcMar>
            <w:vAlign w:val="center"/>
          </w:tcPr>
          <w:p>
            <w:r>
              <w:rPr>
                <w:b/>
                <w:bCs/>
                <w:color w:val="1F2937"/>
                <w:sz w:val="18"/>
                <w:szCs w:val="18"/>
              </w:rPr>
              <w:t xml:space="preserve">CD-032</w:t>
            </w:r>
          </w:p>
        </w:tc>
        <w:tc>
          <w:tcPr>
            <w:shd w:fill="FFFFFF" w:val="clear"/>
            <w:tcMar>
              <w:top w:type="dxa" w:w="90"/>
              <w:left w:type="dxa" w:w="120"/>
              <w:bottom w:type="dxa" w:w="90"/>
              <w:right w:type="dxa" w:w="120"/>
            </w:tcMar>
            <w:vAlign w:val="center"/>
          </w:tcPr>
          <w:p>
            <w:r>
              <w:rPr>
                <w:b w:val="false"/>
                <w:bCs w:val="false"/>
                <w:color w:val="1F2937"/>
                <w:sz w:val="18"/>
                <w:szCs w:val="18"/>
              </w:rPr>
              <w:t xml:space="preserve">Payments header cards non-deterministic, render $0 (top-priority new finding)</w:t>
            </w:r>
          </w:p>
        </w:tc>
        <w:tc>
          <w:tcPr>
            <w:shd w:fill="FFFFFF" w:val="clear"/>
            <w:tcMar>
              <w:top w:type="dxa" w:w="90"/>
              <w:left w:type="dxa" w:w="120"/>
              <w:bottom w:type="dxa" w:w="90"/>
              <w:right w:type="dxa" w:w="120"/>
            </w:tcMar>
            <w:vAlign w:val="center"/>
          </w:tcPr>
          <w:p>
            <w:r>
              <w:rPr>
                <w:b w:val="false"/>
                <w:bCs w:val="false"/>
                <w:color w:val="1F2937"/>
                <w:sz w:val="18"/>
                <w:szCs w:val="18"/>
              </w:rPr>
              <w:t xml:space="preserve">Accurate</w:t>
            </w:r>
          </w:p>
        </w:tc>
        <w:tc>
          <w:tcPr>
            <w:shd w:fill="FFFFFF" w:val="clear"/>
            <w:tcMar>
              <w:top w:type="dxa" w:w="90"/>
              <w:left w:type="dxa" w:w="120"/>
              <w:bottom w:type="dxa" w:w="90"/>
              <w:right w:type="dxa" w:w="120"/>
            </w:tcMar>
            <w:vAlign w:val="center"/>
          </w:tcPr>
          <w:p>
            <w:r>
              <w:rPr>
                <w:b w:val="false"/>
                <w:bCs w:val="false"/>
                <w:color w:val="1F2937"/>
                <w:sz w:val="18"/>
                <w:szCs w:val="18"/>
              </w:rPr>
              <w:t xml:space="preserve">Fixed</w:t>
            </w:r>
          </w:p>
        </w:tc>
      </w:tr>
      <w:tr>
        <w:tc>
          <w:tcPr>
            <w:shd w:fill="F9FAFB" w:val="clear"/>
            <w:tcMar>
              <w:top w:type="dxa" w:w="90"/>
              <w:left w:type="dxa" w:w="120"/>
              <w:bottom w:type="dxa" w:w="90"/>
              <w:right w:type="dxa" w:w="120"/>
            </w:tcMar>
            <w:vAlign w:val="center"/>
          </w:tcPr>
          <w:p>
            <w:r>
              <w:rPr>
                <w:b/>
                <w:bCs/>
                <w:color w:val="1F2937"/>
                <w:sz w:val="18"/>
                <w:szCs w:val="18"/>
              </w:rPr>
              <w:t xml:space="preserve">CD-001</w:t>
            </w:r>
          </w:p>
        </w:tc>
        <w:tc>
          <w:tcPr>
            <w:shd w:fill="F9FAFB" w:val="clear"/>
            <w:tcMar>
              <w:top w:type="dxa" w:w="90"/>
              <w:left w:type="dxa" w:w="120"/>
              <w:bottom w:type="dxa" w:w="90"/>
              <w:right w:type="dxa" w:w="120"/>
            </w:tcMar>
            <w:vAlign w:val="center"/>
          </w:tcPr>
          <w:p>
            <w:r>
              <w:rPr>
                <w:b w:val="false"/>
                <w:bCs w:val="false"/>
                <w:color w:val="1F2937"/>
                <w:sz w:val="18"/>
                <w:szCs w:val="18"/>
              </w:rPr>
              <w:t xml:space="preserve">Payments reports contradictory revenue figures</w:t>
            </w:r>
          </w:p>
        </w:tc>
        <w:tc>
          <w:tcPr>
            <w:shd w:fill="F9FAFB" w:val="clear"/>
            <w:tcMar>
              <w:top w:type="dxa" w:w="90"/>
              <w:left w:type="dxa" w:w="120"/>
              <w:bottom w:type="dxa" w:w="90"/>
              <w:right w:type="dxa" w:w="120"/>
            </w:tcMar>
            <w:vAlign w:val="center"/>
          </w:tcPr>
          <w:p>
            <w:r>
              <w:rPr>
                <w:b w:val="false"/>
                <w:bCs w:val="false"/>
                <w:color w:val="1F2937"/>
                <w:sz w:val="18"/>
                <w:szCs w:val="18"/>
              </w:rPr>
              <w:t xml:space="preserve">Accurate</w:t>
            </w:r>
          </w:p>
        </w:tc>
        <w:tc>
          <w:tcPr>
            <w:shd w:fill="F9FAFB" w:val="clear"/>
            <w:tcMar>
              <w:top w:type="dxa" w:w="90"/>
              <w:left w:type="dxa" w:w="120"/>
              <w:bottom w:type="dxa" w:w="90"/>
              <w:right w:type="dxa" w:w="120"/>
            </w:tcMar>
            <w:vAlign w:val="center"/>
          </w:tcPr>
          <w:p>
            <w:r>
              <w:rPr>
                <w:b w:val="false"/>
                <w:bCs w:val="false"/>
                <w:color w:val="1F2937"/>
                <w:sz w:val="18"/>
                <w:szCs w:val="18"/>
              </w:rPr>
              <w:t xml:space="preserve">Fixed (see CD-032)</w:t>
            </w:r>
          </w:p>
        </w:tc>
      </w:tr>
      <w:tr>
        <w:tc>
          <w:tcPr>
            <w:shd w:fill="FFFFFF" w:val="clear"/>
            <w:tcMar>
              <w:top w:type="dxa" w:w="90"/>
              <w:left w:type="dxa" w:w="120"/>
              <w:bottom w:type="dxa" w:w="90"/>
              <w:right w:type="dxa" w:w="120"/>
            </w:tcMar>
            <w:vAlign w:val="center"/>
          </w:tcPr>
          <w:p>
            <w:r>
              <w:rPr>
                <w:b/>
                <w:bCs/>
                <w:color w:val="1F2937"/>
                <w:sz w:val="18"/>
                <w:szCs w:val="18"/>
              </w:rPr>
              <w:t xml:space="preserve">CD-036</w:t>
            </w:r>
          </w:p>
        </w:tc>
        <w:tc>
          <w:tcPr>
            <w:shd w:fill="FFFFFF" w:val="clear"/>
            <w:tcMar>
              <w:top w:type="dxa" w:w="90"/>
              <w:left w:type="dxa" w:w="120"/>
              <w:bottom w:type="dxa" w:w="90"/>
              <w:right w:type="dxa" w:w="120"/>
            </w:tcMar>
            <w:vAlign w:val="center"/>
          </w:tcPr>
          <w:p>
            <w:r>
              <w:rPr>
                <w:b w:val="false"/>
                <w:bCs w:val="false"/>
                <w:color w:val="1F2937"/>
                <w:sz w:val="18"/>
                <w:szCs w:val="18"/>
              </w:rPr>
              <w:t xml:space="preserve">Failed/empty API responses render as silent zeros</w:t>
            </w:r>
          </w:p>
        </w:tc>
        <w:tc>
          <w:tcPr>
            <w:shd w:fill="FFFFFF" w:val="clear"/>
            <w:tcMar>
              <w:top w:type="dxa" w:w="90"/>
              <w:left w:type="dxa" w:w="120"/>
              <w:bottom w:type="dxa" w:w="90"/>
              <w:right w:type="dxa" w:w="120"/>
            </w:tcMar>
            <w:vAlign w:val="center"/>
          </w:tcPr>
          <w:p>
            <w:r>
              <w:rPr>
                <w:b w:val="false"/>
                <w:bCs w:val="false"/>
                <w:color w:val="1F2937"/>
                <w:sz w:val="18"/>
                <w:szCs w:val="18"/>
              </w:rPr>
              <w:t xml:space="preserve">Accurate</w:t>
            </w:r>
          </w:p>
        </w:tc>
        <w:tc>
          <w:tcPr>
            <w:shd w:fill="FFFFFF" w:val="clear"/>
            <w:tcMar>
              <w:top w:type="dxa" w:w="90"/>
              <w:left w:type="dxa" w:w="120"/>
              <w:bottom w:type="dxa" w:w="90"/>
              <w:right w:type="dxa" w:w="120"/>
            </w:tcMar>
            <w:vAlign w:val="center"/>
          </w:tcPr>
          <w:p>
            <w:r>
              <w:rPr>
                <w:b w:val="false"/>
                <w:bCs w:val="false"/>
                <w:color w:val="1F2937"/>
                <w:sz w:val="18"/>
                <w:szCs w:val="18"/>
              </w:rPr>
              <w:t xml:space="preserve">Fixed (Payments); pattern noted for other panels</w:t>
            </w:r>
          </w:p>
        </w:tc>
      </w:tr>
      <w:tr>
        <w:tc>
          <w:tcPr>
            <w:shd w:fill="F9FAFB" w:val="clear"/>
            <w:tcMar>
              <w:top w:type="dxa" w:w="90"/>
              <w:left w:type="dxa" w:w="120"/>
              <w:bottom w:type="dxa" w:w="90"/>
              <w:right w:type="dxa" w:w="120"/>
            </w:tcMar>
            <w:vAlign w:val="center"/>
          </w:tcPr>
          <w:p>
            <w:r>
              <w:rPr>
                <w:b/>
                <w:bCs/>
                <w:color w:val="1F2937"/>
                <w:sz w:val="18"/>
                <w:szCs w:val="18"/>
              </w:rPr>
              <w:t xml:space="preserve">CD-012</w:t>
            </w:r>
          </w:p>
        </w:tc>
        <w:tc>
          <w:tcPr>
            <w:shd w:fill="F9FAFB" w:val="clear"/>
            <w:tcMar>
              <w:top w:type="dxa" w:w="90"/>
              <w:left w:type="dxa" w:w="120"/>
              <w:bottom w:type="dxa" w:w="90"/>
              <w:right w:type="dxa" w:w="120"/>
            </w:tcMar>
            <w:vAlign w:val="center"/>
          </w:tcPr>
          <w:p>
            <w:r>
              <w:rPr>
                <w:b w:val="false"/>
                <w:bCs w:val="false"/>
                <w:color w:val="1F2937"/>
                <w:sz w:val="18"/>
                <w:szCs w:val="18"/>
              </w:rPr>
              <w:t xml:space="preserve">/api/booking/analytics?range=today returns HTTP 400</w:t>
            </w:r>
          </w:p>
        </w:tc>
        <w:tc>
          <w:tcPr>
            <w:shd w:fill="F9FAFB" w:val="clear"/>
            <w:tcMar>
              <w:top w:type="dxa" w:w="90"/>
              <w:left w:type="dxa" w:w="120"/>
              <w:bottom w:type="dxa" w:w="90"/>
              <w:right w:type="dxa" w:w="120"/>
            </w:tcMar>
            <w:vAlign w:val="center"/>
          </w:tcPr>
          <w:p>
            <w:r>
              <w:rPr>
                <w:b w:val="false"/>
                <w:bCs w:val="false"/>
                <w:color w:val="1F2937"/>
                <w:sz w:val="18"/>
                <w:szCs w:val="18"/>
              </w:rPr>
              <w:t xml:space="preserve">Accurate</w:t>
            </w:r>
          </w:p>
        </w:tc>
        <w:tc>
          <w:tcPr>
            <w:shd w:fill="F9FAFB" w:val="clear"/>
            <w:tcMar>
              <w:top w:type="dxa" w:w="90"/>
              <w:left w:type="dxa" w:w="120"/>
              <w:bottom w:type="dxa" w:w="90"/>
              <w:right w:type="dxa" w:w="120"/>
            </w:tcMar>
            <w:vAlign w:val="center"/>
          </w:tcPr>
          <w:p>
            <w:r>
              <w:rPr>
                <w:b w:val="false"/>
                <w:bCs w:val="false"/>
                <w:color w:val="1F2937"/>
                <w:sz w:val="18"/>
                <w:szCs w:val="18"/>
              </w:rPr>
              <w:t xml:space="preserve">Fixed</w:t>
            </w:r>
          </w:p>
        </w:tc>
      </w:tr>
      <w:tr>
        <w:tc>
          <w:tcPr>
            <w:shd w:fill="FFFFFF" w:val="clear"/>
            <w:tcMar>
              <w:top w:type="dxa" w:w="90"/>
              <w:left w:type="dxa" w:w="120"/>
              <w:bottom w:type="dxa" w:w="90"/>
              <w:right w:type="dxa" w:w="120"/>
            </w:tcMar>
            <w:vAlign w:val="center"/>
          </w:tcPr>
          <w:p>
            <w:r>
              <w:rPr>
                <w:b/>
                <w:bCs/>
                <w:color w:val="1F2937"/>
                <w:sz w:val="18"/>
                <w:szCs w:val="18"/>
              </w:rPr>
              <w:t xml:space="preserve">CD-002</w:t>
            </w:r>
          </w:p>
        </w:tc>
        <w:tc>
          <w:tcPr>
            <w:shd w:fill="FFFFFF" w:val="clear"/>
            <w:tcMar>
              <w:top w:type="dxa" w:w="90"/>
              <w:left w:type="dxa" w:w="120"/>
              <w:bottom w:type="dxa" w:w="90"/>
              <w:right w:type="dxa" w:w="120"/>
            </w:tcMar>
            <w:vAlign w:val="center"/>
          </w:tcPr>
          <w:p>
            <w:r>
              <w:rPr>
                <w:b w:val="false"/>
                <w:bCs w:val="false"/>
                <w:color w:val="1F2937"/>
                <w:sz w:val="18"/>
                <w:szCs w:val="18"/>
              </w:rPr>
              <w:t xml:space="preserve">Duplicate case records</w:t>
            </w:r>
          </w:p>
        </w:tc>
        <w:tc>
          <w:tcPr>
            <w:shd w:fill="FFFFFF" w:val="clear"/>
            <w:tcMar>
              <w:top w:type="dxa" w:w="90"/>
              <w:left w:type="dxa" w:w="120"/>
              <w:bottom w:type="dxa" w:w="90"/>
              <w:right w:type="dxa" w:w="120"/>
            </w:tcMar>
            <w:vAlign w:val="center"/>
          </w:tcPr>
          <w:p>
            <w:r>
              <w:rPr>
                <w:b w:val="false"/>
                <w:bCs w:val="false"/>
                <w:color w:val="1F2937"/>
                <w:sz w:val="18"/>
                <w:szCs w:val="18"/>
              </w:rPr>
              <w:t xml:space="preserve">Accurate</w:t>
            </w:r>
          </w:p>
        </w:tc>
        <w:tc>
          <w:tcPr>
            <w:shd w:fill="FFFFFF" w:val="clear"/>
            <w:tcMar>
              <w:top w:type="dxa" w:w="90"/>
              <w:left w:type="dxa" w:w="120"/>
              <w:bottom w:type="dxa" w:w="90"/>
              <w:right w:type="dxa" w:w="120"/>
            </w:tcMar>
            <w:vAlign w:val="center"/>
          </w:tcPr>
          <w:p>
            <w:r>
              <w:rPr>
                <w:b w:val="false"/>
                <w:bCs w:val="false"/>
                <w:color w:val="1F2937"/>
                <w:sz w:val="18"/>
                <w:szCs w:val="18"/>
              </w:rPr>
              <w:t xml:space="preserve">Fixed (guard added)</w:t>
            </w:r>
          </w:p>
        </w:tc>
      </w:tr>
      <w:tr>
        <w:tc>
          <w:tcPr>
            <w:shd w:fill="F9FAFB" w:val="clear"/>
            <w:tcMar>
              <w:top w:type="dxa" w:w="90"/>
              <w:left w:type="dxa" w:w="120"/>
              <w:bottom w:type="dxa" w:w="90"/>
              <w:right w:type="dxa" w:w="120"/>
            </w:tcMar>
            <w:vAlign w:val="center"/>
          </w:tcPr>
          <w:p>
            <w:r>
              <w:rPr>
                <w:b/>
                <w:bCs/>
                <w:color w:val="1F2937"/>
                <w:sz w:val="18"/>
                <w:szCs w:val="18"/>
              </w:rPr>
              <w:t xml:space="preserve">CD-033</w:t>
            </w:r>
          </w:p>
        </w:tc>
        <w:tc>
          <w:tcPr>
            <w:shd w:fill="F9FAFB" w:val="clear"/>
            <w:tcMar>
              <w:top w:type="dxa" w:w="90"/>
              <w:left w:type="dxa" w:w="120"/>
              <w:bottom w:type="dxa" w:w="90"/>
              <w:right w:type="dxa" w:w="120"/>
            </w:tcMar>
            <w:vAlign w:val="center"/>
          </w:tcPr>
          <w:p>
            <w:r>
              <w:rPr>
                <w:b w:val="false"/>
                <w:bCs w:val="false"/>
                <w:color w:val="1F2937"/>
                <w:sz w:val="18"/>
                <w:szCs w:val="18"/>
              </w:rPr>
              <w:t xml:space="preserve">3,793 legacy Case Easy records, one-click-only conversion</w:t>
            </w:r>
          </w:p>
        </w:tc>
        <w:tc>
          <w:tcPr>
            <w:shd w:fill="F9FAFB" w:val="clear"/>
            <w:tcMar>
              <w:top w:type="dxa" w:w="90"/>
              <w:left w:type="dxa" w:w="120"/>
              <w:bottom w:type="dxa" w:w="90"/>
              <w:right w:type="dxa" w:w="120"/>
            </w:tcMar>
            <w:vAlign w:val="center"/>
          </w:tcPr>
          <w:p>
            <w:r>
              <w:rPr>
                <w:b w:val="false"/>
                <w:bCs w:val="false"/>
                <w:color w:val="1F2937"/>
                <w:sz w:val="18"/>
                <w:szCs w:val="18"/>
              </w:rPr>
              <w:t xml:space="preserve">Accurate</w:t>
            </w:r>
          </w:p>
        </w:tc>
        <w:tc>
          <w:tcPr>
            <w:shd w:fill="F9FAFB" w:val="clear"/>
            <w:tcMar>
              <w:top w:type="dxa" w:w="90"/>
              <w:left w:type="dxa" w:w="120"/>
              <w:bottom w:type="dxa" w:w="90"/>
              <w:right w:type="dxa" w:w="120"/>
            </w:tcMar>
            <w:vAlign w:val="center"/>
          </w:tcPr>
          <w:p>
            <w:r>
              <w:rPr>
                <w:b w:val="false"/>
                <w:bCs w:val="false"/>
                <w:color w:val="1F2937"/>
                <w:sz w:val="18"/>
                <w:szCs w:val="18"/>
              </w:rPr>
              <w:t xml:space="preserve">Partially fixed</w:t>
            </w:r>
          </w:p>
        </w:tc>
      </w:tr>
      <w:tr>
        <w:tc>
          <w:tcPr>
            <w:shd w:fill="FFFFFF" w:val="clear"/>
            <w:tcMar>
              <w:top w:type="dxa" w:w="90"/>
              <w:left w:type="dxa" w:w="120"/>
              <w:bottom w:type="dxa" w:w="90"/>
              <w:right w:type="dxa" w:w="120"/>
            </w:tcMar>
            <w:vAlign w:val="center"/>
          </w:tcPr>
          <w:p>
            <w:r>
              <w:rPr>
                <w:b/>
                <w:bCs/>
                <w:color w:val="1F2937"/>
                <w:sz w:val="18"/>
                <w:szCs w:val="18"/>
              </w:rPr>
              <w:t xml:space="preserve">CD-011</w:t>
            </w:r>
          </w:p>
        </w:tc>
        <w:tc>
          <w:tcPr>
            <w:shd w:fill="FFFFFF" w:val="clear"/>
            <w:tcMar>
              <w:top w:type="dxa" w:w="90"/>
              <w:left w:type="dxa" w:w="120"/>
              <w:bottom w:type="dxa" w:w="90"/>
              <w:right w:type="dxa" w:w="120"/>
            </w:tcMar>
            <w:vAlign w:val="center"/>
          </w:tcPr>
          <w:p>
            <w:r>
              <w:rPr>
                <w:b w:val="false"/>
                <w:bCs w:val="false"/>
                <w:color w:val="1F2937"/>
                <w:sz w:val="18"/>
                <w:szCs w:val="18"/>
              </w:rPr>
              <w:t xml:space="preserve">Ooma integration polled while dead</w:t>
            </w:r>
          </w:p>
        </w:tc>
        <w:tc>
          <w:tcPr>
            <w:shd w:fill="FFFFFF" w:val="clear"/>
            <w:tcMar>
              <w:top w:type="dxa" w:w="90"/>
              <w:left w:type="dxa" w:w="120"/>
              <w:bottom w:type="dxa" w:w="90"/>
              <w:right w:type="dxa" w:w="120"/>
            </w:tcMar>
            <w:vAlign w:val="center"/>
          </w:tcPr>
          <w:p>
            <w:r>
              <w:rPr>
                <w:b w:val="false"/>
                <w:bCs w:val="false"/>
                <w:color w:val="1F2937"/>
                <w:sz w:val="18"/>
                <w:szCs w:val="18"/>
              </w:rPr>
              <w:t xml:space="preserve">Real gap, one claim overstated</w:t>
            </w:r>
          </w:p>
        </w:tc>
        <w:tc>
          <w:tcPr>
            <w:shd w:fill="FFFFFF" w:val="clear"/>
            <w:tcMar>
              <w:top w:type="dxa" w:w="90"/>
              <w:left w:type="dxa" w:w="120"/>
              <w:bottom w:type="dxa" w:w="90"/>
              <w:right w:type="dxa" w:w="120"/>
            </w:tcMar>
            <w:vAlign w:val="center"/>
          </w:tcPr>
          <w:p>
            <w:r>
              <w:rPr>
                <w:b w:val="false"/>
                <w:bCs w:val="false"/>
                <w:color w:val="1F2937"/>
                <w:sz w:val="18"/>
                <w:szCs w:val="18"/>
              </w:rPr>
              <w:t xml:space="preserve">Fixed</w:t>
            </w:r>
          </w:p>
        </w:tc>
      </w:tr>
      <w:tr>
        <w:tc>
          <w:tcPr>
            <w:shd w:fill="F9FAFB" w:val="clear"/>
            <w:tcMar>
              <w:top w:type="dxa" w:w="90"/>
              <w:left w:type="dxa" w:w="120"/>
              <w:bottom w:type="dxa" w:w="90"/>
              <w:right w:type="dxa" w:w="120"/>
            </w:tcMar>
            <w:vAlign w:val="center"/>
          </w:tcPr>
          <w:p>
            <w:r>
              <w:rPr>
                <w:b/>
                <w:bCs/>
                <w:color w:val="1F2937"/>
                <w:sz w:val="18"/>
                <w:szCs w:val="18"/>
              </w:rPr>
              <w:t xml:space="preserve">CD-003 / CD-035</w:t>
            </w:r>
          </w:p>
        </w:tc>
        <w:tc>
          <w:tcPr>
            <w:shd w:fill="F9FAFB" w:val="clear"/>
            <w:tcMar>
              <w:top w:type="dxa" w:w="90"/>
              <w:left w:type="dxa" w:w="120"/>
              <w:bottom w:type="dxa" w:w="90"/>
              <w:right w:type="dxa" w:w="120"/>
            </w:tcMar>
            <w:vAlign w:val="center"/>
          </w:tcPr>
          <w:p>
            <w:r>
              <w:rPr>
                <w:b w:val="false"/>
                <w:bCs w:val="false"/>
                <w:color w:val="1F2937"/>
                <w:sz w:val="18"/>
                <w:szCs w:val="18"/>
              </w:rPr>
              <w:t xml:space="preserve">“Overdue” computed six different ways</w:t>
            </w:r>
          </w:p>
        </w:tc>
        <w:tc>
          <w:tcPr>
            <w:shd w:fill="F9FAFB" w:val="clear"/>
            <w:tcMar>
              <w:top w:type="dxa" w:w="90"/>
              <w:left w:type="dxa" w:w="120"/>
              <w:bottom w:type="dxa" w:w="90"/>
              <w:right w:type="dxa" w:w="120"/>
            </w:tcMar>
            <w:vAlign w:val="center"/>
          </w:tcPr>
          <w:p>
            <w:r>
              <w:rPr>
                <w:b w:val="false"/>
                <w:bCs w:val="false"/>
                <w:color w:val="1F2937"/>
                <w:sz w:val="18"/>
                <w:szCs w:val="18"/>
              </w:rPr>
              <w:t xml:space="preserve">Accurate</w:t>
            </w:r>
          </w:p>
        </w:tc>
        <w:tc>
          <w:tcPr>
            <w:shd w:fill="F9FAFB" w:val="clear"/>
            <w:tcMar>
              <w:top w:type="dxa" w:w="90"/>
              <w:left w:type="dxa" w:w="120"/>
              <w:bottom w:type="dxa" w:w="90"/>
              <w:right w:type="dxa" w:w="120"/>
            </w:tcMar>
            <w:vAlign w:val="center"/>
          </w:tcPr>
          <w:p>
            <w:r>
              <w:rPr>
                <w:b w:val="false"/>
                <w:bCs w:val="false"/>
                <w:color w:val="1F2937"/>
                <w:sz w:val="18"/>
                <w:szCs w:val="18"/>
              </w:rPr>
              <w:t xml:space="preserve">Partially fixed</w:t>
            </w:r>
          </w:p>
        </w:tc>
      </w:tr>
      <w:tr>
        <w:tc>
          <w:tcPr>
            <w:shd w:fill="FFFFFF" w:val="clear"/>
            <w:tcMar>
              <w:top w:type="dxa" w:w="90"/>
              <w:left w:type="dxa" w:w="120"/>
              <w:bottom w:type="dxa" w:w="90"/>
              <w:right w:type="dxa" w:w="120"/>
            </w:tcMar>
            <w:vAlign w:val="center"/>
          </w:tcPr>
          <w:p>
            <w:r>
              <w:rPr>
                <w:b/>
                <w:bCs/>
                <w:color w:val="1F2937"/>
                <w:sz w:val="18"/>
                <w:szCs w:val="18"/>
              </w:rPr>
              <w:t xml:space="preserve">CD-004</w:t>
            </w:r>
          </w:p>
        </w:tc>
        <w:tc>
          <w:tcPr>
            <w:shd w:fill="FFFFFF" w:val="clear"/>
            <w:tcMar>
              <w:top w:type="dxa" w:w="90"/>
              <w:left w:type="dxa" w:w="120"/>
              <w:bottom w:type="dxa" w:w="90"/>
              <w:right w:type="dxa" w:w="120"/>
            </w:tcMar>
            <w:vAlign w:val="center"/>
          </w:tcPr>
          <w:p>
            <w:r>
              <w:rPr>
                <w:b w:val="false"/>
                <w:bCs w:val="false"/>
                <w:color w:val="1F2937"/>
                <w:sz w:val="18"/>
                <w:szCs w:val="18"/>
              </w:rPr>
              <w:t xml:space="preserve">Headline KPIs disagree between Dashboard and modules</w:t>
            </w:r>
          </w:p>
        </w:tc>
        <w:tc>
          <w:tcPr>
            <w:shd w:fill="FFFFFF" w:val="clear"/>
            <w:tcMar>
              <w:top w:type="dxa" w:w="90"/>
              <w:left w:type="dxa" w:w="120"/>
              <w:bottom w:type="dxa" w:w="90"/>
              <w:right w:type="dxa" w:w="120"/>
            </w:tcMar>
            <w:vAlign w:val="center"/>
          </w:tcPr>
          <w:p>
            <w:r>
              <w:rPr>
                <w:b w:val="false"/>
                <w:bCs w:val="false"/>
                <w:color w:val="1F2937"/>
                <w:sz w:val="18"/>
                <w:szCs w:val="18"/>
              </w:rPr>
              <w:t xml:space="preserve">Accurate</w:t>
            </w:r>
          </w:p>
        </w:tc>
        <w:tc>
          <w:tcPr>
            <w:shd w:fill="FFFFFF" w:val="clear"/>
            <w:tcMar>
              <w:top w:type="dxa" w:w="90"/>
              <w:left w:type="dxa" w:w="120"/>
              <w:bottom w:type="dxa" w:w="90"/>
              <w:right w:type="dxa" w:w="120"/>
            </w:tcMar>
            <w:vAlign w:val="center"/>
          </w:tcPr>
          <w:p>
            <w:r>
              <w:rPr>
                <w:b w:val="false"/>
                <w:bCs w:val="false"/>
                <w:color w:val="1F2937"/>
                <w:sz w:val="18"/>
                <w:szCs w:val="18"/>
              </w:rPr>
              <w:t xml:space="preserve">Partially fixed</w:t>
            </w:r>
          </w:p>
        </w:tc>
      </w:tr>
      <w:tr>
        <w:tc>
          <w:tcPr>
            <w:shd w:fill="F9FAFB" w:val="clear"/>
            <w:tcMar>
              <w:top w:type="dxa" w:w="90"/>
              <w:left w:type="dxa" w:w="120"/>
              <w:bottom w:type="dxa" w:w="90"/>
              <w:right w:type="dxa" w:w="120"/>
            </w:tcMar>
            <w:vAlign w:val="center"/>
          </w:tcPr>
          <w:p>
            <w:r>
              <w:rPr>
                <w:b/>
                <w:bCs/>
                <w:color w:val="1F2937"/>
                <w:sz w:val="18"/>
                <w:szCs w:val="18"/>
              </w:rPr>
              <w:t xml:space="preserve">CD-008</w:t>
            </w:r>
          </w:p>
        </w:tc>
        <w:tc>
          <w:tcPr>
            <w:shd w:fill="F9FAFB" w:val="clear"/>
            <w:tcMar>
              <w:top w:type="dxa" w:w="90"/>
              <w:left w:type="dxa" w:w="120"/>
              <w:bottom w:type="dxa" w:w="90"/>
              <w:right w:type="dxa" w:w="120"/>
            </w:tcMar>
            <w:vAlign w:val="center"/>
          </w:tcPr>
          <w:p>
            <w:r>
              <w:rPr>
                <w:b w:val="false"/>
                <w:bCs w:val="false"/>
                <w:color w:val="1F2937"/>
                <w:sz w:val="18"/>
                <w:szCs w:val="18"/>
              </w:rPr>
              <w:t xml:space="preserve">Destructive actions unguarded in table rows</w:t>
            </w:r>
          </w:p>
        </w:tc>
        <w:tc>
          <w:tcPr>
            <w:shd w:fill="F9FAFB" w:val="clear"/>
            <w:tcMar>
              <w:top w:type="dxa" w:w="90"/>
              <w:left w:type="dxa" w:w="120"/>
              <w:bottom w:type="dxa" w:w="90"/>
              <w:right w:type="dxa" w:w="120"/>
            </w:tcMar>
            <w:vAlign w:val="center"/>
          </w:tcPr>
          <w:p>
            <w:r>
              <w:rPr>
                <w:b w:val="false"/>
                <w:bCs w:val="false"/>
                <w:color w:val="1F2937"/>
                <w:sz w:val="18"/>
                <w:szCs w:val="18"/>
              </w:rPr>
              <w:t xml:space="preserve">Overstated</w:t>
            </w:r>
          </w:p>
        </w:tc>
        <w:tc>
          <w:tcPr>
            <w:shd w:fill="F9FAFB" w:val="clear"/>
            <w:tcMar>
              <w:top w:type="dxa" w:w="90"/>
              <w:left w:type="dxa" w:w="120"/>
              <w:bottom w:type="dxa" w:w="90"/>
              <w:right w:type="dxa" w:w="120"/>
            </w:tcMar>
            <w:vAlign w:val="center"/>
          </w:tcPr>
          <w:p>
            <w:r>
              <w:rPr>
                <w:b w:val="false"/>
                <w:bCs w:val="false"/>
                <w:color w:val="1F2937"/>
                <w:sz w:val="18"/>
                <w:szCs w:val="18"/>
              </w:rPr>
              <w:t xml:space="preserve">The one real gap fixed</w:t>
            </w:r>
          </w:p>
        </w:tc>
      </w:tr>
      <w:tr>
        <w:tc>
          <w:tcPr>
            <w:shd w:fill="FFFFFF" w:val="clear"/>
            <w:tcMar>
              <w:top w:type="dxa" w:w="90"/>
              <w:left w:type="dxa" w:w="120"/>
              <w:bottom w:type="dxa" w:w="90"/>
              <w:right w:type="dxa" w:w="120"/>
            </w:tcMar>
            <w:vAlign w:val="center"/>
          </w:tcPr>
          <w:p>
            <w:r>
              <w:rPr>
                <w:b/>
                <w:bCs/>
                <w:color w:val="1F2937"/>
                <w:sz w:val="18"/>
                <w:szCs w:val="18"/>
              </w:rPr>
              <w:t xml:space="preserve">CD-007</w:t>
            </w:r>
          </w:p>
        </w:tc>
        <w:tc>
          <w:tcPr>
            <w:shd w:fill="FFFFFF" w:val="clear"/>
            <w:tcMar>
              <w:top w:type="dxa" w:w="90"/>
              <w:left w:type="dxa" w:w="120"/>
              <w:bottom w:type="dxa" w:w="90"/>
              <w:right w:type="dxa" w:w="120"/>
            </w:tcMar>
            <w:vAlign w:val="center"/>
          </w:tcPr>
          <w:p>
            <w:r>
              <w:rPr>
                <w:b w:val="false"/>
                <w:bCs w:val="false"/>
                <w:color w:val="1F2937"/>
                <w:sz w:val="18"/>
                <w:szCs w:val="18"/>
              </w:rPr>
              <w:t xml:space="preserve">Marketing attribution broken (empty UTM)</w:t>
            </w:r>
          </w:p>
        </w:tc>
        <w:tc>
          <w:tcPr>
            <w:shd w:fill="FFFFFF" w:val="clear"/>
            <w:tcMar>
              <w:top w:type="dxa" w:w="90"/>
              <w:left w:type="dxa" w:w="120"/>
              <w:bottom w:type="dxa" w:w="90"/>
              <w:right w:type="dxa" w:w="120"/>
            </w:tcMar>
            <w:vAlign w:val="center"/>
          </w:tcPr>
          <w:p>
            <w:r>
              <w:rPr>
                <w:b w:val="false"/>
                <w:bCs w:val="false"/>
                <w:color w:val="1F2937"/>
                <w:sz w:val="18"/>
                <w:szCs w:val="18"/>
              </w:rPr>
              <w:t xml:space="preserve">Accurate</w:t>
            </w:r>
          </w:p>
        </w:tc>
        <w:tc>
          <w:tcPr>
            <w:shd w:fill="FFFFFF" w:val="clear"/>
            <w:tcMar>
              <w:top w:type="dxa" w:w="90"/>
              <w:left w:type="dxa" w:w="120"/>
              <w:bottom w:type="dxa" w:w="90"/>
              <w:right w:type="dxa" w:w="120"/>
            </w:tcMar>
            <w:vAlign w:val="center"/>
          </w:tcPr>
          <w:p>
            <w:r>
              <w:rPr>
                <w:b w:val="false"/>
                <w:bCs w:val="false"/>
                <w:color w:val="1F2937"/>
                <w:sz w:val="18"/>
                <w:szCs w:val="18"/>
              </w:rPr>
              <w:t xml:space="preserve">Fixed</w:t>
            </w:r>
          </w:p>
        </w:tc>
      </w:tr>
      <w:tr>
        <w:tc>
          <w:tcPr>
            <w:shd w:fill="F9FAFB" w:val="clear"/>
            <w:tcMar>
              <w:top w:type="dxa" w:w="90"/>
              <w:left w:type="dxa" w:w="120"/>
              <w:bottom w:type="dxa" w:w="90"/>
              <w:right w:type="dxa" w:w="120"/>
            </w:tcMar>
            <w:vAlign w:val="center"/>
          </w:tcPr>
          <w:p>
            <w:r>
              <w:rPr>
                <w:b/>
                <w:bCs/>
                <w:color w:val="1F2937"/>
                <w:sz w:val="18"/>
                <w:szCs w:val="18"/>
              </w:rPr>
              <w:t xml:space="preserve">CD-027</w:t>
            </w:r>
          </w:p>
        </w:tc>
        <w:tc>
          <w:tcPr>
            <w:shd w:fill="F9FAFB" w:val="clear"/>
            <w:tcMar>
              <w:top w:type="dxa" w:w="90"/>
              <w:left w:type="dxa" w:w="120"/>
              <w:bottom w:type="dxa" w:w="90"/>
              <w:right w:type="dxa" w:w="120"/>
            </w:tcMar>
            <w:vAlign w:val="center"/>
          </w:tcPr>
          <w:p>
            <w:r>
              <w:rPr>
                <w:b w:val="false"/>
                <w:bCs w:val="false"/>
                <w:color w:val="1F2937"/>
                <w:sz w:val="18"/>
                <w:szCs w:val="18"/>
              </w:rPr>
              <w:t xml:space="preserve">Leads sidebar badge behaviour unreliable/confusing</w:t>
            </w:r>
          </w:p>
        </w:tc>
        <w:tc>
          <w:tcPr>
            <w:shd w:fill="F9FAFB" w:val="clear"/>
            <w:tcMar>
              <w:top w:type="dxa" w:w="90"/>
              <w:left w:type="dxa" w:w="120"/>
              <w:bottom w:type="dxa" w:w="90"/>
              <w:right w:type="dxa" w:w="120"/>
            </w:tcMar>
            <w:vAlign w:val="center"/>
          </w:tcPr>
          <w:p>
            <w:r>
              <w:rPr>
                <w:b w:val="false"/>
                <w:bCs w:val="false"/>
                <w:color w:val="1F2937"/>
                <w:sz w:val="18"/>
                <w:szCs w:val="18"/>
              </w:rPr>
              <w:t xml:space="preserve">Accurate</w:t>
            </w:r>
          </w:p>
        </w:tc>
        <w:tc>
          <w:tcPr>
            <w:shd w:fill="F9FAFB" w:val="clear"/>
            <w:tcMar>
              <w:top w:type="dxa" w:w="90"/>
              <w:left w:type="dxa" w:w="120"/>
              <w:bottom w:type="dxa" w:w="90"/>
              <w:right w:type="dxa" w:w="120"/>
            </w:tcMar>
            <w:vAlign w:val="center"/>
          </w:tcPr>
          <w:p>
            <w:r>
              <w:rPr>
                <w:b w:val="false"/>
                <w:bCs w:val="false"/>
                <w:color w:val="1F2937"/>
                <w:sz w:val="18"/>
                <w:szCs w:val="18"/>
              </w:rPr>
              <w:t xml:space="preserve">Fixed</w:t>
            </w:r>
          </w:p>
        </w:tc>
      </w:tr>
      <w:tr>
        <w:tc>
          <w:tcPr>
            <w:shd w:fill="FFFFFF" w:val="clear"/>
            <w:tcMar>
              <w:top w:type="dxa" w:w="90"/>
              <w:left w:type="dxa" w:w="120"/>
              <w:bottom w:type="dxa" w:w="90"/>
              <w:right w:type="dxa" w:w="120"/>
            </w:tcMar>
            <w:vAlign w:val="center"/>
          </w:tcPr>
          <w:p>
            <w:r>
              <w:rPr>
                <w:b/>
                <w:bCs/>
                <w:color w:val="1F2937"/>
                <w:sz w:val="18"/>
                <w:szCs w:val="18"/>
              </w:rPr>
              <w:t xml:space="preserve">CD-006</w:t>
            </w:r>
          </w:p>
        </w:tc>
        <w:tc>
          <w:tcPr>
            <w:shd w:fill="FFFFFF" w:val="clear"/>
            <w:tcMar>
              <w:top w:type="dxa" w:w="90"/>
              <w:left w:type="dxa" w:w="120"/>
              <w:bottom w:type="dxa" w:w="90"/>
              <w:right w:type="dxa" w:w="120"/>
            </w:tcMar>
            <w:vAlign w:val="center"/>
          </w:tcPr>
          <w:p>
            <w:r>
              <w:rPr>
                <w:b w:val="false"/>
                <w:bCs w:val="false"/>
                <w:color w:val="1F2937"/>
                <w:sz w:val="18"/>
                <w:szCs w:val="18"/>
              </w:rPr>
              <w:t xml:space="preserve">No consent record on website leads</w:t>
            </w:r>
          </w:p>
        </w:tc>
        <w:tc>
          <w:tcPr>
            <w:shd w:fill="FFFFFF" w:val="clear"/>
            <w:tcMar>
              <w:top w:type="dxa" w:w="90"/>
              <w:left w:type="dxa" w:w="120"/>
              <w:bottom w:type="dxa" w:w="90"/>
              <w:right w:type="dxa" w:w="120"/>
            </w:tcMar>
            <w:vAlign w:val="center"/>
          </w:tcPr>
          <w:p>
            <w:r>
              <w:rPr>
                <w:b w:val="false"/>
                <w:bCs w:val="false"/>
                <w:color w:val="1F2937"/>
                <w:sz w:val="18"/>
                <w:szCs w:val="18"/>
              </w:rPr>
              <w:t xml:space="preserve">Overstated / imprecise</w:t>
            </w:r>
          </w:p>
        </w:tc>
        <w:tc>
          <w:tcPr>
            <w:shd w:fill="FFFFFF" w:val="clear"/>
            <w:tcMar>
              <w:top w:type="dxa" w:w="90"/>
              <w:left w:type="dxa" w:w="120"/>
              <w:bottom w:type="dxa" w:w="90"/>
              <w:right w:type="dxa" w:w="120"/>
            </w:tcMar>
            <w:vAlign w:val="center"/>
          </w:tcPr>
          <w:p>
            <w:r>
              <w:rPr>
                <w:b w:val="false"/>
                <w:bCs w:val="false"/>
                <w:color w:val="1F2937"/>
                <w:sz w:val="18"/>
                <w:szCs w:val="18"/>
              </w:rPr>
              <w:t xml:space="preserve">Not addressed — see correction</w:t>
            </w:r>
          </w:p>
        </w:tc>
      </w:tr>
      <w:tr>
        <w:tc>
          <w:tcPr>
            <w:shd w:fill="F9FAFB" w:val="clear"/>
            <w:tcMar>
              <w:top w:type="dxa" w:w="90"/>
              <w:left w:type="dxa" w:w="120"/>
              <w:bottom w:type="dxa" w:w="90"/>
              <w:right w:type="dxa" w:w="120"/>
            </w:tcMar>
            <w:vAlign w:val="center"/>
          </w:tcPr>
          <w:p>
            <w:r>
              <w:rPr>
                <w:b/>
                <w:bCs/>
                <w:color w:val="1F2937"/>
                <w:sz w:val="18"/>
                <w:szCs w:val="18"/>
              </w:rPr>
              <w:t xml:space="preserve">CD-010</w:t>
            </w:r>
          </w:p>
        </w:tc>
        <w:tc>
          <w:tcPr>
            <w:shd w:fill="F9FAFB" w:val="clear"/>
            <w:tcMar>
              <w:top w:type="dxa" w:w="90"/>
              <w:left w:type="dxa" w:w="120"/>
              <w:bottom w:type="dxa" w:w="90"/>
              <w:right w:type="dxa" w:w="120"/>
            </w:tcMar>
            <w:vAlign w:val="center"/>
          </w:tcPr>
          <w:p>
            <w:r>
              <w:rPr>
                <w:b w:val="false"/>
                <w:bCs w:val="false"/>
                <w:color w:val="1F2937"/>
                <w:sz w:val="18"/>
                <w:szCs w:val="18"/>
              </w:rPr>
              <w:t xml:space="preserve">Audit trail records creation only</w:t>
            </w:r>
          </w:p>
        </w:tc>
        <w:tc>
          <w:tcPr>
            <w:shd w:fill="F9FAFB" w:val="clear"/>
            <w:tcMar>
              <w:top w:type="dxa" w:w="90"/>
              <w:left w:type="dxa" w:w="120"/>
              <w:bottom w:type="dxa" w:w="90"/>
              <w:right w:type="dxa" w:w="120"/>
            </w:tcMar>
            <w:vAlign w:val="center"/>
          </w:tcPr>
          <w:p>
            <w:r>
              <w:rPr>
                <w:b w:val="false"/>
                <w:bCs w:val="false"/>
                <w:color w:val="1F2937"/>
                <w:sz w:val="18"/>
                <w:szCs w:val="18"/>
              </w:rPr>
              <w:t xml:space="preserve">Wrong</w:t>
            </w:r>
          </w:p>
        </w:tc>
        <w:tc>
          <w:tcPr>
            <w:shd w:fill="F9FAFB" w:val="clear"/>
            <w:tcMar>
              <w:top w:type="dxa" w:w="90"/>
              <w:left w:type="dxa" w:w="120"/>
              <w:bottom w:type="dxa" w:w="90"/>
              <w:right w:type="dxa" w:w="120"/>
            </w:tcMar>
            <w:vAlign w:val="center"/>
          </w:tcPr>
          <w:p>
            <w:r>
              <w:rPr>
                <w:b w:val="false"/>
                <w:bCs w:val="false"/>
                <w:color w:val="1F2937"/>
                <w:sz w:val="18"/>
                <w:szCs w:val="18"/>
              </w:rPr>
              <w:t xml:space="preserve">Not addressed — claim incorrect</w:t>
            </w:r>
          </w:p>
        </w:tc>
      </w:tr>
      <w:tr>
        <w:tc>
          <w:tcPr>
            <w:shd w:fill="FFFFFF" w:val="clear"/>
            <w:tcMar>
              <w:top w:type="dxa" w:w="90"/>
              <w:left w:type="dxa" w:w="120"/>
              <w:bottom w:type="dxa" w:w="90"/>
              <w:right w:type="dxa" w:w="120"/>
            </w:tcMar>
            <w:vAlign w:val="center"/>
          </w:tcPr>
          <w:p>
            <w:r>
              <w:rPr>
                <w:b/>
                <w:bCs/>
                <w:color w:val="1F2937"/>
                <w:sz w:val="18"/>
                <w:szCs w:val="18"/>
              </w:rPr>
              <w:t xml:space="preserve">CD-034</w:t>
            </w:r>
          </w:p>
        </w:tc>
        <w:tc>
          <w:tcPr>
            <w:shd w:fill="FFFFFF" w:val="clear"/>
            <w:tcMar>
              <w:top w:type="dxa" w:w="90"/>
              <w:left w:type="dxa" w:w="120"/>
              <w:bottom w:type="dxa" w:w="90"/>
              <w:right w:type="dxa" w:w="120"/>
            </w:tcMar>
            <w:vAlign w:val="center"/>
          </w:tcPr>
          <w:p>
            <w:r>
              <w:rPr>
                <w:b w:val="false"/>
                <w:bCs w:val="false"/>
                <w:color w:val="1F2937"/>
                <w:sz w:val="18"/>
                <w:szCs w:val="18"/>
              </w:rPr>
              <w:t xml:space="preserve">A person can exist in four separate stores</w:t>
            </w:r>
          </w:p>
        </w:tc>
        <w:tc>
          <w:tcPr>
            <w:shd w:fill="FFFFFF" w:val="clear"/>
            <w:tcMar>
              <w:top w:type="dxa" w:w="90"/>
              <w:left w:type="dxa" w:w="120"/>
              <w:bottom w:type="dxa" w:w="90"/>
              <w:right w:type="dxa" w:w="120"/>
            </w:tcMar>
            <w:vAlign w:val="center"/>
          </w:tcPr>
          <w:p>
            <w:r>
              <w:rPr>
                <w:b w:val="false"/>
                <w:bCs w:val="false"/>
                <w:color w:val="1F2937"/>
                <w:sz w:val="18"/>
                <w:szCs w:val="18"/>
              </w:rPr>
              <w:t xml:space="preserve">Wrong — it’s three</w:t>
            </w:r>
          </w:p>
        </w:tc>
        <w:tc>
          <w:tcPr>
            <w:shd w:fill="FFFFFF" w:val="clear"/>
            <w:tcMar>
              <w:top w:type="dxa" w:w="90"/>
              <w:left w:type="dxa" w:w="120"/>
              <w:bottom w:type="dxa" w:w="90"/>
              <w:right w:type="dxa" w:w="120"/>
            </w:tcMar>
            <w:vAlign w:val="center"/>
          </w:tcPr>
          <w:p>
            <w:r>
              <w:rPr>
                <w:b w:val="false"/>
                <w:bCs w:val="false"/>
                <w:color w:val="1F2937"/>
                <w:sz w:val="18"/>
                <w:szCs w:val="18"/>
              </w:rPr>
              <w:t xml:space="preserve">Not addressed — see correction</w:t>
            </w:r>
          </w:p>
        </w:tc>
      </w:tr>
    </w:tbl>
    <w:p>
      <w:pPr>
        <w:spacing w:after="160" w:line="300"/>
      </w:pPr>
      <w:r>
        <w:rPr>
          <w:color w:val="1F2937"/>
          <w:sz w:val="21"/>
          <w:szCs w:val="21"/>
        </w:rPr>
        <w:t xml:space="preserve"/>
      </w:r>
    </w:p>
    <w:p>
      <w:pPr>
        <w:pStyle w:val="Heading1"/>
        <w:pBdr>
          <w:bottom w:val="single" w:color="D1D5DB" w:sz="6" w:space="4"/>
        </w:pBdr>
        <w:spacing w:after="200" w:before="480"/>
      </w:pPr>
      <w:r>
        <w:rPr>
          <w:b/>
          <w:bCs/>
          <w:color w:val="1F2937"/>
          <w:sz w:val="30"/>
          <w:szCs w:val="30"/>
        </w:rPr>
        <w:t xml:space="preserve">2. Fixes shipped this session</w:t>
      </w:r>
    </w:p>
    <w:p>
      <w:pPr>
        <w:pStyle w:val="Heading2"/>
        <w:spacing w:after="140" w:before="340"/>
      </w:pPr>
      <w:r>
        <w:rPr>
          <w:b/>
          <w:bCs/>
          <w:color w:val="1F2937"/>
          <w:sz w:val="24"/>
          <w:szCs w:val="24"/>
        </w:rPr>
        <w:t xml:space="preserve">CD-032 / CD-001 / CD-036 — Payments header cards render $0 non-deterministically</w:t>
      </w:r>
    </w:p>
    <w:p>
      <w:pPr>
        <w:spacing w:after="160" w:line="300"/>
      </w:pPr>
      <w:r>
        <w:rPr>
          <w:color w:val="1F2937"/>
          <w:sz w:val="21"/>
          <w:szCs w:val="21"/>
        </w:rPr>
        <w:t xml:space="preserve">Confirmed accurate. This was the report's own top priority, and correctly so.</w:t>
      </w:r>
    </w:p>
    <w:p>
      <w:pPr>
        <w:spacing w:after="160" w:line="300"/>
      </w:pPr>
      <w:r>
        <w:rPr>
          <w:rFonts w:ascii="Consolas" w:cs="Consolas" w:eastAsia="Consolas" w:hAnsi="Consolas"/>
          <w:color w:val="7C3AED"/>
          <w:sz w:val="19"/>
          <w:szCs w:val="19"/>
        </w:rPr>
        <w:t xml:space="preserve">frontend/src/pages/Payments.jsx</w:t>
      </w:r>
      <w:r>
        <w:rPr>
          <w:color w:val="1F2937"/>
          <w:sz w:val="21"/>
          <w:szCs w:val="21"/>
        </w:rPr>
        <w:t xml:space="preserve"> — the summary fetch had no stale-response guard: a page with the browser tab open for a while could have an old, in-flight request resolve after a newer one and silently overwrite good data with the earlier response — or with $0 on any transient error, since the catch block had no error state of its own. Fixed by adding the same active-flag stale-guard pattern already used elsewhere in this codebase, plus real loading/error states on all seven header KPI cards, plus a retry action, plus suppressing the growth badge whenever the current figure is loading, failed, or genuinely zero.</w:t>
      </w:r>
    </w:p>
    <w:p>
      <w:pPr>
        <w:pBdr>
          <w:left w:val="single" w:color="D1D5DB" w:sz="12" w:space="8"/>
        </w:pBdr>
        <w:spacing w:after="200" w:before="40" w:line="280"/>
        <w:ind w:left="360"/>
      </w:pPr>
      <w:r>
        <w:rPr>
          <w:i/>
          <w:iCs/>
          <w:color w:val="6B7280"/>
          <w:sz w:val="19"/>
          <w:szCs w:val="19"/>
        </w:rPr>
        <w:t xml:space="preserve">Root cause differs from the report's hypothesis (“summed from a partially-loaded client-side array”) — the summary card was always calling its own dedicated summary endpoint, not summing table rows. The actual bug was the missing stale-guard plus the silent-zero fallback, which produces the same symptom the report observed.</w:t>
      </w:r>
    </w:p>
    <w:p>
      <w:pPr>
        <w:pStyle w:val="Heading2"/>
        <w:spacing w:after="140" w:before="340"/>
      </w:pPr>
      <w:r>
        <w:rPr>
          <w:b/>
          <w:bCs/>
          <w:color w:val="1F2937"/>
          <w:sz w:val="24"/>
          <w:szCs w:val="24"/>
        </w:rPr>
        <w:t xml:space="preserve">CD-012 — booking analytics range=today returns HTTP 400</w:t>
      </w:r>
    </w:p>
    <w:p>
      <w:pPr>
        <w:spacing w:after="160" w:line="300"/>
      </w:pPr>
      <w:r>
        <w:rPr>
          <w:color w:val="1F2937"/>
          <w:sz w:val="21"/>
          <w:szCs w:val="21"/>
        </w:rPr>
        <w:t xml:space="preserve">Confirmed accurate and reproduced.</w:t>
      </w:r>
    </w:p>
    <w:p>
      <w:pPr>
        <w:spacing w:after="160" w:line="300"/>
      </w:pPr>
      <w:r>
        <w:rPr>
          <w:rFonts w:ascii="Consolas" w:cs="Consolas" w:eastAsia="Consolas" w:hAnsi="Consolas"/>
          <w:color w:val="7C3AED"/>
          <w:sz w:val="19"/>
          <w:szCs w:val="19"/>
        </w:rPr>
        <w:t xml:space="preserve">backend/src/controllers/bookingController.js</w:t>
      </w:r>
      <w:r>
        <w:rPr>
          <w:color w:val="1F2937"/>
          <w:sz w:val="21"/>
          <w:szCs w:val="21"/>
        </w:rPr>
        <w:t xml:space="preserve"> — buildSchedulingAnalytics only accepted range values of 7, 30, all; "today" fell through and 400'd. Added "today" as an accepted range, computed via the existing timezone-aware day-boundary helpers already used elsewhere in the same file.</w:t>
      </w:r>
    </w:p>
    <w:p>
      <w:pPr>
        <w:pStyle w:val="Heading2"/>
        <w:spacing w:after="140" w:before="340"/>
      </w:pPr>
      <w:r>
        <w:rPr>
          <w:b/>
          <w:bCs/>
          <w:color w:val="1F2937"/>
          <w:sz w:val="24"/>
          <w:szCs w:val="24"/>
        </w:rPr>
        <w:t xml:space="preserve">CD-002 — duplicate case records</w:t>
      </w:r>
    </w:p>
    <w:p>
      <w:pPr>
        <w:spacing w:after="160" w:line="300"/>
      </w:pPr>
      <w:r>
        <w:rPr>
          <w:color w:val="1F2937"/>
          <w:sz w:val="21"/>
          <w:szCs w:val="21"/>
        </w:rPr>
        <w:t xml:space="preserve">Confirmed accurate. There was no guard preventing the same client from getting two open cases of the same type.</w:t>
      </w:r>
    </w:p>
    <w:p>
      <w:pPr>
        <w:spacing w:after="160" w:line="300"/>
      </w:pPr>
      <w:r>
        <w:rPr>
          <w:rFonts w:ascii="Consolas" w:cs="Consolas" w:eastAsia="Consolas" w:hAnsi="Consolas"/>
          <w:color w:val="7C3AED"/>
          <w:sz w:val="19"/>
          <w:szCs w:val="19"/>
        </w:rPr>
        <w:t xml:space="preserve">backend/src/controllers/caseController.js</w:t>
      </w:r>
      <w:r>
        <w:rPr>
          <w:color w:val="1F2937"/>
          <w:sz w:val="21"/>
          <w:szCs w:val="21"/>
        </w:rPr>
        <w:t xml:space="preserve"> — added a duplicate check inside the case-creation transaction: an open, non-closed case of the same type for the same client now blocks creation with a clear error naming the existing case instead of silently creating a second one.</w:t>
      </w:r>
    </w:p>
    <w:p>
      <w:pPr>
        <w:pStyle w:val="Heading2"/>
        <w:spacing w:after="140" w:before="340"/>
      </w:pPr>
      <w:r>
        <w:rPr>
          <w:b/>
          <w:bCs/>
          <w:color w:val="1F2937"/>
          <w:sz w:val="24"/>
          <w:szCs w:val="24"/>
        </w:rPr>
        <w:t xml:space="preserve">CD-033 — 3,793 legacy Case Easy records, one-click-only conversion</w:t>
      </w:r>
    </w:p>
    <w:p>
      <w:pPr>
        <w:spacing w:after="160" w:line="300"/>
      </w:pPr>
      <w:r>
        <w:rPr>
          <w:color w:val="1F2937"/>
          <w:sz w:val="21"/>
          <w:szCs w:val="21"/>
        </w:rPr>
        <w:t xml:space="preserve">Confirmed accurate — this is a real and significant operational gap, correctly flagged as the report's #4 priority. Partially fixed:</w:t>
      </w:r>
    </w:p>
    <w:p>
      <w:pPr>
        <w:pStyle w:val="ListParagraph"/>
        <w:numPr>
          <w:ilvl w:val="0"/>
          <w:numId w:val="1"/>
        </w:numPr>
        <w:spacing w:after="90" w:line="290"/>
        <w:ind w:left="360"/>
      </w:pPr>
      <w:r>
        <w:rPr>
          <w:b/>
          <w:bCs/>
          <w:sz w:val="21"/>
          <w:szCs w:val="21"/>
        </w:rPr>
        <w:t xml:space="preserve">Duplicate check on convert: </w:t>
      </w:r>
      <w:r>
        <w:rPr>
          <w:sz w:val="21"/>
          <w:szCs w:val="21"/>
        </w:rPr>
        <w:t xml:space="preserve">the single-record conversion path now runs the same phone/email duplicate check used by Client and Lead creation elsewhere in the app, closing the exact risk the report called out (converting at volume would multiply CD-002-style duplicates).</w:t>
      </w:r>
    </w:p>
    <w:p>
      <w:pPr>
        <w:pStyle w:val="ListParagraph"/>
        <w:numPr>
          <w:ilvl w:val="0"/>
          <w:numId w:val="1"/>
        </w:numPr>
        <w:spacing w:after="90" w:line="290"/>
        <w:ind w:left="360"/>
      </w:pPr>
      <w:r>
        <w:rPr>
          <w:b/>
          <w:bCs/>
          <w:sz w:val="21"/>
          <w:szCs w:val="21"/>
        </w:rPr>
        <w:t xml:space="preserve">Bulk convert: </w:t>
      </w:r>
      <w:r>
        <w:rPr>
          <w:sz w:val="21"/>
          <w:szCs w:val="21"/>
        </w:rPr>
        <w:t xml:space="preserve">added multi-select and a “convert selected” action (up to 200 per request, chunked automatically for larger selections) with a results summary — converted / already-converted / skipped-duplicate / failed counts and a detail list, addressing the report's recommendation #1.</w:t>
      </w:r>
    </w:p>
    <w:p>
      <w:pPr>
        <w:pStyle w:val="ListParagraph"/>
        <w:numPr>
          <w:ilvl w:val="0"/>
          <w:numId w:val="1"/>
        </w:numPr>
        <w:spacing w:after="90" w:line="290"/>
        <w:ind w:left="360"/>
      </w:pPr>
      <w:r>
        <w:rPr>
          <w:b/>
          <w:bCs/>
          <w:sz w:val="21"/>
          <w:szCs w:val="21"/>
        </w:rPr>
        <w:t xml:space="preserve">Dashboard visibility: </w:t>
      </w:r>
      <w:r>
        <w:rPr>
          <w:sz w:val="21"/>
          <w:szCs w:val="21"/>
        </w:rPr>
        <w:t xml:space="preserve">added a Dashboard tile showing the unconverted count and the manual-review count, only rendered when the queue is non-empty — addressing recommendation #4 (“nothing about this appears on the Dashboard”).</w:t>
      </w:r>
    </w:p>
    <w:p>
      <w:pPr>
        <w:spacing w:after="160" w:line="300"/>
      </w:pPr>
      <w:r>
        <w:rPr>
          <w:color w:val="1F2937"/>
          <w:sz w:val="21"/>
          <w:szCs w:val="21"/>
        </w:rPr>
        <w:t xml:space="preserve">Not addressed — flagged as follow-up, not attempted this session:</w:t>
      </w:r>
    </w:p>
    <w:p>
      <w:pPr>
        <w:pStyle w:val="ListParagraph"/>
        <w:numPr>
          <w:ilvl w:val="0"/>
          <w:numId w:val="1"/>
        </w:numPr>
        <w:spacing w:after="90" w:line="290"/>
        <w:ind w:left="360"/>
      </w:pPr>
      <w:r>
        <w:rPr>
          <w:color w:val="1F2937"/>
          <w:sz w:val="21"/>
          <w:szCs w:val="21"/>
        </w:rPr>
        <w:t xml:space="preserve">The contacts list endpoint has no pagination and loads all matching records (up to 3,793) in one response. This didn't break anything observed this session, but it's a real scaling risk worth fixing before the queue grows further.</w:t>
      </w:r>
    </w:p>
    <w:p>
      <w:pPr>
        <w:pStyle w:val="ListParagraph"/>
        <w:numPr>
          <w:ilvl w:val="0"/>
          <w:numId w:val="1"/>
        </w:numPr>
        <w:spacing w:after="90" w:line="290"/>
        <w:ind w:left="360"/>
      </w:pPr>
      <w:r>
        <w:rPr>
          <w:color w:val="1F2937"/>
          <w:sz w:val="21"/>
          <w:szCs w:val="21"/>
        </w:rPr>
        <w:t xml:space="preserve">Recommendation #3 (segment the 3,793 by whether they carry cases, and decide whether the no-email/no-case tail should be archived rather than converted) and recommendation #5 (decide explicitly whether full migration is the end goal, or Case Easy stays a read-only archive) are business decisions, not code changes — they need your call before any further engineering here is worth doing.</w:t>
      </w:r>
    </w:p>
    <w:p>
      <w:pPr>
        <w:pStyle w:val="Heading2"/>
        <w:spacing w:after="140" w:before="340"/>
      </w:pPr>
      <w:r>
        <w:rPr>
          <w:b/>
          <w:bCs/>
          <w:color w:val="1F2937"/>
          <w:sz w:val="24"/>
          <w:szCs w:val="24"/>
        </w:rPr>
        <w:t xml:space="preserve">CD-011 — Ooma integration dead but polled continuously</w:t>
      </w:r>
    </w:p>
    <w:p>
      <w:pPr>
        <w:spacing w:after="160" w:line="300"/>
      </w:pPr>
      <w:r>
        <w:rPr>
          <w:color w:val="1F2937"/>
          <w:sz w:val="21"/>
          <w:szCs w:val="21"/>
        </w:rPr>
        <w:t xml:space="preserve">The core claim — polling continues even when Ooma isn't actually connected — is real and is fixed. One specific sub-claim in the report (“4 duplicate calls per page load”) does not hold up; see Section 3.</w:t>
      </w:r>
    </w:p>
    <w:p>
      <w:pPr>
        <w:spacing w:after="160" w:line="300"/>
      </w:pPr>
      <w:r>
        <w:rPr>
          <w:rFonts w:ascii="Consolas" w:cs="Consolas" w:eastAsia="Consolas" w:hAnsi="Consolas"/>
          <w:color w:val="7C3AED"/>
          <w:sz w:val="19"/>
          <w:szCs w:val="19"/>
        </w:rPr>
        <w:t xml:space="preserve">backend/src/controllers/oomaCallController.js</w:t>
      </w:r>
      <w:r>
        <w:rPr>
          <w:color w:val="1F2937"/>
          <w:sz w:val="21"/>
          <w:szCs w:val="21"/>
        </w:rPr>
        <w:t xml:space="preserve"> — the /ooma-calls/attention endpoint (polled globally every 5s by the incoming-call alert, shown to every admin and every leads-access user regardless of page) now checks whether the agency has ever actually configured Ooma — specifically, whether a webhook token has been provisioned — and returns configured: false when it hasn't, without exposing any settings data. </w:t>
      </w:r>
      <w:r>
        <w:rPr>
          <w:rFonts w:ascii="Consolas" w:cs="Consolas" w:eastAsia="Consolas" w:hAnsi="Consolas"/>
          <w:color w:val="7C3AED"/>
          <w:sz w:val="19"/>
          <w:szCs w:val="19"/>
        </w:rPr>
        <w:t xml:space="preserve">frontend/src/components/communications/IncomingOomaCallAlert.jsx</w:t>
      </w:r>
      <w:r>
        <w:rPr>
          <w:color w:val="1F2937"/>
          <w:sz w:val="21"/>
          <w:szCs w:val="21"/>
        </w:rPr>
        <w:t xml:space="preserve"> stops its own interval entirely the first time it learns the integration isn't configured, instead of polling forever for an agency that has never touched the feature.</w:t>
      </w:r>
    </w:p>
    <w:p>
      <w:pPr>
        <w:pStyle w:val="Heading2"/>
        <w:spacing w:after="140" w:before="340"/>
      </w:pPr>
      <w:r>
        <w:rPr>
          <w:b/>
          <w:bCs/>
          <w:color w:val="1F2937"/>
          <w:sz w:val="24"/>
          <w:szCs w:val="24"/>
        </w:rPr>
        <w:t xml:space="preserve">CD-003 / CD-035 / CD-004 — “Overdue” computed six different ways</w:t>
      </w:r>
    </w:p>
    <w:p>
      <w:pPr>
        <w:spacing w:after="160" w:line="300"/>
      </w:pPr>
      <w:r>
        <w:rPr>
          <w:color w:val="1F2937"/>
          <w:sz w:val="21"/>
          <w:szCs w:val="21"/>
        </w:rPr>
        <w:t xml:space="preserve">Confirmed accurate, and CD-035's regression evidence (the six numbers moving independently between passes) is a solid, correct rebuttal to any argument that this was just a caching artifact. Partially fixed, deliberately scoped down from the report's own recommendation.</w:t>
      </w:r>
    </w:p>
    <w:p>
      <w:pPr>
        <w:spacing w:after="160" w:line="300"/>
      </w:pPr>
      <w:r>
        <w:rPr>
          <w:b/>
          <w:bCs/>
          <w:sz w:val="21"/>
          <w:szCs w:val="21"/>
        </w:rPr>
        <w:t xml:space="preserve">What was fixed: </w:t>
      </w:r>
      <w:r>
        <w:rPr>
          <w:sz w:val="21"/>
          <w:szCs w:val="21"/>
        </w:rPr>
        <w:t xml:space="preserve">the report's own priority-2 recommendation is “one metrics service, one definition of overdue”, sized by the report itself as Medium effort. Attempting a full consolidation in one pass across five files with different call sites, different consumers, and different existing behavior was judged too risky to do safely in this session. Instead, the specific inconsistency was fixed directly: two different cutoff conventions were coexisting (“start of today” on the Dashboard vs. the exact current timestamp on the Follow-ups page and Lead Dashboard), so the same follow-up could read as overdue on one screen and not on another at 2pm today. All five surfaces (</w:t>
      </w:r>
      <w:r>
        <w:rPr>
          <w:rFonts w:ascii="Consolas" w:cs="Consolas" w:eastAsia="Consolas" w:hAnsi="Consolas"/>
          <w:color w:val="7C3AED"/>
          <w:sz w:val="19"/>
          <w:szCs w:val="19"/>
        </w:rPr>
        <w:t xml:space="preserve">dashboardController.js</w:t>
      </w:r>
      <w:r>
        <w:rPr>
          <w:sz w:val="21"/>
          <w:szCs w:val="21"/>
        </w:rPr>
        <w:t xml:space="preserve">, </w:t>
      </w:r>
      <w:r>
        <w:rPr>
          <w:rFonts w:ascii="Consolas" w:cs="Consolas" w:eastAsia="Consolas" w:hAnsi="Consolas"/>
          <w:color w:val="7C3AED"/>
          <w:sz w:val="19"/>
          <w:szCs w:val="19"/>
        </w:rPr>
        <w:t xml:space="preserve">followUpController.js</w:t>
      </w:r>
      <w:r>
        <w:rPr>
          <w:sz w:val="21"/>
          <w:szCs w:val="21"/>
        </w:rPr>
        <w:t xml:space="preserve">, </w:t>
      </w:r>
      <w:r>
        <w:rPr>
          <w:rFonts w:ascii="Consolas" w:cs="Consolas" w:eastAsia="Consolas" w:hAnsi="Consolas"/>
          <w:color w:val="7C3AED"/>
          <w:sz w:val="19"/>
          <w:szCs w:val="19"/>
        </w:rPr>
        <w:t xml:space="preserve">lead.dashboard.service.js</w:t>
      </w:r>
      <w:r>
        <w:rPr>
          <w:sz w:val="21"/>
          <w:szCs w:val="21"/>
        </w:rPr>
        <w:t xml:space="preserve">) now use the same start-of-day-in-agency-timezone cutoff, via the same existing reportingBounds() helper. This is a real fix for the specific symptom, not the full consolidation.</w:t>
      </w:r>
    </w:p>
    <w:p>
      <w:pPr>
        <w:spacing w:after="160" w:line="300"/>
      </w:pPr>
      <w:r>
        <w:rPr>
          <w:b/>
          <w:bCs/>
          <w:sz w:val="21"/>
          <w:szCs w:val="21"/>
        </w:rPr>
        <w:t xml:space="preserve">What remains: </w:t>
      </w:r>
      <w:r>
        <w:rPr>
          <w:sz w:val="21"/>
          <w:szCs w:val="21"/>
        </w:rPr>
        <w:t xml:space="preserve">there are still genuinely separate query implementations behind each of those numbers (they now agree on the cutoff, but they're not yet one shared function or service). Building that one metrics service is the correct next step and matches the report's own recommendation — it just wasn't attempted here given the blast radius across active screens.</w:t>
      </w:r>
    </w:p>
    <w:p>
      <w:pPr>
        <w:pStyle w:val="Heading2"/>
        <w:spacing w:after="140" w:before="340"/>
      </w:pPr>
      <w:r>
        <w:rPr>
          <w:b/>
          <w:bCs/>
          <w:color w:val="1F2937"/>
          <w:sz w:val="24"/>
          <w:szCs w:val="24"/>
        </w:rPr>
        <w:t xml:space="preserve">CD-007 — marketing attribution broken (empty UTM)</w:t>
      </w:r>
    </w:p>
    <w:p>
      <w:pPr>
        <w:spacing w:after="160" w:line="300"/>
      </w:pPr>
      <w:r>
        <w:rPr>
          <w:color w:val="1F2937"/>
          <w:sz w:val="21"/>
          <w:szCs w:val="21"/>
        </w:rPr>
        <w:t xml:space="preserve">Confirmed accurate — there was no utm_* column on the Lead model at all, and worse, the public intake endpoint was already capturing utm_source/medium/campaign/term/content from the query string into a JSON blob and then silently dropping them; they never reached a Lead record.</w:t>
      </w:r>
    </w:p>
    <w:p>
      <w:pPr>
        <w:spacing w:after="160" w:line="300"/>
      </w:pPr>
      <w:r>
        <w:rPr>
          <w:b/>
          <w:bCs/>
          <w:sz w:val="21"/>
          <w:szCs w:val="21"/>
        </w:rPr>
        <w:t xml:space="preserve">Fixed: </w:t>
      </w:r>
      <w:r>
        <w:rPr>
          <w:rFonts w:ascii="Consolas" w:cs="Consolas" w:eastAsia="Consolas" w:hAnsi="Consolas"/>
          <w:color w:val="7C3AED"/>
          <w:sz w:val="19"/>
          <w:szCs w:val="19"/>
        </w:rPr>
        <w:t xml:space="preserve">backend/prisma/schema.prisma</w:t>
      </w:r>
      <w:r>
        <w:rPr>
          <w:sz w:val="21"/>
          <w:szCs w:val="21"/>
        </w:rPr>
        <w:t xml:space="preserve"> gained five new optional columns (utmSource/Medium/Campaign/Term/Content) via a hand-authored idempotent migration; </w:t>
      </w:r>
      <w:r>
        <w:rPr>
          <w:rFonts w:ascii="Consolas" w:cs="Consolas" w:eastAsia="Consolas" w:hAnsi="Consolas"/>
          <w:color w:val="7C3AED"/>
          <w:sz w:val="19"/>
          <w:szCs w:val="19"/>
        </w:rPr>
        <w:t xml:space="preserve">lead.intake.worker.js</w:t>
      </w:r>
      <w:r>
        <w:rPr>
          <w:sz w:val="21"/>
          <w:szCs w:val="21"/>
        </w:rPr>
        <w:t xml:space="preserve"> now reads the already-captured tracking data off the incoming event and persists it onto the created Lead. CSV import and provider-webhook channels don't currently carry UTM-equivalent data and were left as-is — no upstream source to capture from there.</w:t>
      </w:r>
    </w:p>
    <w:p>
      <w:pPr>
        <w:pStyle w:val="Heading2"/>
        <w:spacing w:after="140" w:before="340"/>
      </w:pPr>
      <w:r>
        <w:rPr>
          <w:b/>
          <w:bCs/>
          <w:color w:val="1F2937"/>
          <w:sz w:val="24"/>
          <w:szCs w:val="24"/>
        </w:rPr>
        <w:t xml:space="preserve">CD-027 — leads sidebar badge behaviour unreliable</w:t>
      </w:r>
    </w:p>
    <w:p>
      <w:pPr>
        <w:spacing w:after="160" w:line="300"/>
      </w:pPr>
      <w:r>
        <w:rPr>
          <w:color w:val="1F2937"/>
          <w:sz w:val="21"/>
          <w:szCs w:val="21"/>
        </w:rPr>
        <w:t xml:space="preserve">Confirmed accurate as an inference: the badge is an unread-notification count (from getSidebarNotificationCounts), not the total number of leads, and nothing in the UI said so — easy to misread as “10 things need attention in the pipeline” when it's really unread activity.</w:t>
      </w:r>
    </w:p>
    <w:p>
      <w:pPr>
        <w:spacing w:after="160" w:line="300"/>
      </w:pPr>
      <w:r>
        <w:rPr>
          <w:b/>
          <w:bCs/>
          <w:sz w:val="21"/>
          <w:szCs w:val="21"/>
        </w:rPr>
        <w:t xml:space="preserve">Fixed: </w:t>
      </w:r>
      <w:r>
        <w:rPr>
          <w:sz w:val="21"/>
          <w:szCs w:val="21"/>
        </w:rPr>
        <w:t xml:space="preserve">the hover tooltip on the Leads sidebar item now explicitly reads “N unread lead notifications” rather than the generic “N unread items” shared by every other nav badge, so the semantics are stated rather than assumed.</w:t>
      </w:r>
    </w:p>
    <w:p>
      <w:pPr>
        <w:pStyle w:val="Heading1"/>
        <w:pBdr>
          <w:bottom w:val="single" w:color="D1D5DB" w:sz="6" w:space="4"/>
        </w:pBdr>
        <w:spacing w:after="200" w:before="480"/>
      </w:pPr>
      <w:r>
        <w:rPr>
          <w:b/>
          <w:bCs/>
          <w:color w:val="1F2937"/>
          <w:sz w:val="30"/>
          <w:szCs w:val="30"/>
        </w:rPr>
        <w:t xml:space="preserve">3. Corrections to the report</w:t>
      </w:r>
    </w:p>
    <w:p>
      <w:pPr>
        <w:spacing w:after="160" w:line="300"/>
      </w:pPr>
      <w:r>
        <w:rPr>
          <w:color w:val="1F2937"/>
          <w:sz w:val="21"/>
          <w:szCs w:val="21"/>
        </w:rPr>
        <w:t xml:space="preserve">The following five findings do not hold up against the actual source, or hold up only in a narrower form than stated. Each was checked directly against the code, not inferred.</w:t>
      </w:r>
    </w:p>
    <w:p>
      <w:pPr>
        <w:pStyle w:val="Heading2"/>
        <w:spacing w:after="140" w:before="340"/>
      </w:pPr>
      <w:r>
        <w:rPr>
          <w:b/>
          <w:bCs/>
          <w:color w:val="1F2937"/>
          <w:sz w:val="24"/>
          <w:szCs w:val="24"/>
        </w:rPr>
        <w:t xml:space="preserve">CD-034 — “A person can exist in four separate stores” — wrong, it's three</w:t>
      </w:r>
    </w:p>
    <w:p>
      <w:pPr>
        <w:spacing w:after="160" w:line="300"/>
      </w:pPr>
      <w:r>
        <w:rPr>
          <w:color w:val="1F2937"/>
          <w:sz w:val="21"/>
          <w:szCs w:val="21"/>
        </w:rPr>
        <w:t xml:space="preserve">Import Review is not a fourth store. It's the same Lead table, filtered by a pipelineSegment value.</w:t>
      </w:r>
    </w:p>
    <w:p>
      <w:pPr>
        <w:pBdr>
          <w:left w:val="single" w:color="D1D5DB" w:sz="12" w:space="8"/>
        </w:pBdr>
        <w:spacing w:after="200" w:before="40" w:line="280"/>
        <w:ind w:left="360"/>
      </w:pPr>
      <w:r>
        <w:rPr>
          <w:i/>
          <w:iCs/>
          <w:color w:val="6B7280"/>
          <w:sz w:val="19"/>
          <w:szCs w:val="19"/>
        </w:rPr>
        <w:t xml:space="preserve">schema.prisma: enum LeadPipelineSegment; Lead.pipelineSegment LeadPipelineSegment @default(STANDARD) is a column directly on the Lead model. lead.permissions.js's leadSegmentWhere(segment = "STANDARD") returns { pipelineSegment: segment } — Import Review leads are rows in the same table with pipelineSegment: "IMPORT_REVIEW", not a separate model.</w:t>
      </w:r>
    </w:p>
    <w:p>
      <w:pPr>
        <w:spacing w:after="160" w:line="300"/>
      </w:pPr>
      <w:r>
        <w:rPr>
          <w:color w:val="1F2937"/>
          <w:sz w:val="21"/>
          <w:szCs w:val="21"/>
        </w:rPr>
        <w:t xml:space="preserve">The underlying concern — no unified identity across Clients, Leads, and Case Easy Import, no cross-store dedupe — is still real and still worth the report's recommended “one person table” project. The count is three stores, not four, which matters for scoping that project correctly.</w:t>
      </w:r>
    </w:p>
    <w:p>
      <w:pPr>
        <w:pStyle w:val="Heading2"/>
        <w:spacing w:after="140" w:before="340"/>
      </w:pPr>
      <w:r>
        <w:rPr>
          <w:b/>
          <w:bCs/>
          <w:color w:val="1F2937"/>
          <w:sz w:val="24"/>
          <w:szCs w:val="24"/>
        </w:rPr>
        <w:t xml:space="preserve">CD-010 — “Audit trail records creation only” — wrong</w:t>
      </w:r>
    </w:p>
    <w:p>
      <w:pPr>
        <w:spacing w:after="160" w:line="300"/>
      </w:pPr>
      <w:r>
        <w:rPr>
          <w:color w:val="1F2937"/>
          <w:sz w:val="21"/>
          <w:szCs w:val="21"/>
        </w:rPr>
        <w:t xml:space="preserve">The audit trail logs updates and deletes, not only creation.</w:t>
      </w:r>
    </w:p>
    <w:p>
      <w:pPr>
        <w:pBdr>
          <w:left w:val="single" w:color="D1D5DB" w:sz="12" w:space="8"/>
        </w:pBdr>
        <w:spacing w:after="200" w:before="40" w:line="280"/>
        <w:ind w:left="360"/>
      </w:pPr>
      <w:r>
        <w:rPr>
          <w:i/>
          <w:iCs/>
          <w:color w:val="6B7280"/>
          <w:sz w:val="19"/>
          <w:szCs w:val="19"/>
        </w:rPr>
        <w:t xml:space="preserve">prismaCrud.js's shared createCrudController calls recordActivity with action "${entity}.updated" inside update() and "${entity}.deleted" inside remove() — not just "${entity}.created" inside create(). caseController.js alone has ten separate recordActivity call sites covering status and stage transitions, independent of the generic CRUD layer.</w:t>
      </w:r>
    </w:p>
    <w:p>
      <w:pPr>
        <w:spacing w:after="160" w:line="300"/>
      </w:pPr>
      <w:r>
        <w:rPr>
          <w:color w:val="1F2937"/>
          <w:sz w:val="21"/>
          <w:szCs w:val="21"/>
        </w:rPr>
        <w:t xml:space="preserve">It's possible the report observed one specific action that genuinely doesn't log (there are enough controllers in this app that a gap somewhere is plausible), but “records creation only” as a blanket statement about the audit trail is not accurate.</w:t>
      </w:r>
    </w:p>
    <w:p>
      <w:pPr>
        <w:pStyle w:val="Heading2"/>
        <w:spacing w:after="140" w:before="340"/>
      </w:pPr>
      <w:r>
        <w:rPr>
          <w:b/>
          <w:bCs/>
          <w:color w:val="1F2937"/>
          <w:sz w:val="24"/>
          <w:szCs w:val="24"/>
        </w:rPr>
        <w:t xml:space="preserve">CD-008 — “Destructive actions unguarded in table rows” — overstated</w:t>
      </w:r>
    </w:p>
    <w:p>
      <w:pPr>
        <w:spacing w:after="160" w:line="300"/>
      </w:pPr>
      <w:r>
        <w:rPr>
          <w:color w:val="1F2937"/>
          <w:sz w:val="21"/>
          <w:szCs w:val="21"/>
        </w:rPr>
        <w:t xml:space="preserve">One real, exact gap existed and is now fixed: the case-stage dropdown in the Cases table (and its mobile equivalent) changed a case's stage immediately on selection with no confirmation. That's fixed — both now confirm before applying the change.</w:t>
      </w:r>
    </w:p>
    <w:p>
      <w:pPr>
        <w:spacing w:after="160" w:line="300"/>
      </w:pPr>
      <w:r>
        <w:rPr>
          <w:color w:val="1F2937"/>
          <w:sz w:val="21"/>
          <w:szCs w:val="21"/>
        </w:rPr>
        <w:t xml:space="preserve">But generalized to “destructive actions” across the app, the claim overstates what's actually there. Case delete, client archive, document delete, and manual ledger entry removal all already had confirmation guards before this session. Refunds go through a review drawer rather than a one-click destructive button. The report's finding describes one real row-level gap, not a systemic pattern.</w:t>
      </w:r>
    </w:p>
    <w:p>
      <w:pPr>
        <w:pStyle w:val="Heading2"/>
        <w:spacing w:after="140" w:before="340"/>
      </w:pPr>
      <w:r>
        <w:rPr>
          <w:b/>
          <w:bCs/>
          <w:color w:val="1F2937"/>
          <w:sz w:val="24"/>
          <w:szCs w:val="24"/>
        </w:rPr>
        <w:t xml:space="preserve">CD-011 — “4 duplicate calls per page load confirmed again” — unsubstantiated</w:t>
      </w:r>
    </w:p>
    <w:p>
      <w:pPr>
        <w:spacing w:after="160" w:line="300"/>
      </w:pPr>
      <w:r>
        <w:rPr>
          <w:color w:val="1F2937"/>
          <w:sz w:val="21"/>
          <w:szCs w:val="21"/>
        </w:rPr>
        <w:t xml:space="preserve">This specific sub-claim doesn't hold up. The global incoming-call alert component is mounted exactly once, inside the app's single main layout wrapper — there's no second instance and no other Ooma-polling code path that would stack concurrent requests on the same page load. The 5-second global poll and the 15-second in-page poll on the dedicated Calls page are two separate, non-duplicating loops, not four duplicated calls.</w:t>
      </w:r>
    </w:p>
    <w:p>
      <w:pPr>
        <w:spacing w:after="160" w:line="300"/>
      </w:pPr>
      <w:r>
        <w:rPr>
          <w:color w:val="1F2937"/>
          <w:sz w:val="21"/>
          <w:szCs w:val="21"/>
        </w:rPr>
        <w:t xml:space="preserve">The broader point — that polling continues regardless of whether Ooma is actually connected — was accurate and is fixed (Section 2). The “4 duplicate calls” figure specifically isn't reproducible from the code as written.</w:t>
      </w:r>
    </w:p>
    <w:p>
      <w:pPr>
        <w:pStyle w:val="Heading2"/>
        <w:spacing w:after="140" w:before="340"/>
      </w:pPr>
      <w:r>
        <w:rPr>
          <w:b/>
          <w:bCs/>
          <w:color w:val="1F2937"/>
          <w:sz w:val="24"/>
          <w:szCs w:val="24"/>
        </w:rPr>
        <w:t xml:space="preserve">CD-006 — “No consent record on website leads” — overstated / imprecise</w:t>
      </w:r>
    </w:p>
    <w:p>
      <w:pPr>
        <w:spacing w:after="160" w:line="300"/>
      </w:pPr>
      <w:r>
        <w:rPr>
          <w:color w:val="1F2937"/>
          <w:sz w:val="21"/>
          <w:szCs w:val="21"/>
        </w:rPr>
        <w:t xml:space="preserve">This is true for one specific intake channel and not accurate as a blanket statement about “website leads.”</w:t>
      </w:r>
    </w:p>
    <w:p>
      <w:pPr>
        <w:pBdr>
          <w:left w:val="single" w:color="D1D5DB" w:sz="12" w:space="8"/>
        </w:pBdr>
        <w:spacing w:after="200" w:before="40" w:line="280"/>
        <w:ind w:left="360"/>
      </w:pPr>
      <w:r>
        <w:rPr>
          <w:i/>
          <w:iCs/>
          <w:color w:val="6B7280"/>
          <w:sz w:val="19"/>
          <w:szCs w:val="19"/>
        </w:rPr>
        <w:t xml:space="preserve">Leads submitted through CaseDesk's own public intake form builder (channel PUBLIC_FORM) do capture and persist consent: parsePublicSubmission requires body.consent === true before accepting the submission, and the intake worker writes consentGiven/consentGivenAt from that value onto the created Lead. The gap is real specifically for leads arriving through a connected external website/source-connector integration (channel WEBSITE_CONNECTOR) — that adapter doesn't read or forward a consent field from the connector payload, so consentGiven ends up null for that path only.</w:t>
      </w:r>
    </w:p>
    <w:p>
      <w:pPr>
        <w:spacing w:after="160" w:line="300"/>
      </w:pPr>
      <w:r>
        <w:rPr>
          <w:color w:val="1F2937"/>
          <w:sz w:val="21"/>
          <w:szCs w:val="21"/>
        </w:rPr>
        <w:t xml:space="preserve">Not addressed this session — worth fixing, but scoped narrower than the report states: the gap is in the website-connector adapter specifically, not in “website leads” as a whole. The report's underlying compliance concern still deserves the priority it was given; the fix should target that one adapter rather than the intake pipeline broadly.</w:t>
      </w:r>
    </w:p>
    <w:p>
      <w:pPr>
        <w:pStyle w:val="Heading1"/>
        <w:pBdr>
          <w:bottom w:val="single" w:color="D1D5DB" w:sz="6" w:space="4"/>
        </w:pBdr>
        <w:spacing w:after="200" w:before="480"/>
      </w:pPr>
      <w:r>
        <w:rPr>
          <w:b/>
          <w:bCs/>
          <w:color w:val="1F2937"/>
          <w:sz w:val="30"/>
          <w:szCs w:val="30"/>
        </w:rPr>
        <w:t xml:space="preserve">4. Confirmed accurate, not addressed — recommended follow-ups</w:t>
      </w:r>
    </w:p>
    <w:p>
      <w:pPr>
        <w:spacing w:after="160" w:line="300"/>
      </w:pPr>
      <w:r>
        <w:rPr>
          <w:color w:val="1F2937"/>
          <w:sz w:val="21"/>
          <w:szCs w:val="21"/>
        </w:rPr>
        <w:t xml:space="preserve">These findings held up under review but were deliberately left out of this session's scope — either because they're business decisions rather than code fixes, or because the report itself sized them as larger, riskier work that deserves its own focused pass rather than being rushed alongside everything else.</w:t>
      </w:r>
    </w:p>
    <w:p>
      <w:pPr>
        <w:pStyle w:val="ListParagraph"/>
        <w:numPr>
          <w:ilvl w:val="0"/>
          <w:numId w:val="1"/>
        </w:numPr>
        <w:spacing w:after="90" w:line="290"/>
        <w:ind w:left="360"/>
      </w:pPr>
      <w:r>
        <w:rPr>
          <w:b/>
          <w:bCs/>
          <w:sz w:val="21"/>
          <w:szCs w:val="21"/>
        </w:rPr>
        <w:t xml:space="preserve">One shared “overdue” metrics service (CD-003/CD-004/CD-035): </w:t>
      </w:r>
      <w:r>
        <w:rPr>
          <w:sz w:val="21"/>
          <w:szCs w:val="21"/>
        </w:rPr>
        <w:t xml:space="preserve">the cutoff-time inconsistency is fixed (Section 2), but the six implementations are still separate code paths, not one shared function. This is the report's own priority-2 recommendation and the natural next step.</w:t>
      </w:r>
    </w:p>
    <w:p>
      <w:pPr>
        <w:pStyle w:val="ListParagraph"/>
        <w:numPr>
          <w:ilvl w:val="0"/>
          <w:numId w:val="1"/>
        </w:numPr>
        <w:spacing w:after="90" w:line="290"/>
        <w:ind w:left="360"/>
      </w:pPr>
      <w:r>
        <w:rPr>
          <w:b/>
          <w:bCs/>
          <w:sz w:val="21"/>
          <w:szCs w:val="21"/>
        </w:rPr>
        <w:t xml:space="preserve">Case Easy Import contacts list pagination: </w:t>
      </w:r>
      <w:r>
        <w:rPr>
          <w:sz w:val="21"/>
          <w:szCs w:val="21"/>
        </w:rPr>
        <w:t xml:space="preserve">discovered during this session's work, not in the original report — the list endpoint loads all matching records unpaginated, up to the full 3,793. Worth fixing before the queue grows past what a browser tab can comfortably hold.</w:t>
      </w:r>
    </w:p>
    <w:p>
      <w:pPr>
        <w:pStyle w:val="ListParagraph"/>
        <w:numPr>
          <w:ilvl w:val="0"/>
          <w:numId w:val="1"/>
        </w:numPr>
        <w:spacing w:after="90" w:line="290"/>
        <w:ind w:left="360"/>
      </w:pPr>
      <w:r>
        <w:rPr>
          <w:b/>
          <w:bCs/>
          <w:sz w:val="21"/>
          <w:szCs w:val="21"/>
        </w:rPr>
        <w:t xml:space="preserve">Deciding the fate of the 3,793 legacy records (CD-033 recommendations #3 and #5): </w:t>
      </w:r>
      <w:r>
        <w:rPr>
          <w:sz w:val="21"/>
          <w:szCs w:val="21"/>
        </w:rPr>
        <w:t xml:space="preserve">whether to bulk-migrate everything, migrate selectively, or park Case Easy as a permanent searchable archive is a business call, not something to decide in code.</w:t>
      </w:r>
    </w:p>
    <w:p>
      <w:pPr>
        <w:pStyle w:val="ListParagraph"/>
        <w:numPr>
          <w:ilvl w:val="0"/>
          <w:numId w:val="1"/>
        </w:numPr>
        <w:spacing w:after="90" w:line="290"/>
        <w:ind w:left="360"/>
      </w:pPr>
      <w:r>
        <w:rPr>
          <w:b/>
          <w:bCs/>
          <w:sz w:val="21"/>
          <w:szCs w:val="21"/>
        </w:rPr>
        <w:t xml:space="preserve">One unified person table (CD-034, corrected to three stores): </w:t>
      </w:r>
      <w:r>
        <w:rPr>
          <w:sz w:val="21"/>
          <w:szCs w:val="21"/>
        </w:rPr>
        <w:t xml:space="preserve">the report's underlying architectural recommendation is still sound even though the count was off — collapsing Clients, Leads, and Case Easy Import behind one identity model with cross-store dedupe is a substantial project of its own.</w:t>
      </w:r>
    </w:p>
    <w:p>
      <w:pPr>
        <w:pStyle w:val="ListParagraph"/>
        <w:numPr>
          <w:ilvl w:val="0"/>
          <w:numId w:val="1"/>
        </w:numPr>
        <w:spacing w:after="90" w:line="290"/>
        <w:ind w:left="360"/>
      </w:pPr>
      <w:r>
        <w:rPr>
          <w:b/>
          <w:bCs/>
          <w:sz w:val="21"/>
          <w:szCs w:val="21"/>
        </w:rPr>
        <w:t xml:space="preserve">Website-connector consent capture (CD-006, corrected scope): </w:t>
      </w:r>
      <w:r>
        <w:rPr>
          <w:sz w:val="21"/>
          <w:szCs w:val="21"/>
        </w:rPr>
        <w:t xml:space="preserve">add consent-field forwarding to the WEBSITE_CONNECTOR provider adapter specifically.</w:t>
      </w:r>
    </w:p>
    <w:p>
      <w:pPr>
        <w:pStyle w:val="ListParagraph"/>
        <w:numPr>
          <w:ilvl w:val="0"/>
          <w:numId w:val="1"/>
        </w:numPr>
        <w:spacing w:after="90" w:line="290"/>
        <w:ind w:left="360"/>
      </w:pPr>
      <w:r>
        <w:rPr>
          <w:b/>
          <w:bCs/>
          <w:sz w:val="21"/>
          <w:szCs w:val="21"/>
        </w:rPr>
        <w:t xml:space="preserve">Everything the report marked Medium/Low severity and unchanged — </w:t>
      </w:r>
      <w:r>
        <w:rPr>
          <w:sz w:val="21"/>
          <w:szCs w:val="21"/>
        </w:rPr>
        <w:t xml:space="preserve">CD-009 (document verification workflow unused — a process/adoption question, not a defect), CD-013 through CD-031 (phone formats, picklists, colour semantics, table overflow, enum leakage, route namespacing, bundle size, and similar polish items). None of these were touched this session; they remain exactly as the report described them.</w:t>
      </w:r>
    </w:p>
    <w:p>
      <w:pPr>
        <w:pStyle w:val="Heading1"/>
        <w:pBdr>
          <w:bottom w:val="single" w:color="D1D5DB" w:sz="6" w:space="4"/>
        </w:pBdr>
        <w:spacing w:after="200" w:before="480"/>
      </w:pPr>
      <w:r>
        <w:rPr>
          <w:b/>
          <w:bCs/>
          <w:color w:val="1F2937"/>
          <w:sz w:val="30"/>
          <w:szCs w:val="30"/>
        </w:rPr>
        <w:t xml:space="preserve">5. Closing note</w:t>
      </w:r>
    </w:p>
    <w:p>
      <w:pPr>
        <w:spacing w:after="160" w:line="300"/>
      </w:pPr>
      <w:r>
        <w:rPr>
          <w:color w:val="1F2937"/>
          <w:sz w:val="21"/>
          <w:szCs w:val="21"/>
        </w:rPr>
        <w:t xml:space="preserve">Nine confirmed defects fixed or partially fixed, five findings corrected with source-level evidence, and a clear, honest list of what's confirmed-but-not-done and why. The report's methodology — read-only, evidence-first, reproducing findings across repeated loads before writing them down — is exactly why most of it held up under a source-level check. The five corrections above aren't a rebuttal of that approach; they're the kind of refinement that source access adds on top of black-box testing, and the report's own operational note in Section 6 (intake volume outpacing capacity) is outside engineering's ability to fix and is noted here without further comment.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2026-08-14T23:09:57.597Z</dcterms:created>
  <dcterms:modified xsi:type="dcterms:W3CDTF">2026-08-14T23:09:57.597Z</dcterms:modified>
</cp:coreProperties>
</file>

<file path=docProps/custom.xml><?xml version="1.0" encoding="utf-8"?>
<Properties xmlns="http://schemas.openxmlformats.org/officeDocument/2006/custom-properties" xmlns:vt="http://schemas.openxmlformats.org/officeDocument/2006/docPropsVTypes"/>
</file>