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C3AED"/>
          <w:sz w:val="18"/>
          <w:szCs w:val="18"/>
        </w:rPr>
        <w:t xml:space="preserve">CASEDESK — PRODUCT &amp; ENGINEERING DESIGN</w:t>
      </w:r>
    </w:p>
    <w:p>
      <w:pPr>
        <w:spacing w:after="100"/>
      </w:pPr>
      <w:r>
        <w:rPr>
          <w:b/>
          <w:bCs/>
          <w:color w:val="0F172A"/>
          <w:sz w:val="40"/>
          <w:szCs w:val="40"/>
        </w:rPr>
        <w:t xml:space="preserve">Government Form Auto-Fill Engine</w:t>
      </w:r>
    </w:p>
    <w:p>
      <w:pPr>
        <w:spacing w:after="260"/>
      </w:pPr>
      <w:r>
        <w:rPr>
          <w:i/>
          <w:iCs/>
          <w:color w:val="64748B"/>
          <w:sz w:val="22"/>
          <w:szCs w:val="22"/>
        </w:rPr>
        <w:t xml:space="preserve">A reusable “import a PDF form → extract fields → assign an owner → auto-fill → send the rest to the client” pipeline, worked through end-to-end on IMM 5476 (Use of a Representative).</w:t>
      </w:r>
    </w:p>
    <w:p>
      <w:pPr>
        <w:spacing w:after="200"/>
      </w:pPr>
      <w:r>
        <w:rPr>
          <w:i/>
          <w:iCs/>
          <w:color w:val="64748B"/>
          <w:sz w:val="19"/>
          <w:szCs w:val="19"/>
        </w:rPr>
        <w:t xml:space="preserve">Prepared for CaseDesk · August 2026</w:t>
      </w:r>
    </w:p>
    <w:p>
      <w:pPr>
        <w:pStyle w:val="Heading2"/>
        <w:spacing w:after="140" w:before="320"/>
      </w:pPr>
      <w:r>
        <w:rPr>
          <w:b/>
          <w:bCs/>
          <w:color w:val="7C3AED"/>
          <w:sz w:val="24"/>
          <w:szCs w:val="24"/>
        </w:rPr>
        <w:t xml:space="preserve">1. What this solves</w:t>
      </w:r>
    </w:p>
    <w:p>
      <w:pPr>
        <w:spacing w:after="160" w:line="300"/>
      </w:pPr>
      <w:r>
        <w:rPr>
          <w:color w:val="1E293B"/>
          <w:sz w:val="21"/>
          <w:szCs w:val="21"/>
        </w:rPr>
        <w:t xml:space="preserve">Consultants currently re-key the same client, case, and representative facts into every IRCC PDF by hand. IMM 5476 (“Use of a Representative”) is the first target because it is small, mandatory on nearly every file, and requires signatures from two different people — which makes it a good test of the harder problem: some fields belong to the client, some belong to the firm, some can only be answered once a human picks an option (“Am I appointing, updating, or cancelling a representative?”), and a few can only ever be filled by hand (signatures).</w:t>
      </w:r>
    </w:p>
    <w:p>
      <w:pPr>
        <w:spacing w:after="160" w:line="300"/>
      </w:pPr>
      <w:r>
        <w:rPr>
          <w:color w:val="1E293B"/>
          <w:sz w:val="21"/>
          <w:szCs w:val="21"/>
        </w:rPr>
        <w:t xml:space="preserve">The brief was to design this generically, not as a one-off IMM 5476 screen, so the engine below treats IMM 5476 as the first form it teaches itself, not a hardcoded case.</w:t>
      </w:r>
    </w:p>
    <w:p>
      <w:pPr>
        <w:pStyle w:val="Heading2"/>
        <w:spacing w:after="140" w:before="320"/>
      </w:pPr>
      <w:r>
        <w:rPr>
          <w:b/>
          <w:bCs/>
          <w:color w:val="7C3AED"/>
          <w:sz w:val="24"/>
          <w:szCs w:val="24"/>
        </w:rPr>
        <w:t xml:space="preserve">2. What CaseDesk already has to build on</w:t>
      </w:r>
    </w:p>
    <w:p>
      <w:pPr>
        <w:spacing w:after="160" w:line="300"/>
      </w:pPr>
      <w:r>
        <w:rPr>
          <w:color w:val="1E293B"/>
          <w:sz w:val="21"/>
          <w:szCs w:val="21"/>
        </w:rPr>
        <w:t xml:space="preserve">Before designing anything new, I read the existing document and form code so this doesn’t duplicate it.</w:t>
      </w:r>
    </w:p>
    <w:p>
      <w:pPr>
        <w:pStyle w:val="ListParagraph"/>
        <w:numPr>
          <w:ilvl w:val="0"/>
          <w:numId w:val="2"/>
        </w:numPr>
        <w:spacing w:after="90" w:line="280"/>
      </w:pPr>
      <w:r>
        <w:rPr>
          <w:b/>
          <w:bCs/>
          <w:color w:val="1E293B"/>
          <w:sz w:val="21"/>
          <w:szCs w:val="21"/>
        </w:rPr>
        <w:t xml:space="preserve">CaseForm / CaseFormVersion / AgencyFormTemplate </w:t>
      </w:r>
      <w:r>
        <w:rPr>
          <w:sz w:val="21"/>
          <w:szCs w:val="21"/>
        </w:rPr>
        <w:t xml:space="preserve">— already models “a specific IRCC form assigned to a case,” with file versioning, locking, review comments, and an audit trail. It even carries an unused </w:t>
      </w:r>
      <w:r>
        <w:rPr>
          <w:i/>
          <w:iCs/>
          <w:sz w:val="21"/>
          <w:szCs w:val="21"/>
        </w:rPr>
        <w:t xml:space="preserve">mappingVersion</w:t>
      </w:r>
      <w:r>
        <w:rPr>
          <w:sz w:val="21"/>
          <w:szCs w:val="21"/>
        </w:rPr>
        <w:t xml:space="preserve"> column — this schema was clearly left ready for exactly this feature. We build on top of it rather than inventing a parallel form concept.</w:t>
      </w:r>
    </w:p>
    <w:p>
      <w:pPr>
        <w:pStyle w:val="ListParagraph"/>
        <w:numPr>
          <w:ilvl w:val="0"/>
          <w:numId w:val="2"/>
        </w:numPr>
        <w:spacing w:after="90" w:line="280"/>
      </w:pPr>
      <w:r>
        <w:rPr>
          <w:b/>
          <w:bCs/>
          <w:color w:val="1E293B"/>
          <w:sz w:val="21"/>
          <w:szCs w:val="21"/>
        </w:rPr>
        <w:t xml:space="preserve">Correspondence merge-field pattern </w:t>
      </w:r>
      <w:r>
        <w:rPr>
          <w:sz w:val="21"/>
          <w:szCs w:val="21"/>
        </w:rPr>
        <w:t xml:space="preserve">(retainer letters, invitations) — a </w:t>
      </w:r>
      <w:r>
        <w:rPr>
          <w:i/>
          <w:iCs/>
          <w:sz w:val="21"/>
          <w:szCs w:val="21"/>
        </w:rPr>
        <w:t xml:space="preserve">{{client.fullName}}</w:t>
      </w:r>
      <w:r>
        <w:rPr>
          <w:sz w:val="21"/>
          <w:szCs w:val="21"/>
        </w:rPr>
        <w:t xml:space="preserve"> style token replace against a hand-built values map, with unresolved tokens visibly flagged. This is the right mental model for “where does a value come from,” but it operates on HTML strings, not real PDF form widgets — IMM 5476 needs the latter so the output is a form IRCC will actually accept.</w:t>
      </w:r>
    </w:p>
    <w:p>
      <w:pPr>
        <w:pStyle w:val="ListParagraph"/>
        <w:numPr>
          <w:ilvl w:val="0"/>
          <w:numId w:val="2"/>
        </w:numPr>
        <w:spacing w:after="90" w:line="280"/>
      </w:pPr>
      <w:r>
        <w:rPr>
          <w:b/>
          <w:bCs/>
          <w:color w:val="1E293B"/>
          <w:sz w:val="21"/>
          <w:szCs w:val="21"/>
        </w:rPr>
        <w:t xml:space="preserve">QuestionnaireAssignment </w:t>
      </w:r>
      <w:r>
        <w:rPr>
          <w:sz w:val="21"/>
          <w:szCs w:val="21"/>
        </w:rPr>
        <w:t xml:space="preserve">— the existing “assign something to the client portal, they fill it, it locks on submit, consultant reviews” workflow. This is the pattern the client-facing half of this feature reuses — today it only exists for internal questionnaires, not for form fields, and the client portal has no write access to any form data at all yet.</w:t>
      </w:r>
    </w:p>
    <w:p>
      <w:pPr>
        <w:pStyle w:val="ListParagraph"/>
        <w:numPr>
          <w:ilvl w:val="0"/>
          <w:numId w:val="2"/>
        </w:numPr>
        <w:spacing w:after="90" w:line="280"/>
      </w:pPr>
      <w:r>
        <w:rPr>
          <w:b/>
          <w:bCs/>
          <w:color w:val="1E293B"/>
          <w:sz w:val="21"/>
          <w:szCs w:val="21"/>
        </w:rPr>
        <w:t xml:space="preserve">Supabase storage + multer </w:t>
      </w:r>
      <w:r>
        <w:rPr>
          <w:sz w:val="21"/>
          <w:szCs w:val="21"/>
        </w:rPr>
        <w:t xml:space="preserve">— already handles upload/download of the source PDFs and generated documents; reusable as-is.</w:t>
      </w:r>
    </w:p>
    <w:tbl>
      <w:tblPr>
        <w:tblW w:type="pct" w:w="100%"/>
        <w:tblBorders>
          <w:top w:val="single" w:color="E2E8F0" w:sz="4"/>
          <w:left w:val="single" w:color="B45309" w:sz="24"/>
          <w:bottom w:val="single" w:color="E2E8F0" w:sz="4"/>
          <w:right w:val="single" w:color="E2E8F0" w:sz="4"/>
          <w:insideH w:val="single" w:color="auto" w:sz="4"/>
          <w:insideV w:val="single" w:color="auto" w:sz="4"/>
        </w:tblBorders>
      </w:tblPr>
      <w:tblGrid>
        <w:gridCol w:w="100"/>
      </w:tblGrid>
      <w:tr>
        <w:tc>
          <w:tcPr>
            <w:shd w:fill="FFFBEB" w:val="clear"/>
            <w:tcMar>
              <w:top w:type="dxa" w:w="160"/>
              <w:left w:type="dxa" w:w="260"/>
              <w:bottom w:type="dxa" w:w="160"/>
              <w:right w:type="dxa" w:w="260"/>
            </w:tcMar>
          </w:tcPr>
          <w:p>
            <w:pPr>
              <w:spacing w:after="60"/>
            </w:pPr>
            <w:r>
              <w:rPr>
                <w:b/>
                <w:bCs/>
                <w:color w:val="B45309"/>
                <w:sz w:val="20"/>
                <w:szCs w:val="20"/>
              </w:rPr>
              <w:t xml:space="preserve">Deliberately not reused: CaseInformationProfile / ClientInformationProfile</w:t>
            </w:r>
          </w:p>
          <w:p>
            <w:pPr>
              <w:spacing w:after="0"/>
            </w:pPr>
            <w:r>
              <w:rPr>
                <w:color w:val="1E293B"/>
                <w:sz w:val="20"/>
                <w:szCs w:val="20"/>
              </w:rPr>
              <w:t xml:space="preserve">These flexible sectionKey + JSON-data tables look like a tempting fit at first glance, but they're mid-migration (CaseAssessment.formData is still the real source of truth; the new tables are a parallel dual-write with a drift-checker), staff-only with no client-portal path, and their field catalog has no types or labels — two sections are explicitly marked “no canonical field list exists.” Building the form engine on top of migration-in-progress infrastructure would inherit bugs that have nothing to do with this feature. New, purpose-built tables instead (Section 4).</w:t>
            </w:r>
          </w:p>
        </w:tc>
      </w:tr>
    </w:tbl>
    <w:p>
      <w:pPr>
        <w:pStyle w:val="Heading2"/>
        <w:spacing w:after="140" w:before="320"/>
      </w:pPr>
      <w:r>
        <w:rPr>
          <w:b/>
          <w:bCs/>
          <w:color w:val="7C3AED"/>
          <w:sz w:val="24"/>
          <w:szCs w:val="24"/>
        </w:rPr>
        <w:t xml:space="preserve">3. Design principles</w:t>
      </w:r>
    </w:p>
    <w:p>
      <w:pPr>
        <w:spacing w:after="160" w:line="300"/>
      </w:pPr>
      <w:r>
        <w:rPr>
          <w:color w:val="1E293B"/>
          <w:sz w:val="21"/>
          <w:szCs w:val="21"/>
        </w:rPr>
        <w:t xml:space="preserve">Consulted impeccable, ui-ux-pro-max, and frontend-design before laying out any screen. Three decisions came directly out of that pass:</w:t>
      </w:r>
    </w:p>
    <w:p>
      <w:pPr>
        <w:pStyle w:val="ListParagraph"/>
        <w:numPr>
          <w:ilvl w:val="0"/>
          <w:numId w:val="2"/>
        </w:numPr>
        <w:spacing w:after="90" w:line="280"/>
      </w:pPr>
      <w:r>
        <w:rPr>
          <w:color w:val="1E293B"/>
          <w:sz w:val="21"/>
          <w:szCs w:val="21"/>
        </w:rPr>
        <w:t xml:space="preserve">Government field text stays out of the UI. IRCC's own wording (“Question 6”, “Section B”) is precise but unreadable to a first-time user. Every field gets a plain-language label chosen when the form is first imported (“Representative's membership ID”, not “Question 7(ii)”) — the original government question stays attached as a hover/help reference, never as the primary label.</w:t>
      </w:r>
    </w:p>
    <w:p>
      <w:pPr>
        <w:pStyle w:val="ListParagraph"/>
        <w:numPr>
          <w:ilvl w:val="0"/>
          <w:numId w:val="2"/>
        </w:numPr>
        <w:spacing w:after="90" w:line="280"/>
      </w:pPr>
      <w:r>
        <w:rPr>
          <w:color w:val="1E293B"/>
          <w:sz w:val="21"/>
          <w:szCs w:val="21"/>
        </w:rPr>
        <w:t xml:space="preserve">This is a status board, not a form. The consultant-facing screen is a checklist with clear states (Auto-filled / You entered / Client entered / Missing), not a scrollable replica of the PDF. That is the pattern CaseDesk already uses for document checklists and questionnaires — staying consistent with it matters more here than novelty.</w:t>
      </w:r>
    </w:p>
    <w:p>
      <w:pPr>
        <w:pStyle w:val="ListParagraph"/>
        <w:numPr>
          <w:ilvl w:val="0"/>
          <w:numId w:val="2"/>
        </w:numPr>
        <w:spacing w:after="90" w:line="280"/>
      </w:pPr>
      <w:r>
        <w:rPr>
          <w:color w:val="1E293B"/>
          <w:sz w:val="21"/>
          <w:szCs w:val="21"/>
        </w:rPr>
        <w:t xml:space="preserve">The client never sees a flat form. Per ui-ux-pro-max's progressive-disclosure and step-indicator guidance, the client portal view groups their handful of fields into one short, plain-language screen with a visible “3 of 3 answered” state — never IRCC's 4-page, legal-register form.</w:t>
      </w:r>
    </w:p>
    <w:p>
      <w:pPr>
        <w:pStyle w:val="ListParagraph"/>
        <w:numPr>
          <w:ilvl w:val="0"/>
          <w:numId w:val="2"/>
        </w:numPr>
        <w:spacing w:after="90" w:line="280"/>
      </w:pPr>
      <w:r>
        <w:rPr>
          <w:color w:val="1E293B"/>
          <w:sz w:val="21"/>
          <w:szCs w:val="21"/>
        </w:rPr>
        <w:t xml:space="preserve">Owner is always visible, never implied. Every field carries a small badge — Client, Representative, Case, or Manual — everywhere it appears (import mapping screen, checklist, portal). This directly answers “whose details do we want to fill in” as a permanent, glanceable part of the UI rather than something the consultant has to remember.</w:t>
      </w:r>
    </w:p>
    <w:p>
      <w:pPr>
        <w:pStyle w:val="Heading2"/>
        <w:spacing w:after="140" w:before="320"/>
      </w:pPr>
      <w:r>
        <w:rPr>
          <w:b/>
          <w:bCs/>
          <w:color w:val="7C3AED"/>
          <w:sz w:val="24"/>
          <w:szCs w:val="24"/>
        </w:rPr>
        <w:t xml:space="preserve">4. Data model</w:t>
      </w:r>
    </w:p>
    <w:p>
      <w:pPr>
        <w:spacing w:after="160" w:line="300"/>
      </w:pPr>
      <w:r>
        <w:rPr>
          <w:color w:val="1E293B"/>
          <w:sz w:val="21"/>
          <w:szCs w:val="21"/>
        </w:rPr>
        <w:t xml:space="preserve">Four new tables, hung off the existing CaseForm/AgencyFormTemplate pair, plus a handful of columns on existing tables. Nothing here is IMM-5476-specific — sectionKey, fieldKey, and the owner/source columns are all generic.</w:t>
      </w:r>
    </w:p>
    <w:p>
      <w:pPr>
        <w:spacing w:after="100" w:before="220"/>
      </w:pPr>
      <w:r>
        <w:rPr>
          <w:b/>
          <w:bCs/>
          <w:color w:val="1E293B"/>
          <w:sz w:val="21"/>
          <w:szCs w:val="21"/>
        </w:rPr>
        <w:t xml:space="preserve">4.1 New tables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496"/>
        <w:gridCol w:w="4114"/>
        <w:gridCol w:w="3740"/>
      </w:tblGrid>
      <w:tr>
        <w:trPr>
          <w:tblHeader/>
        </w:trPr>
        <w:tc>
          <w:tcPr>
            <w:tcW w:type="pct" w:w="16%"/>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Table</w:t>
            </w:r>
          </w:p>
        </w:tc>
        <w:tc>
          <w:tcPr>
            <w:tcW w:type="pct" w:w="44%"/>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Purpose</w:t>
            </w:r>
          </w:p>
        </w:tc>
        <w:tc>
          <w:tcPr>
            <w:tcW w:type="pct" w:w="40%"/>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Key columns</w:t>
            </w:r>
          </w:p>
        </w:tc>
      </w:tr>
      <w:tr>
        <w:tc>
          <w:tcPr>
            <w:tcW w:type="pct" w:w="1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FormTemplateFieldSchema</w:t>
            </w:r>
          </w:p>
        </w:tc>
        <w:tc>
          <w:tcPr>
            <w:tcW w:type="pct" w:w="4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One row per field on a form template (e.g. AgencyFormTemplate for IMM 5476). Created once, on import; reused by every case that uses this form.</w:t>
            </w:r>
          </w:p>
        </w:tc>
        <w:tc>
          <w:tcPr>
            <w:tcW w:type="pct" w:w="40%"/>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agencyFormTemplateId, fieldKey (raw PDF field name), fieldType (text/checkbox/radio/date/signature), page, section, sortIndex, label (editable), owner (Client/Representative/Case/Manual), sourcePath (e.g. client.givenNames), isRequired, condition (JSON, see §6), fillableBy (Consultant/Client/Both)</w:t>
            </w:r>
          </w:p>
        </w:tc>
      </w:tr>
      <w:tr>
        <w:tc>
          <w:tcPr>
            <w:tcW w:type="pct" w:w="1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CaseFormFieldValue</w:t>
            </w:r>
          </w:p>
        </w:tc>
        <w:tc>
          <w:tcPr>
            <w:tcW w:type="pct" w:w="44%"/>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One row per field per case-specific CaseForm instance — the live checklist data.</w:t>
            </w:r>
          </w:p>
        </w:tc>
        <w:tc>
          <w:tcPr>
            <w:tcW w:type="pct" w:w="40%"/>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caseFormId, fieldKey, value, status (Unset/AutoFilled/ConsultantEntered/ClientEntered), filledById, filledAt</w:t>
            </w:r>
          </w:p>
        </w:tc>
      </w:tr>
      <w:tr>
        <w:tc>
          <w:tcPr>
            <w:tcW w:type="pct" w:w="1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CaseFormClientRequest</w:t>
            </w:r>
          </w:p>
        </w:tc>
        <w:tc>
          <w:tcPr>
            <w:tcW w:type="pct" w:w="4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One “send the rest to the client” assignment — the portal-facing counterpart of QuestionnaireAssignment.</w:t>
            </w:r>
          </w:p>
        </w:tc>
        <w:tc>
          <w:tcPr>
            <w:tcW w:type="pct" w:w="40%"/>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caseFormId, caseId, clientId, requestedFieldKeys (JSON snapshot), status (Sent/InProgress/Submitted/Reviewed), message, dueAt, submittedAt, reviewedById</w:t>
            </w:r>
          </w:p>
        </w:tc>
      </w:tr>
      <w:tr>
        <w:tc>
          <w:tcPr>
            <w:tcW w:type="pct" w:w="1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FormDataSourceRegistry (code, not a table)</w:t>
            </w:r>
          </w:p>
        </w:tc>
        <w:tc>
          <w:tcPr>
            <w:tcW w:type="pct" w:w="44%"/>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A whitelisted list of resolvable dot-paths (client.*, consultant.*, agency.*, case.*). sourcePath is validated against this at mapping time — never arbitrary code, so a bad mapping can't leak unrelated data.</w:t>
            </w:r>
          </w:p>
        </w:tc>
        <w:tc>
          <w:tcPr>
            <w:tcW w:type="pct" w:w="40%"/>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w:t>
            </w:r>
          </w:p>
        </w:tc>
      </w:tr>
    </w:tbl>
    <w:p>
      <w:pPr>
        <w:spacing w:after="160" w:line="300"/>
      </w:pPr>
      <w:r>
        <w:rPr>
          <w:color w:val="1E293B"/>
          <w:sz w:val="21"/>
          <w:szCs w:val="21"/>
        </w:rPr>
        <w:t xml:space="preserve"/>
      </w:r>
    </w:p>
    <w:p>
      <w:pPr>
        <w:spacing w:after="100" w:before="220"/>
      </w:pPr>
      <w:r>
        <w:rPr>
          <w:b/>
          <w:bCs/>
          <w:color w:val="1E293B"/>
          <w:sz w:val="21"/>
          <w:szCs w:val="21"/>
        </w:rPr>
        <w:t xml:space="preserve">4.2 Additions to existing tables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2057"/>
        <w:gridCol w:w="2805"/>
        <w:gridCol w:w="4488"/>
      </w:tblGrid>
      <w:tr>
        <w:trPr>
          <w:tblHeader/>
        </w:trPr>
        <w:tc>
          <w:tcPr>
            <w:tcW w:type="pct" w:w="22%"/>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Table</w:t>
            </w:r>
          </w:p>
        </w:tc>
        <w:tc>
          <w:tcPr>
            <w:tcW w:type="pct" w:w="30%"/>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New column(s)</w:t>
            </w:r>
          </w:p>
        </w:tc>
        <w:tc>
          <w:tcPr>
            <w:tcW w:type="pct" w:w="48%"/>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Why</w:t>
            </w:r>
          </w:p>
        </w:tc>
      </w:tr>
      <w:tr>
        <w:tc>
          <w:tcPr>
            <w:tcW w:type="pct" w:w="22%"/>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w:t>
            </w:r>
          </w:p>
        </w:tc>
        <w:tc>
          <w:tcPr>
            <w:tcW w:type="pct" w:w="30%"/>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familyName, givenNames (nullable)</w:t>
            </w:r>
          </w:p>
        </w:tc>
        <w:tc>
          <w:tcPr>
            <w:tcW w:type="pct" w:w="4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IMM 5476 — like almost every IRCC form — wants family/given name split, not one fullName string. ImmigrationProfile already models this split; Client didn't. Backfilled once via a name-split heuristic, then editable in the existing Edit Profile drawer; fullName stays as the display value.</w:t>
            </w:r>
          </w:p>
        </w:tc>
      </w:tr>
      <w:tr>
        <w:tc>
          <w:tcPr>
            <w:tcW w:type="pct" w:w="22%"/>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w:t>
            </w:r>
          </w:p>
        </w:tc>
        <w:tc>
          <w:tcPr>
            <w:tcW w:type="pct" w:w="30%"/>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uci (nullable)</w:t>
            </w:r>
          </w:p>
        </w:tc>
        <w:tc>
          <w:tcPr>
            <w:tcW w:type="pct" w:w="4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Unique Client Identifier — requested on nearly every IRCC form, not currently captured anywhere on the primary applicant.</w:t>
            </w:r>
          </w:p>
        </w:tc>
      </w:tr>
      <w:tr>
        <w:tc>
          <w:tcPr>
            <w:tcW w:type="pct" w:w="22%"/>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Case</w:t>
            </w:r>
          </w:p>
        </w:tc>
        <w:tc>
          <w:tcPr>
            <w:tcW w:type="pct" w:w="30%"/>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applicationNumber (nullable)</w:t>
            </w:r>
          </w:p>
        </w:tc>
        <w:tc>
          <w:tcPr>
            <w:tcW w:type="pct" w:w="4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IRCC application number, once known — also reused by future forms, not just IMM 5476.</w:t>
            </w:r>
          </w:p>
        </w:tc>
      </w:tr>
      <w:tr>
        <w:tc>
          <w:tcPr>
            <w:tcW w:type="pct" w:w="22%"/>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ConsultantProfile</w:t>
            </w:r>
          </w:p>
        </w:tc>
        <w:tc>
          <w:tcPr>
            <w:tcW w:type="pct" w:w="30%"/>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representativeType (Paid/Unpaid), membershipBody (CICC / Law Society / Chambre des notaires / Other), membershipProvince</w:t>
            </w:r>
          </w:p>
        </w:tc>
        <w:tc>
          <w:tcPr>
            <w:tcW w:type="pct" w:w="4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Representative-specific professional-standing fields IMM 5476 requires that don't belong on the generic User record. membershipId reuses the existing User.licenseNumber rather than duplicating it.</w:t>
            </w:r>
          </w:p>
        </w:tc>
      </w:tr>
      <w:tr>
        <w:tc>
          <w:tcPr>
            <w:tcW w:type="pct" w:w="22%"/>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Agency</w:t>
            </w:r>
          </w:p>
        </w:tc>
        <w:tc>
          <w:tcPr>
            <w:tcW w:type="pct" w:w="30%"/>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faxNumber (nullable)</w:t>
            </w:r>
          </w:p>
        </w:tc>
        <w:tc>
          <w:tcPr>
            <w:tcW w:type="pct" w:w="4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Section B of IMM 5476 has a dedicated fax field; Agency already has phone/email/address/city/province/postalCode, which is otherwise structured enough to map directly.</w:t>
            </w:r>
          </w:p>
        </w:tc>
      </w:tr>
      <w:tr>
        <w:tc>
          <w:tcPr>
            <w:tcW w:type="pct" w:w="22%"/>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CaseForm</w:t>
            </w:r>
          </w:p>
        </w:tc>
        <w:tc>
          <w:tcPr>
            <w:tcW w:type="pct" w:w="30%"/>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(no new column)</w:t>
            </w:r>
          </w:p>
        </w:tc>
        <w:tc>
          <w:tcPr>
            <w:tcW w:type="pct" w:w="4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Starts actually using the existing but previously-unused mappingVersion column, pointing at the FormTemplateFieldSchema version this instance was filled against — so an edited template mapping never silently reinterprets an already-filled case.</w:t>
            </w:r>
          </w:p>
        </w:tc>
      </w:tr>
    </w:tbl>
    <w:p>
      <w:pPr>
        <w:pStyle w:val="Heading2"/>
        <w:spacing w:after="140" w:before="320"/>
      </w:pPr>
      <w:r>
        <w:rPr>
          <w:b/>
          <w:bCs/>
          <w:color w:val="7C3AED"/>
          <w:sz w:val="24"/>
          <w:szCs w:val="24"/>
        </w:rPr>
        <w:t xml:space="preserve">5. Field ownership taxonomy</w:t>
      </w:r>
    </w:p>
    <w:p>
      <w:pPr>
        <w:spacing w:after="160" w:line="300"/>
      </w:pPr>
      <w:r>
        <w:rPr>
          <w:color w:val="1E293B"/>
          <w:sz w:val="21"/>
          <w:szCs w:val="21"/>
        </w:rPr>
        <w:t xml:space="preserve">Every field on every imported form is tagged with exactly one owner. This tag drives label styling, who can edit it, and whether it ever reaches the client portal.</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496"/>
        <w:gridCol w:w="2057"/>
        <w:gridCol w:w="1870"/>
        <w:gridCol w:w="3927"/>
      </w:tblGrid>
      <w:tr>
        <w:trPr>
          <w:tblHeader/>
        </w:trPr>
        <w:tc>
          <w:tcPr>
            <w:tcW w:type="pct" w:w="16%"/>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Owner</w:t>
            </w:r>
          </w:p>
        </w:tc>
        <w:tc>
          <w:tcPr>
            <w:tcW w:type="pct" w:w="22%"/>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Typical source</w:t>
            </w:r>
          </w:p>
        </w:tc>
        <w:tc>
          <w:tcPr>
            <w:tcW w:type="pct" w:w="20%"/>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Who can edit</w:t>
            </w:r>
          </w:p>
        </w:tc>
        <w:tc>
          <w:tcPr>
            <w:tcW w:type="pct" w:w="42%"/>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Example on IMM 5476</w:t>
            </w:r>
          </w:p>
        </w:tc>
      </w:tr>
      <w:tr>
        <w:tc>
          <w:tcPr>
            <w:tcW w:type="pct" w:w="1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w:t>
            </w:r>
          </w:p>
        </w:tc>
        <w:tc>
          <w:tcPr>
            <w:tcW w:type="pct" w:w="22%"/>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 case.*</w:t>
            </w:r>
          </w:p>
        </w:tc>
        <w:tc>
          <w:tcPr>
            <w:tcW w:type="pct" w:w="20%"/>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Consultant or client (both)</w:t>
            </w:r>
          </w:p>
        </w:tc>
        <w:tc>
          <w:tcPr>
            <w:tcW w:type="pct" w:w="42%"/>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Family name, given names, date of birth, email, UCI, application number</w:t>
            </w:r>
          </w:p>
        </w:tc>
      </w:tr>
      <w:tr>
        <w:tc>
          <w:tcPr>
            <w:tcW w:type="pct" w:w="1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Representative</w:t>
            </w:r>
          </w:p>
        </w:tc>
        <w:tc>
          <w:tcPr>
            <w:tcW w:type="pct" w:w="22%"/>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consultant.*, agency.*, user.licenseNumber</w:t>
            </w:r>
          </w:p>
        </w:tc>
        <w:tc>
          <w:tcPr>
            <w:tcW w:type="pct" w:w="20%"/>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Consultant only — never sent to the client</w:t>
            </w:r>
          </w:p>
        </w:tc>
        <w:tc>
          <w:tcPr>
            <w:tcW w:type="pct" w:w="42%"/>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Representative name, paid/unpaid status, membership body &amp; ID, firm name, mailing address, phone, fax</w:t>
            </w:r>
          </w:p>
        </w:tc>
      </w:tr>
      <w:tr>
        <w:tc>
          <w:tcPr>
            <w:tcW w:type="pct" w:w="1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Case</w:t>
            </w:r>
          </w:p>
        </w:tc>
        <w:tc>
          <w:tcPr>
            <w:tcW w:type="pct" w:w="22%"/>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Derived from case data, may need a small lookup table (CaseDesk case type → IRCC application-type wording)</w:t>
            </w:r>
          </w:p>
        </w:tc>
        <w:tc>
          <w:tcPr>
            <w:tcW w:type="pct" w:w="20%"/>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Consultant only</w:t>
            </w:r>
          </w:p>
        </w:tc>
        <w:tc>
          <w:tcPr>
            <w:tcW w:type="pct" w:w="42%"/>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“Type of application” text</w:t>
            </w:r>
          </w:p>
        </w:tc>
      </w:tr>
      <w:tr>
        <w:tc>
          <w:tcPr>
            <w:tcW w:type="pct" w:w="1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Manual</w:t>
            </w:r>
          </w:p>
        </w:tc>
        <w:tc>
          <w:tcPr>
            <w:tcW w:type="pct" w:w="22%"/>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No reliable source — always typed by a person</w:t>
            </w:r>
          </w:p>
        </w:tc>
        <w:tc>
          <w:tcPr>
            <w:tcW w:type="pct" w:w="20%"/>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Consultant or client, per field</w:t>
            </w:r>
          </w:p>
        </w:tc>
        <w:tc>
          <w:tcPr>
            <w:tcW w:type="pct" w:w="42%"/>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The top “I am: appointing / updating / cancelling / withdrawing” selector; supervising lawyer details for a student-at-law</w:t>
            </w:r>
          </w:p>
        </w:tc>
      </w:tr>
      <w:tr>
        <w:tc>
          <w:tcPr>
            <w:tcW w:type="pct" w:w="1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Signature</w:t>
            </w:r>
          </w:p>
        </w:tc>
        <w:tc>
          <w:tcPr>
            <w:tcW w:type="pct" w:w="22%"/>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Special case of Manual — routed to the existing finger-signature capture flow already built for retainer e-signing, not a text field</w:t>
            </w:r>
          </w:p>
        </w:tc>
        <w:tc>
          <w:tcPr>
            <w:tcW w:type="pct" w:w="20%"/>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Whoever is signing</w:t>
            </w:r>
          </w:p>
        </w:tc>
        <w:tc>
          <w:tcPr>
            <w:tcW w:type="pct" w:w="42%"/>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Applicant's declaration, representative's declaration, spouse/common-law partner, supervising lawyer</w:t>
            </w:r>
          </w:p>
        </w:tc>
      </w:tr>
    </w:tbl>
    <w:p>
      <w:pPr>
        <w:pStyle w:val="Heading2"/>
        <w:spacing w:after="140" w:before="320"/>
      </w:pPr>
      <w:r>
        <w:rPr>
          <w:b/>
          <w:bCs/>
          <w:color w:val="7C3AED"/>
          <w:sz w:val="24"/>
          <w:szCs w:val="24"/>
        </w:rPr>
        <w:t xml:space="preserve">6. The conditional flow (the “tricky part”)</w:t>
      </w:r>
    </w:p>
    <w:p>
      <w:pPr>
        <w:spacing w:after="160" w:line="300"/>
      </w:pPr>
      <w:r>
        <w:rPr>
          <w:color w:val="1E293B"/>
          <w:sz w:val="21"/>
          <w:szCs w:val="21"/>
        </w:rPr>
        <w:t xml:space="preserve">IMM 5476 isn't a flat field list — it's a form whose required sections change based on one answer. The top checkbox (“I am: appointing a representative / updating contact info / cancelling / cancelling and appointing a new one / withdrawing my role”) determines which of Sections B, C, and D are required at all. Rather than special-case this in code, the engine treats it as data: each FormTemplateFieldSchema row can carry a condition JSON of the shape below, and both the checklist UI and the completeness check evaluate it generically.</w:t>
      </w:r>
    </w:p>
    <w:p>
      <w:pPr>
        <w:spacing w:after="200"/>
      </w:pPr>
      <w:r>
        <w:rPr>
          <w:rFonts w:ascii="Courier New" w:cs="Courier New" w:eastAsia="Courier New" w:hAnsi="Courier New"/>
          <w:color w:val="0F172A"/>
          <w:sz w:val="19"/>
          <w:szCs w:val="19"/>
        </w:rPr>
        <w:t xml:space="preserve">{ "requiredWhen": { "fieldKey": "purpose", "in": ["appointing", "cancel_and_appoint"] } }</w:t>
      </w:r>
    </w:p>
    <w:p>
      <w:pPr>
        <w:pStyle w:val="ListParagraph"/>
        <w:numPr>
          <w:ilvl w:val="0"/>
          <w:numId w:val="2"/>
        </w:numPr>
        <w:spacing w:after="90" w:line="280"/>
      </w:pPr>
      <w:r>
        <w:rPr>
          <w:color w:val="1E293B"/>
          <w:sz w:val="21"/>
          <w:szCs w:val="21"/>
        </w:rPr>
        <w:t xml:space="preserve">purpose = appointing / updating → Section A + B required; C, D hidden from the checklist entirely (not just greyed out — removed, so the consultant and client are never shown fields that don't apply).</w:t>
      </w:r>
    </w:p>
    <w:p>
      <w:pPr>
        <w:pStyle w:val="ListParagraph"/>
        <w:numPr>
          <w:ilvl w:val="0"/>
          <w:numId w:val="2"/>
        </w:numPr>
        <w:spacing w:after="90" w:line="280"/>
      </w:pPr>
      <w:r>
        <w:rPr>
          <w:color w:val="1E293B"/>
          <w:sz w:val="21"/>
          <w:szCs w:val="21"/>
        </w:rPr>
        <w:t xml:space="preserve">purpose = cancelling → Section A + C required.</w:t>
      </w:r>
    </w:p>
    <w:p>
      <w:pPr>
        <w:pStyle w:val="ListParagraph"/>
        <w:numPr>
          <w:ilvl w:val="0"/>
          <w:numId w:val="2"/>
        </w:numPr>
        <w:spacing w:after="90" w:line="280"/>
      </w:pPr>
      <w:r>
        <w:rPr>
          <w:color w:val="1E293B"/>
          <w:sz w:val="21"/>
          <w:szCs w:val="21"/>
        </w:rPr>
        <w:t xml:space="preserve">purpose = cancel and appoint new → Section A + B + C required.</w:t>
      </w:r>
    </w:p>
    <w:p>
      <w:pPr>
        <w:pStyle w:val="ListParagraph"/>
        <w:numPr>
          <w:ilvl w:val="0"/>
          <w:numId w:val="2"/>
        </w:numPr>
        <w:spacing w:after="90" w:line="280"/>
      </w:pPr>
      <w:r>
        <w:rPr>
          <w:color w:val="1E293B"/>
          <w:sz w:val="21"/>
          <w:szCs w:val="21"/>
        </w:rPr>
        <w:t xml:space="preserve">purpose = withdrawing — representative-initiated → Section A (read-only, prefilled) + D required; applicant signature becomes optional if the representative attests they couldn't obtain it.</w:t>
      </w:r>
    </w:p>
    <w:p>
      <w:pPr>
        <w:spacing w:after="160" w:line="300"/>
      </w:pPr>
      <w:r>
        <w:rPr>
          <w:color w:val="1E293B"/>
          <w:sz w:val="21"/>
          <w:szCs w:val="21"/>
        </w:rPr>
        <w:t xml:space="preserve">This same condition mechanism is what makes the engine generic: a future form with its own conditional branching (e.g. “only fill Section 3 if sponsoring a spouse”) uses the identical field, no new code.</w:t>
      </w:r>
    </w:p>
    <w:p>
      <w:pPr>
        <w:pStyle w:val="Heading2"/>
        <w:spacing w:after="140" w:before="320"/>
      </w:pPr>
      <w:r>
        <w:rPr>
          <w:b/>
          <w:bCs/>
          <w:color w:val="7C3AED"/>
          <w:sz w:val="24"/>
          <w:szCs w:val="24"/>
        </w:rPr>
        <w:t xml:space="preserve">7. IMM 5476 field map (worked example)</w:t>
      </w:r>
    </w:p>
    <w:p>
      <w:pPr>
        <w:spacing w:after="160" w:line="300"/>
      </w:pPr>
      <w:r>
        <w:rPr>
          <w:color w:val="1E293B"/>
          <w:sz w:val="21"/>
          <w:szCs w:val="21"/>
        </w:rPr>
        <w:t xml:space="preserve">This is what gets produced once, by a human, the first time IMM 5476 is imported — and then reused automatically by every case that attaches this form. Government question wording on the left (what IRCC prints), CaseDesk's plain-language label and owner on the right.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748"/>
        <w:gridCol w:w="2618"/>
        <w:gridCol w:w="2244"/>
        <w:gridCol w:w="1496"/>
        <w:gridCol w:w="2244"/>
      </w:tblGrid>
      <w:tr>
        <w:trPr>
          <w:tblHeader/>
        </w:trPr>
        <w:tc>
          <w:tcPr>
            <w:tcW w:type="pct" w:w="8%"/>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Sec.</w:t>
            </w:r>
          </w:p>
        </w:tc>
        <w:tc>
          <w:tcPr>
            <w:tcW w:type="pct" w:w="28%"/>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IRCC question</w:t>
            </w:r>
          </w:p>
        </w:tc>
        <w:tc>
          <w:tcPr>
            <w:tcW w:type="pct" w:w="24%"/>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CaseDesk label</w:t>
            </w:r>
          </w:p>
        </w:tc>
        <w:tc>
          <w:tcPr>
            <w:tcW w:type="pct" w:w="16%"/>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Owner</w:t>
            </w:r>
          </w:p>
        </w:tc>
        <w:tc>
          <w:tcPr>
            <w:tcW w:type="pct" w:w="24%"/>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Source / notes</w:t>
            </w:r>
          </w:p>
        </w:tc>
      </w:tr>
      <w:tr>
        <w:tc>
          <w:tcPr>
            <w:tcW w:type="pct" w:w="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w:t>
            </w:r>
          </w:p>
        </w:tc>
        <w:tc>
          <w:tcPr>
            <w:tcW w:type="pct" w:w="2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“I am:” (5 checkboxes)</w:t>
            </w:r>
          </w:p>
        </w:tc>
        <w:tc>
          <w:tcPr>
            <w:tcW w:type="pct" w:w="2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What are you submitting this for?</w:t>
            </w:r>
          </w:p>
        </w:tc>
        <w:tc>
          <w:tcPr>
            <w:tcW w:type="pct" w:w="1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Manual</w:t>
            </w:r>
          </w:p>
        </w:tc>
        <w:tc>
          <w:tcPr>
            <w:tcW w:type="pct" w:w="2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Drives §6 conditional logic; asked once per CaseForm, set by consultant at creation</w:t>
            </w:r>
          </w:p>
        </w:tc>
      </w:tr>
      <w:tr>
        <w:tc>
          <w:tcPr>
            <w:tcW w:type="pct" w:w="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A</w:t>
            </w:r>
          </w:p>
        </w:tc>
        <w:tc>
          <w:tcPr>
            <w:tcW w:type="pct" w:w="2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Q1 — Family name / Given name(s)</w:t>
            </w:r>
          </w:p>
        </w:tc>
        <w:tc>
          <w:tcPr>
            <w:tcW w:type="pct" w:w="24%"/>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Client's legal name</w:t>
            </w:r>
          </w:p>
        </w:tc>
        <w:tc>
          <w:tcPr>
            <w:tcW w:type="pct" w:w="1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w:t>
            </w:r>
          </w:p>
        </w:tc>
        <w:tc>
          <w:tcPr>
            <w:tcW w:type="pct" w:w="24%"/>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client.familyName / client.givenNames</w:t>
            </w:r>
          </w:p>
        </w:tc>
      </w:tr>
      <w:tr>
        <w:tc>
          <w:tcPr>
            <w:tcW w:type="pct" w:w="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A</w:t>
            </w:r>
          </w:p>
        </w:tc>
        <w:tc>
          <w:tcPr>
            <w:tcW w:type="pct" w:w="2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Q2 — Date of birth</w:t>
            </w:r>
          </w:p>
        </w:tc>
        <w:tc>
          <w:tcPr>
            <w:tcW w:type="pct" w:w="2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Date of birth</w:t>
            </w:r>
          </w:p>
        </w:tc>
        <w:tc>
          <w:tcPr>
            <w:tcW w:type="pct" w:w="1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w:t>
            </w:r>
          </w:p>
        </w:tc>
        <w:tc>
          <w:tcPr>
            <w:tcW w:type="pct" w:w="2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client.dateOfBirth</w:t>
            </w:r>
          </w:p>
        </w:tc>
      </w:tr>
      <w:tr>
        <w:tc>
          <w:tcPr>
            <w:tcW w:type="pct" w:w="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A</w:t>
            </w:r>
          </w:p>
        </w:tc>
        <w:tc>
          <w:tcPr>
            <w:tcW w:type="pct" w:w="2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Q3 — Email (or phone/address)</w:t>
            </w:r>
          </w:p>
        </w:tc>
        <w:tc>
          <w:tcPr>
            <w:tcW w:type="pct" w:w="24%"/>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Best contact info</w:t>
            </w:r>
          </w:p>
        </w:tc>
        <w:tc>
          <w:tcPr>
            <w:tcW w:type="pct" w:w="1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w:t>
            </w:r>
          </w:p>
        </w:tc>
        <w:tc>
          <w:tcPr>
            <w:tcW w:type="pct" w:w="24%"/>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client.email, fallback client.phone</w:t>
            </w:r>
          </w:p>
        </w:tc>
      </w:tr>
      <w:tr>
        <w:tc>
          <w:tcPr>
            <w:tcW w:type="pct" w:w="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A</w:t>
            </w:r>
          </w:p>
        </w:tc>
        <w:tc>
          <w:tcPr>
            <w:tcW w:type="pct" w:w="2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Q4 — Type &amp; number of application</w:t>
            </w:r>
          </w:p>
        </w:tc>
        <w:tc>
          <w:tcPr>
            <w:tcW w:type="pct" w:w="2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Application type &amp; number</w:t>
            </w:r>
          </w:p>
        </w:tc>
        <w:tc>
          <w:tcPr>
            <w:tcW w:type="pct" w:w="1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Case</w:t>
            </w:r>
          </w:p>
        </w:tc>
        <w:tc>
          <w:tcPr>
            <w:tcW w:type="pct" w:w="2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case.caseType (mapped to IRCC wording) / case.applicationNumber</w:t>
            </w:r>
          </w:p>
        </w:tc>
      </w:tr>
      <w:tr>
        <w:tc>
          <w:tcPr>
            <w:tcW w:type="pct" w:w="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A</w:t>
            </w:r>
          </w:p>
        </w:tc>
        <w:tc>
          <w:tcPr>
            <w:tcW w:type="pct" w:w="2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Q5 — UCI</w:t>
            </w:r>
          </w:p>
        </w:tc>
        <w:tc>
          <w:tcPr>
            <w:tcW w:type="pct" w:w="24%"/>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Unique Client Identifier (UCI)</w:t>
            </w:r>
          </w:p>
        </w:tc>
        <w:tc>
          <w:tcPr>
            <w:tcW w:type="pct" w:w="1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w:t>
            </w:r>
          </w:p>
        </w:tc>
        <w:tc>
          <w:tcPr>
            <w:tcW w:type="pct" w:w="24%"/>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client.uci</w:t>
            </w:r>
          </w:p>
        </w:tc>
      </w:tr>
      <w:tr>
        <w:tc>
          <w:tcPr>
            <w:tcW w:type="pct" w:w="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B</w:t>
            </w:r>
          </w:p>
        </w:tc>
        <w:tc>
          <w:tcPr>
            <w:tcW w:type="pct" w:w="2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Q6 — Representative's name</w:t>
            </w:r>
          </w:p>
        </w:tc>
        <w:tc>
          <w:tcPr>
            <w:tcW w:type="pct" w:w="2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Your name on file</w:t>
            </w:r>
          </w:p>
        </w:tc>
        <w:tc>
          <w:tcPr>
            <w:tcW w:type="pct" w:w="1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Representative</w:t>
            </w:r>
          </w:p>
        </w:tc>
        <w:tc>
          <w:tcPr>
            <w:tcW w:type="pct" w:w="2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consultant.fullName (assigned case owner)</w:t>
            </w:r>
          </w:p>
        </w:tc>
      </w:tr>
      <w:tr>
        <w:tc>
          <w:tcPr>
            <w:tcW w:type="pct" w:w="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B</w:t>
            </w:r>
          </w:p>
        </w:tc>
        <w:tc>
          <w:tcPr>
            <w:tcW w:type="pct" w:w="2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Q7 — Paid/unpaid, membership body &amp; ID</w:t>
            </w:r>
          </w:p>
        </w:tc>
        <w:tc>
          <w:tcPr>
            <w:tcW w:type="pct" w:w="24%"/>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Licensing details</w:t>
            </w:r>
          </w:p>
        </w:tc>
        <w:tc>
          <w:tcPr>
            <w:tcW w:type="pct" w:w="1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Representative</w:t>
            </w:r>
          </w:p>
        </w:tc>
        <w:tc>
          <w:tcPr>
            <w:tcW w:type="pct" w:w="24%"/>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consultantProfile.representativeType / membershipBody / membershipProvince, user.licenseNumber</w:t>
            </w:r>
          </w:p>
        </w:tc>
      </w:tr>
      <w:tr>
        <w:tc>
          <w:tcPr>
            <w:tcW w:type="pct" w:w="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B</w:t>
            </w:r>
          </w:p>
        </w:tc>
        <w:tc>
          <w:tcPr>
            <w:tcW w:type="pct" w:w="2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Q8 — Firm, mailing address, phone, fax, email</w:t>
            </w:r>
          </w:p>
        </w:tc>
        <w:tc>
          <w:tcPr>
            <w:tcW w:type="pct" w:w="2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Firm contact details</w:t>
            </w:r>
          </w:p>
        </w:tc>
        <w:tc>
          <w:tcPr>
            <w:tcW w:type="pct" w:w="1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Representative</w:t>
            </w:r>
          </w:p>
        </w:tc>
        <w:tc>
          <w:tcPr>
            <w:tcW w:type="pct" w:w="2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agency.name / address / city / province / postalCode / phone / faxNumber, user.email</w:t>
            </w:r>
          </w:p>
        </w:tc>
      </w:tr>
      <w:tr>
        <w:tc>
          <w:tcPr>
            <w:tcW w:type="pct" w:w="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B</w:t>
            </w:r>
          </w:p>
        </w:tc>
        <w:tc>
          <w:tcPr>
            <w:tcW w:type="pct" w:w="2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Q9 — Representative's declaration + date</w:t>
            </w:r>
          </w:p>
        </w:tc>
        <w:tc>
          <w:tcPr>
            <w:tcW w:type="pct" w:w="24%"/>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Your signature</w:t>
            </w:r>
          </w:p>
        </w:tc>
        <w:tc>
          <w:tcPr>
            <w:tcW w:type="pct" w:w="1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Signature</w:t>
            </w:r>
          </w:p>
        </w:tc>
        <w:tc>
          <w:tcPr>
            <w:tcW w:type="pct" w:w="24%"/>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Reuses existing e-sign capture; consultant</w:t>
            </w:r>
          </w:p>
        </w:tc>
      </w:tr>
      <w:tr>
        <w:tc>
          <w:tcPr>
            <w:tcW w:type="pct" w:w="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w:t>
            </w:r>
          </w:p>
        </w:tc>
        <w:tc>
          <w:tcPr>
            <w:tcW w:type="pct" w:w="2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Q10 — Representative being cancelled</w:t>
            </w:r>
          </w:p>
        </w:tc>
        <w:tc>
          <w:tcPr>
            <w:tcW w:type="pct" w:w="2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Representative to remove</w:t>
            </w:r>
          </w:p>
        </w:tc>
        <w:tc>
          <w:tcPr>
            <w:tcW w:type="pct" w:w="1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Manual</w:t>
            </w:r>
          </w:p>
        </w:tc>
        <w:tc>
          <w:tcPr>
            <w:tcW w:type="pct" w:w="2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Picked from case's prior CaseForm history where available, else typed</w:t>
            </w:r>
          </w:p>
        </w:tc>
      </w:tr>
      <w:tr>
        <w:tc>
          <w:tcPr>
            <w:tcW w:type="pct" w:w="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D</w:t>
            </w:r>
          </w:p>
        </w:tc>
        <w:tc>
          <w:tcPr>
            <w:tcW w:type="pct" w:w="2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Q11 — Withdrawing representative + declaration</w:t>
            </w:r>
          </w:p>
        </w:tc>
        <w:tc>
          <w:tcPr>
            <w:tcW w:type="pct" w:w="24%"/>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Withdrawal details + signature</w:t>
            </w:r>
          </w:p>
        </w:tc>
        <w:tc>
          <w:tcPr>
            <w:tcW w:type="pct" w:w="1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Manual / Signature</w:t>
            </w:r>
          </w:p>
        </w:tc>
        <w:tc>
          <w:tcPr>
            <w:tcW w:type="pct" w:w="24%"/>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Representative-entered; optional “couldn't obtain applicant signature” attestation</w:t>
            </w:r>
          </w:p>
        </w:tc>
      </w:tr>
      <w:tr>
        <w:tc>
          <w:tcPr>
            <w:tcW w:type="pct" w:w="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E</w:t>
            </w:r>
          </w:p>
        </w:tc>
        <w:tc>
          <w:tcPr>
            <w:tcW w:type="pct" w:w="2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Q12 — Applicant's (and spouse's) declaration + date</w:t>
            </w:r>
          </w:p>
        </w:tc>
        <w:tc>
          <w:tcPr>
            <w:tcW w:type="pct" w:w="2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 signature</w:t>
            </w:r>
          </w:p>
        </w:tc>
        <w:tc>
          <w:tcPr>
            <w:tcW w:type="pct" w:w="1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Signature</w:t>
            </w:r>
          </w:p>
        </w:tc>
        <w:tc>
          <w:tcPr>
            <w:tcW w:type="pct" w:w="24%"/>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Reuses existing e-sign capture; sent to client portal</w:t>
            </w:r>
          </w:p>
        </w:tc>
      </w:tr>
    </w:tbl>
    <w:p>
      <w:pPr>
        <w:spacing w:after="200"/>
      </w:pPr>
      <w:r>
        <w:rPr>
          <w:i/>
          <w:iCs/>
          <w:color w:val="64748B"/>
          <w:sz w:val="19"/>
          <w:szCs w:val="19"/>
        </w:rPr>
        <w:t xml:space="preserve">Rows shown are the full field set; the two greyed-out address sub-fields (Apt/Unit and Street No. vs. Street Name, which IRCC splits and Agency.address does not) are flagged Manual on import rather than forcing a schema split that only this one form needs — revisit if a second form wants the same split.</w:t>
      </w:r>
    </w:p>
    <w:p>
      <w:pPr>
        <w:pStyle w:val="Heading2"/>
        <w:spacing w:after="140" w:before="320"/>
      </w:pPr>
      <w:r>
        <w:rPr>
          <w:b/>
          <w:bCs/>
          <w:color w:val="7C3AED"/>
          <w:sz w:val="24"/>
          <w:szCs w:val="24"/>
        </w:rPr>
        <w:t xml:space="preserve">8. UX flow — four screens</w:t>
      </w:r>
    </w:p>
    <w:p>
      <w:pPr>
        <w:spacing w:after="100" w:before="220"/>
      </w:pPr>
      <w:r>
        <w:rPr>
          <w:b/>
          <w:bCs/>
          <w:color w:val="1E293B"/>
          <w:sz w:val="21"/>
          <w:szCs w:val="21"/>
        </w:rPr>
        <w:t xml:space="preserve">8.1 Import &amp; map (agency admin, one-time per form)</w:t>
      </w:r>
    </w:p>
    <w:p>
      <w:pPr>
        <w:spacing w:after="160" w:line="300"/>
      </w:pPr>
      <w:r>
        <w:rPr>
          <w:color w:val="1E293B"/>
          <w:sz w:val="21"/>
          <w:szCs w:val="21"/>
        </w:rPr>
        <w:t xml:space="preserve">Upload the blank IMM 5476 PDF → “Reading form…” → raw AcroForm field list appears, one row per field, each pre-populated with a best-guess label and owner (matched by field-name keywords — “email” → Client/email, “UCI” → Client/uci) at a visible confidence level. The admin confirms or corrects each row — label, section, owner, source path, fillableBy — then saves. This mapping is versioned and reused by every case from then on; nobody maps IMM 5476 twice.</w:t>
      </w:r>
    </w:p>
    <w:p>
      <w:pPr>
        <w:spacing w:after="100" w:before="220"/>
      </w:pPr>
      <w:r>
        <w:rPr>
          <w:b/>
          <w:bCs/>
          <w:color w:val="1E293B"/>
          <w:sz w:val="21"/>
          <w:szCs w:val="21"/>
        </w:rPr>
        <w:t xml:space="preserve">8.2 Case-level checklist (consultant, inside the existing case Forms area)</w:t>
      </w:r>
    </w:p>
    <w:p>
      <w:pPr>
        <w:spacing w:after="160" w:line="300"/>
      </w:pPr>
      <w:r>
        <w:rPr>
          <w:color w:val="1E293B"/>
          <w:sz w:val="21"/>
          <w:szCs w:val="21"/>
        </w:rPr>
        <w:t xml:space="preserve">Sits next to the existing “E-Sign” and “Download application” pills on the case toolbar, styled to match. Fields grouped by IMM 5476 section (only the sections §6's condition allows), each row showing: label, current value or “—”, a status pill (Auto-filled / You filled / Client filled / Missing), and the owner badge. A progress readout at the top (“9 of 13 fields complete”) rather than a percentage bar alone — counts read faster than a bar when the total is small. A “Send missing to client” button opens a compose panel (matching the existing note-composer pattern) listing only the still-missing Client-owned fields, lets the consultant deselect any, add an optional message and due date, and creates the CaseFormClientRequest.</w:t>
      </w:r>
    </w:p>
    <w:p>
      <w:pPr>
        <w:spacing w:after="100" w:before="220"/>
      </w:pPr>
      <w:r>
        <w:rPr>
          <w:b/>
          <w:bCs/>
          <w:color w:val="1E293B"/>
          <w:sz w:val="21"/>
          <w:szCs w:val="21"/>
        </w:rPr>
        <w:t xml:space="preserve">8.3 Client portal — “Complete your representative form”</w:t>
      </w:r>
    </w:p>
    <w:p>
      <w:pPr>
        <w:spacing w:after="160" w:line="300"/>
      </w:pPr>
      <w:r>
        <w:rPr>
          <w:color w:val="1E293B"/>
          <w:sz w:val="21"/>
          <w:szCs w:val="21"/>
        </w:rPr>
        <w:t xml:space="preserve">Visually modeled on the existing ClientPortalQuestionnaires screen the client already knows. Shows only the fields assigned to them, in plain language, one short screen (not a 4-page PDF replica), with a “2 of 3 answered” indicator and a single Submit action. On submit it locks (matching Questionnaire's submitted/locked behavior) and notifies the consultant through the existing portal-chat/notification channel.</w:t>
      </w:r>
    </w:p>
    <w:p>
      <w:pPr>
        <w:spacing w:after="100" w:before="220"/>
      </w:pPr>
      <w:r>
        <w:rPr>
          <w:b/>
          <w:bCs/>
          <w:color w:val="1E293B"/>
          <w:sz w:val="21"/>
          <w:szCs w:val="21"/>
        </w:rPr>
        <w:t xml:space="preserve">8.4 Generate &amp; review</w:t>
      </w:r>
    </w:p>
    <w:p>
      <w:pPr>
        <w:spacing w:after="160" w:line="300"/>
      </w:pPr>
      <w:r>
        <w:rPr>
          <w:color w:val="1E293B"/>
          <w:sz w:val="21"/>
          <w:szCs w:val="21"/>
        </w:rPr>
        <w:t xml:space="preserve">Once every required field (per §6) has a value, “Generate filled PDF” becomes available on the checklist screen. It stamps the real values into the actual PDF's form widgets — not an image overlay — so the output opens in Acrobat as a normal filled IRCC form, versions it into the existing CaseFormVersion history, and it shows up automatically in the current Download Application overlay alongside every other case form. Signature fields are inserted from the existing finger-signature capture, not typed text.</w:t>
      </w:r>
    </w:p>
    <w:p>
      <w:pPr>
        <w:pStyle w:val="Heading2"/>
        <w:spacing w:after="140" w:before="320"/>
      </w:pPr>
      <w:r>
        <w:rPr>
          <w:b/>
          <w:bCs/>
          <w:color w:val="7C3AED"/>
          <w:sz w:val="24"/>
          <w:szCs w:val="24"/>
        </w:rPr>
        <w:t xml:space="preserve">9. Phased build plan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748"/>
        <w:gridCol w:w="2431"/>
        <w:gridCol w:w="6171"/>
      </w:tblGrid>
      <w:tr>
        <w:trPr>
          <w:tblHeader/>
        </w:trPr>
        <w:tc>
          <w:tcPr>
            <w:tcW w:type="pct" w:w="8%"/>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Phase</w:t>
            </w:r>
          </w:p>
        </w:tc>
        <w:tc>
          <w:tcPr>
            <w:tcW w:type="pct" w:w="26%"/>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Scope</w:t>
            </w:r>
          </w:p>
        </w:tc>
        <w:tc>
          <w:tcPr>
            <w:tcW w:type="pct" w:w="66%"/>
            <w:shd w:fill="0F172A" w:val="clear"/>
            <w:tcMar>
              <w:top w:type="dxa" w:w="110"/>
              <w:left w:type="dxa" w:w="140"/>
              <w:bottom w:type="dxa" w:w="110"/>
              <w:right w:type="dxa" w:w="140"/>
            </w:tcMar>
            <w:vAlign w:val="center"/>
          </w:tcPr>
          <w:p>
            <w:pPr>
              <w:spacing w:after="0"/>
            </w:pPr>
            <w:r>
              <w:rPr>
                <w:b/>
                <w:bCs/>
                <w:i w:val="false"/>
                <w:iCs w:val="false"/>
                <w:color w:val="FFFFFF"/>
                <w:sz w:val="18"/>
                <w:szCs w:val="18"/>
              </w:rPr>
              <w:t xml:space="preserve">Delivers</w:t>
            </w:r>
          </w:p>
        </w:tc>
      </w:tr>
      <w:tr>
        <w:tc>
          <w:tcPr>
            <w:tcW w:type="pct" w:w="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1</w:t>
            </w:r>
          </w:p>
        </w:tc>
        <w:tc>
          <w:tcPr>
            <w:tcW w:type="pct" w:w="2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Schema</w:t>
            </w:r>
          </w:p>
        </w:tc>
        <w:tc>
          <w:tcPr>
            <w:tcW w:type="pct" w:w="6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Four new tables + Client/Case/ConsultantProfile/Agency columns above; migration; no UI yet.</w:t>
            </w:r>
          </w:p>
        </w:tc>
      </w:tr>
      <w:tr>
        <w:tc>
          <w:tcPr>
            <w:tcW w:type="pct" w:w="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2</w:t>
            </w:r>
          </w:p>
        </w:tc>
        <w:tc>
          <w:tcPr>
            <w:tcW w:type="pct" w:w="2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PDF field extraction</w:t>
            </w:r>
          </w:p>
        </w:tc>
        <w:tc>
          <w:tcPr>
            <w:tcW w:type="pct" w:w="6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Add pdf-lib (pure-JS, no native deps, already fits the Node backend); a service that opens an uploaded AcroForm PDF and returns each field's raw name, type, and page. Wired into AgencyFormTemplate upload.</w:t>
            </w:r>
          </w:p>
        </w:tc>
      </w:tr>
      <w:tr>
        <w:tc>
          <w:tcPr>
            <w:tcW w:type="pct" w:w="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3</w:t>
            </w:r>
          </w:p>
        </w:tc>
        <w:tc>
          <w:tcPr>
            <w:tcW w:type="pct" w:w="2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Import &amp; mapping UI</w:t>
            </w:r>
          </w:p>
        </w:tc>
        <w:tc>
          <w:tcPr>
            <w:tcW w:type="pct" w:w="6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Screen 8.1 — raw field list, label/owner/source assignment, whitelisted FormDataSourceRegistry resolver, save as reusable FormTemplateFieldSchema.</w:t>
            </w:r>
          </w:p>
        </w:tc>
      </w:tr>
      <w:tr>
        <w:tc>
          <w:tcPr>
            <w:tcW w:type="pct" w:w="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4</w:t>
            </w:r>
          </w:p>
        </w:tc>
        <w:tc>
          <w:tcPr>
            <w:tcW w:type="pct" w:w="2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Autofill engine + checklist UI</w:t>
            </w:r>
          </w:p>
        </w:tc>
        <w:tc>
          <w:tcPr>
            <w:tcW w:type="pct" w:w="6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Service that resolves each field's sourcePath against live case/client/consultant/agency data, writes CaseFormFieldValue with status AutoFilled, never overwrites a human-entered value; Screen 8.2 on the case toolbar.</w:t>
            </w:r>
          </w:p>
        </w:tc>
      </w:tr>
      <w:tr>
        <w:tc>
          <w:tcPr>
            <w:tcW w:type="pct" w:w="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5</w:t>
            </w:r>
          </w:p>
        </w:tc>
        <w:tc>
          <w:tcPr>
            <w:tcW w:type="pct" w:w="2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Client portal request flow</w:t>
            </w:r>
          </w:p>
        </w:tc>
        <w:tc>
          <w:tcPr>
            <w:tcW w:type="pct" w:w="6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CaseFormClientRequest model wiring, new portal-facing routes (client write access to form fields doesn't exist today — this is the first one), Screen 8.3, notification integration.</w:t>
            </w:r>
          </w:p>
        </w:tc>
      </w:tr>
      <w:tr>
        <w:tc>
          <w:tcPr>
            <w:tcW w:type="pct" w:w="8%"/>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6</w:t>
            </w:r>
          </w:p>
        </w:tc>
        <w:tc>
          <w:tcPr>
            <w:tcW w:type="pct" w:w="2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PDF generation</w:t>
            </w:r>
          </w:p>
        </w:tc>
        <w:tc>
          <w:tcPr>
            <w:tcW w:type="pct" w:w="66%"/>
            <w:shd w:fill="F8FAFC" w:val="clear"/>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pdfFormRenderService stamps CaseFormFieldValue rows into the real PDF widgets, reuses existing e-sign capture for signature fields, versions the output into CaseFormVersion; Screen 8.4.</w:t>
            </w:r>
          </w:p>
        </w:tc>
      </w:tr>
      <w:tr>
        <w:tc>
          <w:tcPr>
            <w:tcW w:type="pct" w:w="8%"/>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7 (stretch)</w:t>
            </w:r>
          </w:p>
        </w:tc>
        <w:tc>
          <w:tcPr>
            <w:tcW w:type="pct" w:w="2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Conditional logic + second form</w:t>
            </w:r>
          </w:p>
        </w:tc>
        <w:tc>
          <w:tcPr>
            <w:tcW w:type="pct" w:w="66%"/>
            <w:tcMar>
              <w:top w:type="dxa" w:w="110"/>
              <w:left w:type="dxa" w:w="140"/>
              <w:bottom w:type="dxa" w:w="110"/>
              <w:right w:type="dxa" w:w="140"/>
            </w:tcMar>
            <w:vAlign w:val="center"/>
          </w:tcPr>
          <w:p>
            <w:pPr>
              <w:spacing w:after="0"/>
            </w:pPr>
            <w:r>
              <w:rPr>
                <w:b w:val="false"/>
                <w:bCs w:val="false"/>
                <w:i w:val="false"/>
                <w:iCs w:val="false"/>
                <w:color w:val="1E293B"/>
                <w:sz w:val="18"/>
                <w:szCs w:val="18"/>
              </w:rPr>
              <w:t xml:space="preserve">Wire the §6 condition evaluator fully into both the checklist and completeness checks; import one more IRCC form (e.g. IMM 5257 or a client-supplied one) using only the Phase 3 mapping UI, with zero new code, as the proof this is actually generic and not IMM-5476-shaped.</w:t>
            </w:r>
          </w:p>
        </w:tc>
      </w:tr>
    </w:tbl>
    <w:p>
      <w:pPr>
        <w:pStyle w:val="Heading2"/>
        <w:spacing w:after="140" w:before="320"/>
      </w:pPr>
      <w:r>
        <w:rPr>
          <w:b/>
          <w:bCs/>
          <w:color w:val="7C3AED"/>
          <w:sz w:val="24"/>
          <w:szCs w:val="24"/>
        </w:rPr>
        <w:t xml:space="preserve">10. Open questions before Phase 1 starts</w:t>
      </w:r>
    </w:p>
    <w:p>
      <w:pPr>
        <w:pStyle w:val="ListParagraph"/>
        <w:numPr>
          <w:ilvl w:val="0"/>
          <w:numId w:val="3"/>
        </w:numPr>
        <w:spacing w:after="90" w:line="280"/>
      </w:pPr>
      <w:r>
        <w:rPr>
          <w:color w:val="1E293B"/>
          <w:sz w:val="21"/>
          <w:szCs w:val="21"/>
        </w:rPr>
        <w:t xml:space="preserve">Multiple applicants per case: IMM 5476 explicitly covers dependent children 18+ needing their own copy. Today ImmigrationProfile models dependents loosely. Confirm whether Phase 1 needs a CaseForm-per-applicant concept, or whether that's deferred until a real multi-applicant case needs it.</w:t>
      </w:r>
    </w:p>
    <w:p>
      <w:pPr>
        <w:pStyle w:val="ListParagraph"/>
        <w:numPr>
          <w:ilvl w:val="0"/>
          <w:numId w:val="3"/>
        </w:numPr>
        <w:spacing w:after="90" w:line="280"/>
      </w:pPr>
      <w:r>
        <w:rPr>
          <w:color w:val="1E293B"/>
          <w:sz w:val="21"/>
          <w:szCs w:val="21"/>
        </w:rPr>
        <w:t xml:space="preserve">Representative identity: is “representative” always the case's assigned consultant, or can an agency want the CaseDesk-registered owner (Agency.owner*) to appear instead on some forms? Affects whether Screen 8.1's Representative source defaults to consultant.* or is chosen per template.</w:t>
      </w:r>
    </w:p>
    <w:p>
      <w:pPr>
        <w:pStyle w:val="ListParagraph"/>
        <w:numPr>
          <w:ilvl w:val="0"/>
          <w:numId w:val="3"/>
        </w:numPr>
        <w:spacing w:after="90" w:line="280"/>
      </w:pPr>
      <w:r>
        <w:rPr>
          <w:color w:val="1E293B"/>
          <w:sz w:val="21"/>
          <w:szCs w:val="21"/>
        </w:rPr>
        <w:t xml:space="preserve">Agency mailing address granularity: Agency.address is one free-text field; IMM 5476 wants Apt/Unit, Street No., and Street Name split out. Proposed for now: Manual entry for just those two sub-fields rather than restructuring Agency's address (see §7 footnote) — confirm that's acceptable.</w:t>
      </w:r>
    </w:p>
    <w:p>
      <w:pPr>
        <w:pStyle w:val="ListParagraph"/>
        <w:numPr>
          <w:ilvl w:val="0"/>
          <w:numId w:val="3"/>
        </w:numPr>
        <w:spacing w:after="90" w:line="280"/>
      </w:pPr>
      <w:r>
        <w:rPr>
          <w:color w:val="1E293B"/>
          <w:sz w:val="21"/>
          <w:szCs w:val="21"/>
        </w:rPr>
        <w:t xml:space="preserve">PDF library choice: pdf-lib is proposed (pure JS, MIT license, already the standard choice for Node AcroForm read/write, no native binary dependency to deploy). Flag now if there's a reason to prefer something else.</w:t>
      </w:r>
    </w:p>
    <w:p>
      <w:pPr>
        <w:spacing w:after="160" w:line="300"/>
      </w:pPr>
      <w:r>
        <w:rPr>
          <w:color w:val="1E293B"/>
          <w:sz w:val="21"/>
          <w:szCs w:val="21"/>
        </w:rPr>
        <w:t xml:space="preserve"/>
      </w:r>
    </w:p>
    <w:p>
      <w:pPr>
        <w:spacing w:after="200"/>
      </w:pPr>
      <w:r>
        <w:rPr>
          <w:i/>
          <w:iCs/>
          <w:color w:val="64748B"/>
          <w:sz w:val="19"/>
          <w:szCs w:val="19"/>
        </w:rPr>
        <w:t xml:space="preserve">This document defines the design; no schema or code changes have been made yet. Say go once you've reviewed §10, and Phase 1 starts from there.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2026-08-13T19:25:45.443Z</dcterms:created>
  <dcterms:modified xsi:type="dcterms:W3CDTF">2026-08-13T19:25:45.443Z</dcterms:modified>
</cp:coreProperties>
</file>

<file path=docProps/custom.xml><?xml version="1.0" encoding="utf-8"?>
<Properties xmlns="http://schemas.openxmlformats.org/officeDocument/2006/custom-properties" xmlns:vt="http://schemas.openxmlformats.org/officeDocument/2006/docPropsVTypes"/>
</file>