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rFonts w:ascii="Calibri" w:cs="Calibri" w:eastAsia="Calibri" w:hAnsi="Calibri"/>
          <w:b/>
          <w:bCs/>
          <w:color w:val="2E6E5E"/>
          <w:sz w:val="20"/>
          <w:szCs w:val="20"/>
        </w:rPr>
        <w:t xml:space="preserve">CHK IMMIGRATION · CASEDESK</w:t>
      </w:r>
    </w:p>
    <w:p>
      <w:r>
        <w:rPr>
          <w:rFonts w:ascii="Calibri" w:cs="Calibri" w:eastAsia="Calibri" w:hAnsi="Calibri"/>
          <w:b/>
          <w:bCs/>
          <w:color w:val="111827"/>
          <w:sz w:val="56"/>
          <w:szCs w:val="56"/>
        </w:rPr>
        <w:t xml:space="preserve">Billing &amp; Retainer</w:t>
      </w:r>
    </w:p>
    <w:p>
      <w:pPr>
        <w:spacing w:after="260"/>
      </w:pPr>
      <w:r>
        <w:rPr>
          <w:rFonts w:ascii="Calibri" w:cs="Calibri" w:eastAsia="Calibri" w:hAnsi="Calibri"/>
          <w:b/>
          <w:bCs/>
          <w:color w:val="1F3A5F"/>
          <w:sz w:val="56"/>
          <w:szCs w:val="56"/>
        </w:rPr>
        <w:t xml:space="preserve">Implementation Plan</w:t>
      </w:r>
    </w:p>
    <w:p>
      <w:pPr>
        <w:spacing w:after="900"/>
      </w:pPr>
      <w:r>
        <w:rPr>
          <w:rFonts w:ascii="Calibri" w:cs="Calibri" w:eastAsia="Calibri" w:hAnsi="Calibri"/>
          <w:color w:val="5B6472"/>
          <w:sz w:val="24"/>
          <w:szCs w:val="24"/>
        </w:rPr>
        <w:t xml:space="preserve">A build-ready plan for the new system-assigned-template retainer e-signature flow, agency auto-countersignature, Ontario HST, and a streamlined Billing tab — grounded in the payment, template, and e-signature infrastructure that already exists in CaseDesk today.</w:t>
      </w:r>
    </w:p>
    <w:tbl>
      <w:tblPr>
        <w:tblW w:type="dxa" w:w="9350"/>
        <w:tblBorders>
          <w:top w:val="single" w:color="D9DEE7" w:sz="2"/>
          <w:left w:val="none"/>
          <w:bottom w:val="single" w:color="D9DEE7" w:sz="2"/>
          <w:right w:val="none"/>
          <w:insideH w:val="single" w:color="D9DEE7" w:sz="2"/>
          <w:insideV w:val="single" w:color="D9DEE7" w:sz="2"/>
        </w:tblBorders>
      </w:tblPr>
      <w:tblGrid>
        <w:gridCol w:w="3116"/>
        <w:gridCol w:w="3117"/>
        <w:gridCol w:w="3117"/>
      </w:tblGrid>
      <w:tr>
        <w:tc>
          <w:tcPr>
            <w:tcW w:type="dxa" w:w="3117"/>
            <w:tcMar>
              <w:top w:type="dxa" w:w="200"/>
              <w:left w:type="dxa" w:w="100"/>
              <w:bottom w:type="dxa" w:w="200"/>
              <w:right w:type="dxa" w:w="100"/>
            </w:tcMar>
          </w:tcPr>
          <w:p>
            <w:pPr>
              <w:jc w:val="center"/>
            </w:pPr>
            <w:r>
              <w:rPr>
                <w:rFonts w:ascii="Calibri" w:cs="Calibri" w:eastAsia="Calibri" w:hAnsi="Calibri"/>
                <w:b/>
                <w:bCs/>
                <w:color w:val="1F3A5F"/>
                <w:sz w:val="40"/>
                <w:szCs w:val="40"/>
              </w:rPr>
              <w:t xml:space="preserve">8</w:t>
            </w:r>
          </w:p>
          <w:p>
            <w:pPr>
              <w:jc w:val="center"/>
            </w:pPr>
            <w:r>
              <w:rPr>
                <w:rFonts w:ascii="Calibri" w:cs="Calibri" w:eastAsia="Calibri" w:hAnsi="Calibri"/>
                <w:color w:val="5B6472"/>
                <w:sz w:val="18"/>
                <w:szCs w:val="18"/>
              </w:rPr>
              <w:t xml:space="preserve">phases</w:t>
            </w:r>
          </w:p>
        </w:tc>
        <w:tc>
          <w:tcPr>
            <w:tcW w:type="dxa" w:w="3117"/>
            <w:tcMar>
              <w:top w:type="dxa" w:w="200"/>
              <w:left w:type="dxa" w:w="100"/>
              <w:bottom w:type="dxa" w:w="200"/>
              <w:right w:type="dxa" w:w="100"/>
            </w:tcMar>
          </w:tcPr>
          <w:p>
            <w:pPr>
              <w:jc w:val="center"/>
            </w:pPr>
            <w:r>
              <w:rPr>
                <w:rFonts w:ascii="Calibri" w:cs="Calibri" w:eastAsia="Calibri" w:hAnsi="Calibri"/>
                <w:b/>
                <w:bCs/>
                <w:color w:val="1F3A5F"/>
                <w:sz w:val="40"/>
                <w:szCs w:val="40"/>
              </w:rPr>
              <w:t xml:space="preserve">11</w:t>
            </w:r>
          </w:p>
          <w:p>
            <w:pPr>
              <w:jc w:val="center"/>
            </w:pPr>
            <w:r>
              <w:rPr>
                <w:rFonts w:ascii="Calibri" w:cs="Calibri" w:eastAsia="Calibri" w:hAnsi="Calibri"/>
                <w:color w:val="5B6472"/>
                <w:sz w:val="18"/>
                <w:szCs w:val="18"/>
              </w:rPr>
              <w:t xml:space="preserve">concrete fixes</w:t>
            </w:r>
          </w:p>
        </w:tc>
        <w:tc>
          <w:tcPr>
            <w:tcW w:type="dxa" w:w="3117"/>
            <w:tcMar>
              <w:top w:type="dxa" w:w="200"/>
              <w:left w:type="dxa" w:w="100"/>
              <w:bottom w:type="dxa" w:w="200"/>
              <w:right w:type="dxa" w:w="100"/>
            </w:tcMar>
          </w:tcPr>
          <w:p>
            <w:pPr>
              <w:jc w:val="center"/>
            </w:pPr>
            <w:r>
              <w:rPr>
                <w:rFonts w:ascii="Calibri" w:cs="Calibri" w:eastAsia="Calibri" w:hAnsi="Calibri"/>
                <w:b/>
                <w:bCs/>
                <w:color w:val="1F3A5F"/>
                <w:sz w:val="40"/>
                <w:szCs w:val="40"/>
              </w:rPr>
              <w:t xml:space="preserve">16</w:t>
            </w:r>
          </w:p>
          <w:p>
            <w:pPr>
              <w:jc w:val="center"/>
            </w:pPr>
            <w:r>
              <w:rPr>
                <w:rFonts w:ascii="Calibri" w:cs="Calibri" w:eastAsia="Calibri" w:hAnsi="Calibri"/>
                <w:color w:val="5B6472"/>
                <w:sz w:val="18"/>
                <w:szCs w:val="18"/>
              </w:rPr>
              <w:t xml:space="preserve">seeded fee templates</w:t>
            </w:r>
          </w:p>
        </w:tc>
      </w:tr>
    </w:tbl>
    <w:p>
      <w:pPr>
        <w:spacing w:after="900"/>
      </w:pPr>
    </w:p>
    <w:p>
      <w:r>
        <w:rPr>
          <w:rFonts w:ascii="Calibri" w:cs="Calibri" w:eastAsia="Calibri" w:hAnsi="Calibri"/>
          <w:i/>
          <w:iCs/>
          <w:color w:val="5B6472"/>
          <w:sz w:val="19"/>
          <w:szCs w:val="19"/>
        </w:rPr>
        <w:t xml:space="preserve">Prepared from a direct read of the CaseDesk repository — every model, function, and component below was verified against the current codebase, not assumed from the audit description alone.</w:t>
      </w:r>
    </w:p>
    <w:p>
      <w:pPr>
        <w:spacing w:after="200"/>
      </w:pPr>
      <w:r>
        <w:rPr>
          <w:rFonts w:ascii="Calibri" w:cs="Calibri" w:eastAsia="Calibri" w:hAnsi="Calibri"/>
          <w:i/>
          <w:iCs/>
          <w:color w:val="5B6472"/>
          <w:sz w:val="19"/>
          <w:szCs w:val="19"/>
        </w:rPr>
        <w:t xml:space="preserve">No files were changed while preparing this plan.</w:t>
      </w:r>
    </w:p>
    <w:p>
      <w:pPr>
        <w:pageBreakBefore/>
      </w:pPr>
      <w:r>
        <w:rPr>
          <w:color w:val="FFFFFF"/>
          <w:sz w:val="2"/>
          <w:szCs w:val="2"/>
        </w:rPr>
        <w:t xml:space="preserve">PageBreakHere</w:t>
      </w:r>
    </w:p>
    <w:p>
      <w:pPr>
        <w:pStyle w:val="Heading1"/>
        <w:pBdr>
          <w:bottom w:val="single" w:color="1F3A5F" w:sz="8" w:space="4"/>
        </w:pBdr>
        <w:spacing w:after="220" w:before="480"/>
      </w:pPr>
      <w:r>
        <w:rPr>
          <w:rFonts w:ascii="Calibri" w:cs="Calibri" w:eastAsia="Calibri" w:hAnsi="Calibri"/>
          <w:b/>
          <w:bCs/>
          <w:color w:val="1F3A5F"/>
          <w:sz w:val="34"/>
          <w:szCs w:val="34"/>
        </w:rPr>
        <w:t xml:space="preserve">How to use this plan</w:t>
      </w:r>
    </w:p>
    <w:p>
      <w:pPr>
        <w:spacing w:after="140"/>
      </w:pPr>
      <w:r>
        <w:rPr>
          <w:rFonts w:ascii="Calibri" w:cs="Calibri" w:eastAsia="Calibri" w:hAnsi="Calibri"/>
          <w:sz w:val="21"/>
          <w:szCs w:val="21"/>
        </w:rPr>
        <w:t xml:space="preserve">This plan is bigger than it looks in code terms, but smaller than it looks in feature terms — most of the underlying machinery (payment schedules, fee categories, QuickBooks invoicing, cash/e-transfer recording, correspondence templates with case-type matching, and finger-signature capture with consent) already exists in CaseDesk and is verified in this document by exact file, function, and line reference. What's genuinely new is: connecting these systems to each other, Ontario HST, the one stored agency signature, the approval gate, and a Billing tab that presents all of this as one flow instead of several unrelated ones.</w:t>
      </w:r>
    </w:p>
    <w:p>
      <w:pPr>
        <w:spacing w:after="140"/>
      </w:pPr>
      <w:r>
        <w:rPr>
          <w:rFonts w:ascii="Calibri" w:cs="Calibri" w:eastAsia="Calibri" w:hAnsi="Calibri"/>
          <w:sz w:val="21"/>
          <w:szCs w:val="21"/>
        </w:rPr>
        <w:t xml:space="preserve">Build in phase order. Phase 1 (schema + seed data) has to land first since every later phase reads from it. Phases 2–6 are independent of each other and can be split across people once Phase 1 is done. Phase 7 (the UI declutter) should be last, once every card and status it composes actually exists.</w:t>
      </w:r>
    </w:p>
    <w:tbl>
      <w:tblPr>
        <w:tblW w:type="dxa" w:w="9350"/>
        <w:tblBorders>
          <w:top w:val="single" w:color="1F3A5F" w:sz="4"/>
          <w:left w:val="single" w:color="1F3A5F" w:sz="24"/>
          <w:bottom w:val="single" w:color="1F3A5F" w:sz="4"/>
          <w:right w:val="single" w:color="1F3A5F" w:sz="4"/>
          <w:insideH w:val="single" w:color="auto" w:sz="4"/>
          <w:insideV w:val="single" w:color="auto" w:sz="4"/>
        </w:tblBorders>
      </w:tblPr>
      <w:tblGrid>
        <w:gridCol w:w="9350"/>
      </w:tblGrid>
      <w:tr>
        <w:tc>
          <w:tcPr>
            <w:tcW w:type="dxa" w:w="9350"/>
            <w:shd w:fill="F7F5EF" w:val="clear"/>
            <w:tcMar>
              <w:top w:type="dxa" w:w="160"/>
              <w:left w:type="dxa" w:w="220"/>
              <w:bottom w:type="dxa" w:w="160"/>
              <w:right w:type="dxa" w:w="220"/>
            </w:tcMar>
          </w:tcPr>
          <w:p>
            <w:pPr>
              <w:spacing w:after="60"/>
            </w:pPr>
            <w:r>
              <w:rPr>
                <w:rFonts w:ascii="Calibri" w:cs="Calibri" w:eastAsia="Calibri" w:hAnsi="Calibri"/>
                <w:b/>
                <w:bCs/>
                <w:color w:val="1F2937"/>
                <w:sz w:val="21"/>
                <w:szCs w:val="21"/>
              </w:rPr>
              <w:t xml:space="preserve">Three decisions already made, so the plan below doesn't re-litigate them</w:t>
            </w:r>
          </w:p>
          <w:p>
            <w:pPr>
              <w:spacing w:after="0"/>
            </w:pPr>
            <w:r>
              <w:rPr>
                <w:rFonts w:ascii="Calibri" w:cs="Calibri" w:eastAsia="Calibri" w:hAnsi="Calibri"/>
                <w:sz w:val="21"/>
                <w:szCs w:val="21"/>
              </w:rPr>
              <w:t xml:space="preserve">Tax applies to professional and consultation fee lines only — never to government disbursements or biometrics, matching standard practice for pass-through IRCC fees. </w:t>
            </w:r>
            <w:r>
              <w:rPr>
                <w:rFonts w:ascii="Calibri" w:cs="Calibri" w:eastAsia="Calibri" w:hAnsi="Calibri"/>
                <w:sz w:val="21"/>
                <w:szCs w:val="21"/>
              </w:rPr>
              <w:t xml:space="preserve">The auto-countersignature uses one single agency-wide signature stored in Settings, not a signature per admin. </w:t>
            </w:r>
            <w:r>
              <w:rPr>
                <w:rFonts w:ascii="Calibri" w:cs="Calibri" w:eastAsia="Calibri" w:hAnsi="Calibri"/>
                <w:sz w:val="21"/>
                <w:szCs w:val="21"/>
              </w:rPr>
              <w:t xml:space="preserve">Retainer status is embedded directly in the Billing tab, not kept on the separate Agreements &amp; Letters tab — Billing becomes the one place a case's money and its retainer both live.</w:t>
            </w:r>
          </w:p>
        </w:tc>
      </w:tr>
    </w:tbl>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1 — Schema and seed-data foundation</w:t>
      </w:r>
    </w:p>
    <w:p>
      <w:pPr>
        <w:spacing w:after="140"/>
      </w:pPr>
      <w:r>
        <w:rPr>
          <w:rFonts w:ascii="Calibri" w:cs="Calibri" w:eastAsia="Calibri" w:hAnsi="Calibri"/>
          <w:i/>
          <w:iCs/>
          <w:color w:val="5B6472"/>
          <w:sz w:val="21"/>
          <w:szCs w:val="21"/>
        </w:rPr>
        <w:t xml:space="preserve">Give payment templates the same forgiving case-type matching Agreement templates already have, and seed the agency's 16 fee schedules.</w:t>
      </w:r>
    </w:p>
    <w:p>
      <w:pPr>
        <w:pStyle w:val="Heading2"/>
        <w:spacing w:after="140" w:before="380"/>
      </w:pPr>
      <w:r>
        <w:rPr>
          <w:rFonts w:ascii="Calibri" w:cs="Calibri" w:eastAsia="Calibri" w:hAnsi="Calibri"/>
          <w:b/>
          <w:bCs/>
          <w:color w:val="111827"/>
          <w:sz w:val="27"/>
          <w:szCs w:val="27"/>
        </w:rPr>
        <w:t xml:space="preserve">Fix 1.1: Extend PaymentScheduleTemplate for case-type matching and taxability, and add the single agency signature</w:t>
      </w:r>
      <w:r>
        <w:t xml:space="preserve">   </w:t>
      </w:r>
      <w:r>
        <w:rPr>
          <w:rFonts w:ascii="Calibri" w:cs="Calibri" w:eastAsia="Calibri" w:hAnsi="Calibri"/>
          <w:b/>
          <w:bCs/>
          <w:color w:val="FFFFFF"/>
          <w:sz w:val="17"/>
          <w:szCs w:val="17"/>
          <w:shd w:fill="B3261E" w:val="clear"/>
        </w:rPr>
        <w:t xml:space="preserve">CRITICAL</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schema.prisma:809-838 (PaymentScheduleTemplate/PaymentScheduleTemplateInstallment) · schema.prisma:2806-2835 (CorrespondenceTemplate already has caseTags/isSystemDefault — the pattern this reuses) · paymentScheduleService.js:51-57 (listScheduleTemplates matches caseType by exact string equality) · CasePaymentScheduleWorkspace.jsx:109-118 (TemplatePicker calls getScheduleTemplates(caseType) with that same exact-match filter)</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Two systems already solve "pick the right template for this case" completely differently. CorrespondenceTemplate (retainer content) matches by caseTags — an array of free-text tags resolved with templateMatchesCase()'s substring/alias fallback (correspondenceTemplateService.js:98-102), the same forgiving logic normalizeCaseType()/resolveCaseTypeKey() already use for workflow templates. PaymentScheduleTemplate (fee schedules), by contrast, requires the case's caseType field to equal the template's caseType string exactly. Case.caseType is free text with no enforced vocabulary (case-information/caseTypeCatalog.js's own comment: "agencies can type anything"), so a case typed as "SOWP Extension" would never match a template saved as "Spousal Open Work Permit Extension" today. The 16 fee templates this plan seeds (Fix 1.2) need the same forgiving match CorrespondenceTemplate already has, not a second, stricter system living one file away. Separately, there is nowhere in the schema to store the one drawn agency signature image used to auto-countersign a retainer (Fix 6.1), and no column anywhere marks a fee line item as government/disbursement (non-taxable) versus professional/consultation (taxable) beyond the already-existing AgencyFeeCategory.kind field, which the tax calculation in Phase 2 needs to read directly rather than duplicate.</w:t>
      </w:r>
    </w:p>
    <w:p>
      <w:pPr>
        <w:spacing w:after="90" w:before="220"/>
      </w:pPr>
      <w:r>
        <w:rPr>
          <w:rFonts w:ascii="Calibri" w:cs="Calibri" w:eastAsia="Calibri" w:hAnsi="Calibri"/>
          <w:b/>
          <w:bCs/>
          <w:color w:val="1F3A5F"/>
          <w:sz w:val="22"/>
          <w:szCs w:val="22"/>
        </w:rPr>
        <w:t xml:space="preserve">1. Schema changes (backend/prisma/schema.prisma)</w:t>
      </w:r>
    </w:p>
    <w:p>
      <w:pPr>
        <w:pStyle w:val="ListParagraph"/>
        <w:numPr>
          <w:ilvl w:val="0"/>
          <w:numId w:val="2"/>
        </w:numPr>
        <w:spacing w:after="80"/>
      </w:pPr>
      <w:r>
        <w:rPr>
          <w:rFonts w:ascii="Calibri" w:cs="Calibri" w:eastAsia="Calibri" w:hAnsi="Calibri"/>
          <w:sz w:val="21"/>
          <w:szCs w:val="21"/>
        </w:rPr>
        <w:t xml:space="preserve">Add to </w:t>
      </w:r>
      <w:r>
        <w:rPr>
          <w:rFonts w:ascii="Consolas" w:cs="Consolas" w:eastAsia="Consolas" w:hAnsi="Consolas"/>
          <w:color w:val="1F3A5F"/>
          <w:sz w:val="19"/>
          <w:szCs w:val="19"/>
        </w:rPr>
        <w:t xml:space="preserve">PaymentScheduleTemplate</w:t>
      </w:r>
      <w:r>
        <w:rPr>
          <w:rFonts w:ascii="Calibri" w:cs="Calibri" w:eastAsia="Calibri" w:hAnsi="Calibri"/>
          <w:sz w:val="21"/>
          <w:szCs w:val="21"/>
        </w:rPr>
        <w:t xml:space="preserve"> (schema.prisma:809): </w:t>
      </w:r>
      <w:r>
        <w:rPr>
          <w:rFonts w:ascii="Consolas" w:cs="Consolas" w:eastAsia="Consolas" w:hAnsi="Consolas"/>
          <w:color w:val="1F3A5F"/>
          <w:sz w:val="19"/>
          <w:szCs w:val="19"/>
        </w:rPr>
        <w:t xml:space="preserve">caseTags String[] @default([]) @map("case_tags")</w:t>
      </w:r>
      <w:r>
        <w:rPr>
          <w:rFonts w:ascii="Calibri" w:cs="Calibri" w:eastAsia="Calibri" w:hAnsi="Calibri"/>
          <w:sz w:val="21"/>
          <w:szCs w:val="21"/>
        </w:rPr>
        <w:t xml:space="preserve"> and </w:t>
      </w:r>
      <w:r>
        <w:rPr>
          <w:rFonts w:ascii="Consolas" w:cs="Consolas" w:eastAsia="Consolas" w:hAnsi="Consolas"/>
          <w:color w:val="1F3A5F"/>
          <w:sz w:val="19"/>
          <w:szCs w:val="19"/>
        </w:rPr>
        <w:t xml:space="preserve">isSystemDefault Boolean @default(false) @map("is_system_default")</w:t>
      </w:r>
      <w:r>
        <w:rPr>
          <w:rFonts w:ascii="Calibri" w:cs="Calibri" w:eastAsia="Calibri" w:hAnsi="Calibri"/>
          <w:sz w:val="21"/>
          <w:szCs w:val="21"/>
        </w:rPr>
        <w:t xml:space="preserve"> — same field names and semantics as </w:t>
      </w:r>
      <w:r>
        <w:rPr>
          <w:rFonts w:ascii="Consolas" w:cs="Consolas" w:eastAsia="Consolas" w:hAnsi="Consolas"/>
          <w:color w:val="1F3A5F"/>
          <w:sz w:val="19"/>
          <w:szCs w:val="19"/>
        </w:rPr>
        <w:t xml:space="preserve">CorrespondenceTemplate</w:t>
      </w:r>
      <w:r>
        <w:rPr>
          <w:rFonts w:ascii="Calibri" w:cs="Calibri" w:eastAsia="Calibri" w:hAnsi="Calibri"/>
          <w:sz w:val="21"/>
          <w:szCs w:val="21"/>
        </w:rPr>
        <w:t xml:space="preserve">, deliberately, so both template pickers can eventually share one resolver. Keep the existing </w:t>
      </w:r>
      <w:r>
        <w:rPr>
          <w:rFonts w:ascii="Consolas" w:cs="Consolas" w:eastAsia="Consolas" w:hAnsi="Consolas"/>
          <w:color w:val="1F3A5F"/>
          <w:sz w:val="19"/>
          <w:szCs w:val="19"/>
        </w:rPr>
        <w:t xml:space="preserve">caseType</w:t>
      </w:r>
      <w:r>
        <w:rPr>
          <w:rFonts w:ascii="Calibri" w:cs="Calibri" w:eastAsia="Calibri" w:hAnsi="Calibri"/>
          <w:sz w:val="21"/>
          <w:szCs w:val="21"/>
        </w:rPr>
        <w:t xml:space="preserve"> column as the template's human-readable display name (it already doubles as that in the settings UI) rather than dropping it.</w:t>
      </w:r>
    </w:p>
    <w:p>
      <w:pPr>
        <w:pStyle w:val="ListParagraph"/>
        <w:numPr>
          <w:ilvl w:val="0"/>
          <w:numId w:val="2"/>
        </w:numPr>
        <w:spacing w:after="80"/>
      </w:pPr>
      <w:r>
        <w:rPr>
          <w:rFonts w:ascii="Calibri" w:cs="Calibri" w:eastAsia="Calibri" w:hAnsi="Calibri"/>
          <w:sz w:val="21"/>
          <w:szCs w:val="21"/>
        </w:rPr>
        <w:t xml:space="preserve">Add a new </w:t>
      </w:r>
      <w:r>
        <w:rPr>
          <w:rFonts w:ascii="Consolas" w:cs="Consolas" w:eastAsia="Consolas" w:hAnsi="Consolas"/>
          <w:color w:val="1F3A5F"/>
          <w:sz w:val="19"/>
          <w:szCs w:val="19"/>
        </w:rPr>
        <w:t xml:space="preserve">AgencyBillingSettings</w:t>
      </w:r>
      <w:r>
        <w:rPr>
          <w:rFonts w:ascii="Calibri" w:cs="Calibri" w:eastAsia="Calibri" w:hAnsi="Calibri"/>
          <w:sz w:val="21"/>
          <w:szCs w:val="21"/>
        </w:rPr>
        <w:t xml:space="preserve"> model: </w:t>
      </w:r>
      <w:r>
        <w:rPr>
          <w:rFonts w:ascii="Consolas" w:cs="Consolas" w:eastAsia="Consolas" w:hAnsi="Consolas"/>
          <w:color w:val="1F3A5F"/>
          <w:sz w:val="19"/>
          <w:szCs w:val="19"/>
        </w:rPr>
        <w:t xml:space="preserve">id, agencyId @unique, taxRatePercent Decimal @default(13.0), taxRegisteredName String?, taxNumber String?, retainerSignatureImage String?, retainerSignatureUpdatedAt DateTime?, retainerSignatureUpdatedById String?, createdAt, updatedAt</w:t>
      </w:r>
      <w:r>
        <w:rPr>
          <w:rFonts w:ascii="Calibri" w:cs="Calibri" w:eastAsia="Calibri" w:hAnsi="Calibri"/>
          <w:sz w:val="21"/>
          <w:szCs w:val="21"/>
        </w:rPr>
        <w:t xml:space="preserve">. One row per agency, mirroring </w:t>
      </w:r>
      <w:r>
        <w:rPr>
          <w:rFonts w:ascii="Consolas" w:cs="Consolas" w:eastAsia="Consolas" w:hAnsi="Consolas"/>
          <w:color w:val="1F3A5F"/>
          <w:sz w:val="19"/>
          <w:szCs w:val="19"/>
        </w:rPr>
        <w:t xml:space="preserve">AgencyQuickBooksSettings</w:t>
      </w:r>
      <w:r>
        <w:rPr>
          <w:rFonts w:ascii="Calibri" w:cs="Calibri" w:eastAsia="Calibri" w:hAnsi="Calibri"/>
          <w:sz w:val="21"/>
          <w:szCs w:val="21"/>
        </w:rPr>
        <w:t xml:space="preserve">'s shape. </w:t>
      </w:r>
      <w:r>
        <w:rPr>
          <w:rFonts w:ascii="Consolas" w:cs="Consolas" w:eastAsia="Consolas" w:hAnsi="Consolas"/>
          <w:color w:val="1F3A5F"/>
          <w:sz w:val="19"/>
          <w:szCs w:val="19"/>
        </w:rPr>
        <w:t xml:space="preserve">retainerSignatureImage</w:t>
      </w:r>
      <w:r>
        <w:rPr>
          <w:rFonts w:ascii="Calibri" w:cs="Calibri" w:eastAsia="Calibri" w:hAnsi="Calibri"/>
          <w:sz w:val="21"/>
          <w:szCs w:val="21"/>
        </w:rPr>
        <w:t xml:space="preserve"> stores the same base64/data-URL PNG format </w:t>
      </w:r>
      <w:r>
        <w:rPr>
          <w:rFonts w:ascii="Consolas" w:cs="Consolas" w:eastAsia="Consolas" w:hAnsi="Consolas"/>
          <w:color w:val="1F3A5F"/>
          <w:sz w:val="19"/>
          <w:szCs w:val="19"/>
        </w:rPr>
        <w:t xml:space="preserve">drawnSignatureImage()</w:t>
      </w:r>
      <w:r>
        <w:rPr>
          <w:rFonts w:ascii="Calibri" w:cs="Calibri" w:eastAsia="Calibri" w:hAnsi="Calibri"/>
          <w:sz w:val="21"/>
          <w:szCs w:val="21"/>
        </w:rPr>
        <w:t xml:space="preserve"> (clientPortalController.js) already validates for client signatures — reuse that validator rather than writing a second one.</w:t>
      </w:r>
    </w:p>
    <w:p>
      <w:pPr>
        <w:pStyle w:val="ListParagraph"/>
        <w:numPr>
          <w:ilvl w:val="0"/>
          <w:numId w:val="2"/>
        </w:numPr>
        <w:spacing w:after="80"/>
      </w:pPr>
      <w:r>
        <w:rPr>
          <w:rFonts w:ascii="Calibri" w:cs="Calibri" w:eastAsia="Calibri" w:hAnsi="Calibri"/>
          <w:sz w:val="21"/>
          <w:szCs w:val="21"/>
        </w:rPr>
        <w:t xml:space="preserve">No column changes needed on </w:t>
      </w:r>
      <w:r>
        <w:rPr>
          <w:rFonts w:ascii="Consolas" w:cs="Consolas" w:eastAsia="Consolas" w:hAnsi="Consolas"/>
          <w:color w:val="1F3A5F"/>
          <w:sz w:val="19"/>
          <w:szCs w:val="19"/>
        </w:rPr>
        <w:t xml:space="preserve">CaseInvoice</w:t>
      </w:r>
      <w:r>
        <w:rPr>
          <w:rFonts w:ascii="Calibri" w:cs="Calibri" w:eastAsia="Calibri" w:hAnsi="Calibri"/>
          <w:sz w:val="21"/>
          <w:szCs w:val="21"/>
        </w:rPr>
        <w:t xml:space="preserve">, </w:t>
      </w:r>
      <w:r>
        <w:rPr>
          <w:rFonts w:ascii="Consolas" w:cs="Consolas" w:eastAsia="Consolas" w:hAnsi="Consolas"/>
          <w:color w:val="1F3A5F"/>
          <w:sz w:val="19"/>
          <w:szCs w:val="19"/>
        </w:rPr>
        <w:t xml:space="preserve">CasePaymentInstallment</w:t>
      </w:r>
      <w:r>
        <w:rPr>
          <w:rFonts w:ascii="Calibri" w:cs="Calibri" w:eastAsia="Calibri" w:hAnsi="Calibri"/>
          <w:sz w:val="21"/>
          <w:szCs w:val="21"/>
        </w:rPr>
        <w:t xml:space="preserve"> or </w:t>
      </w:r>
      <w:r>
        <w:rPr>
          <w:rFonts w:ascii="Consolas" w:cs="Consolas" w:eastAsia="Consolas" w:hAnsi="Consolas"/>
          <w:color w:val="1F3A5F"/>
          <w:sz w:val="19"/>
          <w:szCs w:val="19"/>
        </w:rPr>
        <w:t xml:space="preserve">WrittenDocument</w:t>
      </w:r>
      <w:r>
        <w:rPr>
          <w:rFonts w:ascii="Calibri" w:cs="Calibri" w:eastAsia="Calibri" w:hAnsi="Calibri"/>
          <w:sz w:val="21"/>
          <w:szCs w:val="21"/>
        </w:rPr>
        <w:t xml:space="preserve"> — taxability is derived at read time from </w:t>
      </w:r>
      <w:r>
        <w:rPr>
          <w:rFonts w:ascii="Consolas" w:cs="Consolas" w:eastAsia="Consolas" w:hAnsi="Consolas"/>
          <w:color w:val="1F3A5F"/>
          <w:sz w:val="19"/>
          <w:szCs w:val="19"/>
        </w:rPr>
        <w:t xml:space="preserve">AgencyFeeCategory.kind</w:t>
      </w:r>
      <w:r>
        <w:rPr>
          <w:rFonts w:ascii="Calibri" w:cs="Calibri" w:eastAsia="Calibri" w:hAnsi="Calibri"/>
          <w:sz w:val="21"/>
          <w:szCs w:val="21"/>
        </w:rPr>
        <w:t xml:space="preserve"> (Fix 2.1), and the countersignature (Fix 6.2) reuses </w:t>
      </w:r>
      <w:r>
        <w:rPr>
          <w:rFonts w:ascii="Consolas" w:cs="Consolas" w:eastAsia="Consolas" w:hAnsi="Consolas"/>
          <w:color w:val="1F3A5F"/>
          <w:sz w:val="19"/>
          <w:szCs w:val="19"/>
        </w:rPr>
        <w:t xml:space="preserve">WrittenDocument.correspondenceStatus</w:t>
      </w:r>
      <w:r>
        <w:rPr>
          <w:rFonts w:ascii="Calibri" w:cs="Calibri" w:eastAsia="Calibri" w:hAnsi="Calibri"/>
          <w:sz w:val="21"/>
          <w:szCs w:val="21"/>
        </w:rPr>
        <w:t xml:space="preserve">'s existing </w:t>
      </w:r>
      <w:r>
        <w:rPr>
          <w:rFonts w:ascii="Consolas" w:cs="Consolas" w:eastAsia="Consolas" w:hAnsi="Consolas"/>
          <w:color w:val="1F3A5F"/>
          <w:sz w:val="19"/>
          <w:szCs w:val="19"/>
        </w:rPr>
        <w:t xml:space="preserve">Finalized</w:t>
      </w:r>
      <w:r>
        <w:rPr>
          <w:rFonts w:ascii="Calibri" w:cs="Calibri" w:eastAsia="Calibri" w:hAnsi="Calibri"/>
          <w:sz w:val="21"/>
          <w:szCs w:val="21"/>
        </w:rPr>
        <w:t xml:space="preserve"> terminal state rather than adding a new one.</w:t>
      </w:r>
    </w:p>
    <w:p>
      <w:pPr>
        <w:spacing w:after="140"/>
      </w:pPr>
      <w:r>
        <w:rPr>
          <w:rFonts w:ascii="Calibri" w:cs="Calibri" w:eastAsia="Calibri" w:hAnsi="Calibri"/>
          <w:color w:val="5B6472"/>
          <w:sz w:val="19"/>
          <w:szCs w:val="19"/>
        </w:rPr>
        <w:t xml:space="preserve">Then run: </w:t>
      </w:r>
      <w:r>
        <w:rPr>
          <w:rFonts w:ascii="Consolas" w:cs="Consolas" w:eastAsia="Consolas" w:hAnsi="Consolas"/>
          <w:color w:val="1F3A5F"/>
          <w:sz w:val="19"/>
          <w:szCs w:val="19"/>
        </w:rPr>
        <w:t xml:space="preserve">npx prisma migrate dev --name billing_retainer_foundation</w:t>
      </w:r>
    </w:p>
    <w:p>
      <w:pPr>
        <w:spacing w:after="90" w:before="220"/>
      </w:pPr>
      <w:r>
        <w:rPr>
          <w:rFonts w:ascii="Calibri" w:cs="Calibri" w:eastAsia="Calibri" w:hAnsi="Calibri"/>
          <w:b/>
          <w:bCs/>
          <w:color w:val="1F3A5F"/>
          <w:sz w:val="22"/>
          <w:szCs w:val="22"/>
        </w:rPr>
        <w:t xml:space="preserve">2.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backend/src/services/correspondenceTemplateService.js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Extract the shared matcher</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Move </w:t>
            </w:r>
            <w:r>
              <w:rPr>
                <w:rFonts w:ascii="Consolas" w:cs="Consolas" w:eastAsia="Consolas" w:hAnsi="Consolas"/>
                <w:color w:val="1F3A5F"/>
                <w:sz w:val="19"/>
                <w:szCs w:val="19"/>
              </w:rPr>
              <w:t xml:space="preserve">templateMatchesCase()</w:t>
            </w:r>
            <w:r>
              <w:rPr>
                <w:rFonts w:ascii="Calibri" w:cs="Calibri" w:eastAsia="Calibri" w:hAnsi="Calibri"/>
                <w:sz w:val="21"/>
                <w:szCs w:val="21"/>
              </w:rPr>
              <w:t xml:space="preserve"> (line 98) into a small shared module, e.g. </w:t>
            </w:r>
            <w:r>
              <w:rPr>
                <w:rFonts w:ascii="Consolas" w:cs="Consolas" w:eastAsia="Consolas" w:hAnsi="Consolas"/>
                <w:color w:val="1F3A5F"/>
                <w:sz w:val="19"/>
                <w:szCs w:val="19"/>
              </w:rPr>
              <w:t xml:space="preserve">backend/src/modules/case-information/templateMatching.js</w:t>
            </w:r>
            <w:r>
              <w:rPr>
                <w:rFonts w:ascii="Calibri" w:cs="Calibri" w:eastAsia="Calibri" w:hAnsi="Calibri"/>
                <w:sz w:val="21"/>
                <w:szCs w:val="21"/>
              </w:rPr>
              <w:t xml:space="preserve">, so both correspondence and payment templates call the exact same function instead of two copies drifting apart over time.</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backend/src/services/paymentScheduleService.js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listScheduleTemplates()</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Replace line 51-57's exact </w:t>
            </w:r>
            <w:r>
              <w:rPr>
                <w:rFonts w:ascii="Consolas" w:cs="Consolas" w:eastAsia="Consolas" w:hAnsi="Consolas"/>
                <w:color w:val="1F3A5F"/>
                <w:sz w:val="19"/>
                <w:szCs w:val="19"/>
              </w:rPr>
              <w:t xml:space="preserve">{ caseType }</w:t>
            </w:r>
            <w:r>
              <w:rPr>
                <w:rFonts w:ascii="Calibri" w:cs="Calibri" w:eastAsia="Calibri" w:hAnsi="Calibri"/>
                <w:sz w:val="21"/>
                <w:szCs w:val="21"/>
              </w:rPr>
              <w:t xml:space="preserve"> where-clause with: load every active template for the agency, then filter in JS with the shared </w:t>
            </w:r>
            <w:r>
              <w:rPr>
                <w:rFonts w:ascii="Consolas" w:cs="Consolas" w:eastAsia="Consolas" w:hAnsi="Consolas"/>
                <w:color w:val="1F3A5F"/>
                <w:sz w:val="19"/>
                <w:szCs w:val="19"/>
              </w:rPr>
              <w:t xml:space="preserve">templateMatchesCase(template, caseType)</w:t>
            </w:r>
            <w:r>
              <w:rPr>
                <w:rFonts w:ascii="Calibri" w:cs="Calibri" w:eastAsia="Calibri" w:hAnsi="Calibri"/>
                <w:sz w:val="21"/>
                <w:szCs w:val="21"/>
              </w:rPr>
              <w:t xml:space="preserve"> — same approach </w:t>
            </w:r>
            <w:r>
              <w:rPr>
                <w:rFonts w:ascii="Consolas" w:cs="Consolas" w:eastAsia="Consolas" w:hAnsi="Consolas"/>
                <w:color w:val="1F3A5F"/>
                <w:sz w:val="19"/>
                <w:szCs w:val="19"/>
              </w:rPr>
              <w:t xml:space="preserve">correspondenceController.js</w:t>
            </w:r>
            <w:r>
              <w:rPr>
                <w:rFonts w:ascii="Calibri" w:cs="Calibri" w:eastAsia="Calibri" w:hAnsi="Calibri"/>
                <w:sz w:val="21"/>
                <w:szCs w:val="21"/>
              </w:rPr>
              <w:t xml:space="preserve"> already uses for Agreement templates. Sort matches with </w:t>
            </w:r>
            <w:r>
              <w:rPr>
                <w:rFonts w:ascii="Consolas" w:cs="Consolas" w:eastAsia="Consolas" w:hAnsi="Consolas"/>
                <w:color w:val="1F3A5F"/>
                <w:sz w:val="19"/>
                <w:szCs w:val="19"/>
              </w:rPr>
              <w:t xml:space="preserve">isSystemDefault</w:t>
            </w:r>
            <w:r>
              <w:rPr>
                <w:rFonts w:ascii="Calibri" w:cs="Calibri" w:eastAsia="Calibri" w:hAnsi="Calibri"/>
                <w:sz w:val="21"/>
                <w:szCs w:val="21"/>
              </w:rPr>
              <w:t xml:space="preserve"> first so the system template is always the one a case opens to.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backend/src/services/paymentScheduleService.js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createScheduleTemplate()/updateScheduleTemplate()</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Accept and persist </w:t>
            </w:r>
            <w:r>
              <w:rPr>
                <w:rFonts w:ascii="Consolas" w:cs="Consolas" w:eastAsia="Consolas" w:hAnsi="Consolas"/>
                <w:color w:val="1F3A5F"/>
                <w:sz w:val="19"/>
                <w:szCs w:val="19"/>
              </w:rPr>
              <w:t xml:space="preserve">caseTags</w:t>
            </w:r>
            <w:r>
              <w:rPr>
                <w:rFonts w:ascii="Calibri" w:cs="Calibri" w:eastAsia="Calibri" w:hAnsi="Calibri"/>
                <w:sz w:val="21"/>
                <w:szCs w:val="21"/>
              </w:rPr>
              <w:t xml:space="preserve"> (array, same validation shape </w:t>
            </w:r>
            <w:r>
              <w:rPr>
                <w:rFonts w:ascii="Consolas" w:cs="Consolas" w:eastAsia="Consolas" w:hAnsi="Consolas"/>
                <w:color w:val="1F3A5F"/>
                <w:sz w:val="19"/>
                <w:szCs w:val="19"/>
              </w:rPr>
              <w:t xml:space="preserve">correspondenceController.js</w:t>
            </w:r>
            <w:r>
              <w:rPr>
                <w:rFonts w:ascii="Calibri" w:cs="Calibri" w:eastAsia="Calibri" w:hAnsi="Calibri"/>
                <w:sz w:val="21"/>
                <w:szCs w:val="21"/>
              </w:rPr>
              <w:t xml:space="preserve"> uses for Agreement/Letter templates: trim, dedupe, lowercase, cap at ~20 tags) and </w:t>
            </w:r>
            <w:r>
              <w:rPr>
                <w:rFonts w:ascii="Consolas" w:cs="Consolas" w:eastAsia="Consolas" w:hAnsi="Consolas"/>
                <w:color w:val="1F3A5F"/>
                <w:sz w:val="19"/>
                <w:szCs w:val="19"/>
              </w:rPr>
              <w:t xml:space="preserve">isSystemDefault</w:t>
            </w:r>
            <w:r>
              <w:rPr>
                <w:rFonts w:ascii="Calibri" w:cs="Calibri" w:eastAsia="Calibri" w:hAnsi="Calibri"/>
                <w:sz w:val="21"/>
                <w:szCs w:val="21"/>
              </w:rPr>
              <w:t xml:space="preserve"> (boolean, settable only by an admin — non-admins can create agency-custom templates but not mark them system-default).</w:t>
            </w:r>
          </w:p>
        </w:tc>
      </w:tr>
    </w:tbl>
    <w:p>
      <w:pPr>
        <w:spacing w:after="90" w:before="220"/>
      </w:pPr>
      <w:r>
        <w:rPr>
          <w:rFonts w:ascii="Calibri" w:cs="Calibri" w:eastAsia="Calibri" w:hAnsi="Calibri"/>
          <w:b/>
          <w:bCs/>
          <w:color w:val="1F3A5F"/>
          <w:sz w:val="22"/>
          <w:szCs w:val="22"/>
        </w:rPr>
        <w:t xml:space="preserve">3.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frontend/src/components/case-profile/CasePaymentScheduleWorkspace.jsx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TemplatePicker</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No change needed to the call site itself (</w:t>
            </w:r>
            <w:r>
              <w:rPr>
                <w:rFonts w:ascii="Consolas" w:cs="Consolas" w:eastAsia="Consolas" w:hAnsi="Consolas"/>
                <w:color w:val="1F3A5F"/>
                <w:sz w:val="19"/>
                <w:szCs w:val="19"/>
              </w:rPr>
              <w:t xml:space="preserve">getScheduleTemplates(caseType)</w:t>
            </w:r>
            <w:r>
              <w:rPr>
                <w:rFonts w:ascii="Calibri" w:cs="Calibri" w:eastAsia="Calibri" w:hAnsi="Calibri"/>
                <w:sz w:val="21"/>
                <w:szCs w:val="21"/>
              </w:rPr>
              <w:t xml:space="preserve">, line 114) — the matching gets smarter server-side. Add a small "System template" badge next to any result where </w:t>
            </w:r>
            <w:r>
              <w:rPr>
                <w:rFonts w:ascii="Consolas" w:cs="Consolas" w:eastAsia="Consolas" w:hAnsi="Consolas"/>
                <w:color w:val="1F3A5F"/>
                <w:sz w:val="19"/>
                <w:szCs w:val="19"/>
              </w:rPr>
              <w:t xml:space="preserve">isSystemDefault</w:t>
            </w:r>
            <w:r>
              <w:rPr>
                <w:rFonts w:ascii="Calibri" w:cs="Calibri" w:eastAsia="Calibri" w:hAnsi="Calibri"/>
                <w:sz w:val="21"/>
                <w:szCs w:val="21"/>
              </w:rPr>
              <w:t xml:space="preserve"> is true, matching the visual language Fix 3.1 introduces in the retainer card.</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 case typed "SOWP Extension" resolves the "SOWP Extension" system fee template even if the two strings aren't identical, the same way it already resolves an Agreement template today.</w:t>
      </w:r>
    </w:p>
    <w:p>
      <w:pPr>
        <w:pStyle w:val="ListParagraph"/>
        <w:numPr>
          <w:ilvl w:val="0"/>
          <w:numId w:val="2"/>
        </w:numPr>
        <w:spacing w:after="80"/>
      </w:pPr>
      <w:r>
        <w:rPr>
          <w:rFonts w:ascii="Calibri" w:cs="Calibri" w:eastAsia="Calibri" w:hAnsi="Calibri"/>
          <w:sz w:val="21"/>
          <w:szCs w:val="21"/>
        </w:rPr>
        <w:t xml:space="preserve">An agency has exactly one stored retainer signature image, editable only by an admin, with an audit trail of who last changed it and when.</w:t>
      </w:r>
    </w:p>
    <w:p>
      <w:pPr>
        <w:spacing w:after="90" w:before="220"/>
      </w:pPr>
      <w:r>
        <w:rPr>
          <w:rFonts w:ascii="Calibri" w:cs="Calibri" w:eastAsia="Calibri" w:hAnsi="Calibri"/>
          <w:b/>
          <w:bCs/>
          <w:color w:val="1F3A5F"/>
          <w:sz w:val="22"/>
          <w:szCs w:val="22"/>
        </w:rPr>
        <w:t xml:space="preserve">Tests to add</w:t>
      </w:r>
    </w:p>
    <w:p>
      <w:pPr>
        <w:pStyle w:val="ListParagraph"/>
        <w:numPr>
          <w:ilvl w:val="0"/>
          <w:numId w:val="2"/>
        </w:numPr>
        <w:spacing w:after="80"/>
      </w:pPr>
      <w:r>
        <w:rPr>
          <w:rFonts w:ascii="Calibri" w:cs="Calibri" w:eastAsia="Calibri" w:hAnsi="Calibri"/>
          <w:sz w:val="21"/>
          <w:szCs w:val="21"/>
        </w:rPr>
        <w:t xml:space="preserve">Backend test: templateMatchesCase() returns the same true/false for a payment template and a correspondence template given identical caseTags and case type input — proves the shared matcher, not two diverging copies.</w:t>
      </w:r>
    </w:p>
    <w:p>
      <w:pPr>
        <w:spacing w:after="200"/>
      </w:pPr>
    </w:p>
    <w:p>
      <w:pPr>
        <w:pStyle w:val="Heading2"/>
        <w:spacing w:after="140" w:before="380"/>
      </w:pPr>
      <w:r>
        <w:rPr>
          <w:rFonts w:ascii="Calibri" w:cs="Calibri" w:eastAsia="Calibri" w:hAnsi="Calibri"/>
          <w:b/>
          <w:bCs/>
          <w:color w:val="111827"/>
          <w:sz w:val="27"/>
          <w:szCs w:val="27"/>
        </w:rPr>
        <w:t xml:space="preserve">Fix 1.2: Seed the 16 case-type fee schedule templates</w:t>
      </w:r>
      <w:r>
        <w:t xml:space="preserve">   </w:t>
      </w:r>
      <w:r>
        <w:rPr>
          <w:rFonts w:ascii="Calibri" w:cs="Calibri" w:eastAsia="Calibri" w:hAnsi="Calibri"/>
          <w:b/>
          <w:bCs/>
          <w:color w:val="FFFFFF"/>
          <w:sz w:val="17"/>
          <w:szCs w:val="17"/>
          <w:shd w:fill="3E5C8A" w:val="clear"/>
        </w:rPr>
        <w:t xml:space="preserve">NEW CAPABILITY</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Fee amounts and structure supplied directly by the agency; full breakdown in Appendix A</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Right now every fee schedule is built from a blank InstallmentListEditor on a case-by-case basis (CasePaymentScheduleWorkspace.jsx) — there is no starting point tied to what the agency actually charges for each service. Appendix A of this plan lists the exact fee breakdown for all 16 case types the agency provided (visitor visa/record/super visa, study permit inside and outside Canada, PGWP, spousal open work permit and its extension and outside-Canada variant, LMIA-based work permit, vulnerable OWP, PNP-based work permit, refugee work permit, TRV, Express Entry with and without a spousal add-on, OINP-PNP, and spousal sponsorship), split into professional-fee installments (taxable) and government/biometric fee lines (non-taxable disbursements, per the agency's confirmed tax scope).</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backend/prisma/seed/billingTemplates.seed.js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New seed script</w:t>
            </w:r>
          </w:p>
        </w:tc>
        <w:tc>
          <w:tcPr>
            <w:tcW w:type="dxa" w:w="4850"/>
            <w:tcMar>
              <w:top w:type="dxa" w:w="80"/>
              <w:left w:type="dxa" w:w="120"/>
              <w:bottom w:type="dxa" w:w="80"/>
              <w:right w:type="dxa" w:w="120"/>
            </w:tcMar>
          </w:tcPr>
          <w:p>
            <w:pPr>
              <w:spacing w:after="80"/>
            </w:pPr>
            <w:r>
              <w:rPr>
                <w:rFonts w:ascii="Calibri" w:cs="Calibri" w:eastAsia="Calibri" w:hAnsi="Calibri"/>
                <w:sz w:val="21"/>
                <w:szCs w:val="21"/>
              </w:rPr>
              <w:t xml:space="preserve">One entry per row of Appendix A, shaped as </w:t>
            </w:r>
            <w:r>
              <w:rPr>
                <w:rFonts w:ascii="Consolas" w:cs="Consolas" w:eastAsia="Consolas" w:hAnsi="Consolas"/>
                <w:color w:val="1F3A5F"/>
                <w:sz w:val="19"/>
                <w:szCs w:val="19"/>
              </w:rPr>
              <w:t xml:space="preserve">{ caseType, caseTags, isSystemDefault: true, installments: [...] }</w:t>
            </w:r>
            <w:r>
              <w:rPr>
                <w:rFonts w:ascii="Calibri" w:cs="Calibri" w:eastAsia="Calibri" w:hAnsi="Calibri"/>
                <w:sz w:val="21"/>
                <w:szCs w:val="21"/>
              </w:rPr>
              <w:t xml:space="preserve"> and inserted via </w:t>
            </w:r>
            <w:r>
              <w:rPr>
                <w:rFonts w:ascii="Consolas" w:cs="Consolas" w:eastAsia="Consolas" w:hAnsi="Consolas"/>
                <w:color w:val="1F3A5F"/>
                <w:sz w:val="19"/>
                <w:szCs w:val="19"/>
              </w:rPr>
              <w:t xml:space="preserve">createScheduleTemplate()</w:t>
            </w:r>
            <w:r>
              <w:rPr>
                <w:rFonts w:ascii="Calibri" w:cs="Calibri" w:eastAsia="Calibri" w:hAnsi="Calibri"/>
                <w:sz w:val="21"/>
                <w:szCs w:val="21"/>
              </w:rPr>
              <w:t xml:space="preserve"> (Fix 1.1) so it goes through the same validation every agency-authored template does — no bypass path. Each installment carries </w:t>
            </w:r>
            <w:r>
              <w:rPr>
                <w:rFonts w:ascii="Consolas" w:cs="Consolas" w:eastAsia="Consolas" w:hAnsi="Consolas"/>
                <w:color w:val="1F3A5F"/>
                <w:sz w:val="19"/>
                <w:szCs w:val="19"/>
              </w:rPr>
              <w:t xml:space="preserve">paymentType</w:t>
            </w:r>
            <w:r>
              <w:rPr>
                <w:rFonts w:ascii="Calibri" w:cs="Calibri" w:eastAsia="Calibri" w:hAnsi="Calibri"/>
                <w:sz w:val="21"/>
                <w:szCs w:val="21"/>
              </w:rPr>
              <w:t xml:space="preserve"> set to the </w:t>
            </w:r>
            <w:r>
              <w:rPr>
                <w:rFonts w:ascii="Consolas" w:cs="Consolas" w:eastAsia="Consolas" w:hAnsi="Consolas"/>
                <w:color w:val="1F3A5F"/>
                <w:sz w:val="19"/>
                <w:szCs w:val="19"/>
              </w:rPr>
              <w:t xml:space="preserve">fees</w:t>
            </w:r>
            <w:r>
              <w:rPr>
                <w:rFonts w:ascii="Calibri" w:cs="Calibri" w:eastAsia="Calibri" w:hAnsi="Calibri"/>
                <w:sz w:val="21"/>
                <w:szCs w:val="21"/>
              </w:rPr>
              <w:t xml:space="preserve"> fee-category code for the initial/submission/invitation lines and </w:t>
            </w:r>
            <w:r>
              <w:rPr>
                <w:rFonts w:ascii="Consolas" w:cs="Consolas" w:eastAsia="Consolas" w:hAnsi="Consolas"/>
                <w:color w:val="1F3A5F"/>
                <w:sz w:val="19"/>
                <w:szCs w:val="19"/>
              </w:rPr>
              <w:t xml:space="preserve">disbursement</w:t>
            </w:r>
            <w:r>
              <w:rPr>
                <w:rFonts w:ascii="Calibri" w:cs="Calibri" w:eastAsia="Calibri" w:hAnsi="Calibri"/>
                <w:sz w:val="21"/>
                <w:szCs w:val="21"/>
              </w:rPr>
              <w:t xml:space="preserve"> for government-fee and biometric lines (both already exist as default fee categories, feeCategoryService.js:6-9).</w:t>
            </w:r>
          </w:p>
          <w:p>
            <w:pPr>
              <w:spacing w:after="0"/>
            </w:pPr>
            <w:r>
              <w:rPr>
                <w:rFonts w:ascii="Calibri" w:cs="Calibri" w:eastAsia="Calibri" w:hAnsi="Calibri"/>
                <w:sz w:val="21"/>
                <w:szCs w:val="21"/>
              </w:rPr>
              <w:t xml:space="preserve">Run this once per agency the same way </w:t>
            </w:r>
            <w:r>
              <w:rPr>
                <w:rFonts w:ascii="Consolas" w:cs="Consolas" w:eastAsia="Consolas" w:hAnsi="Consolas"/>
                <w:color w:val="1F3A5F"/>
                <w:sz w:val="19"/>
                <w:szCs w:val="19"/>
              </w:rPr>
              <w:t xml:space="preserve">ensureDefaultCorrespondenceTemplates(agencyId)</w:t>
            </w:r>
            <w:r>
              <w:rPr>
                <w:rFonts w:ascii="Calibri" w:cs="Calibri" w:eastAsia="Calibri" w:hAnsi="Calibri"/>
                <w:sz w:val="21"/>
                <w:szCs w:val="21"/>
              </w:rPr>
              <w:t xml:space="preserve"> already runs — hook it into the same onboarding/settings-load path (grep for that function's call sites and add the new seeder alongside it) rather than a one-off script that only touches today's agencies.</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Every one of the 16 case types in Appendix A has an isSystemDefault fee schedule template an agency can open, and every listed dollar amount matches exactly.</w:t>
      </w:r>
    </w:p>
    <w:p>
      <w:pPr>
        <w:pStyle w:val="ListParagraph"/>
        <w:numPr>
          <w:ilvl w:val="0"/>
          <w:numId w:val="2"/>
        </w:numPr>
        <w:spacing w:after="80"/>
      </w:pPr>
      <w:r>
        <w:rPr>
          <w:rFonts w:ascii="Calibri" w:cs="Calibri" w:eastAsia="Calibri" w:hAnsi="Calibri"/>
          <w:sz w:val="21"/>
          <w:szCs w:val="21"/>
        </w:rPr>
        <w:t xml:space="preserve">Two- and three-installment schedules (SOWP variants, LMIA, Express Entry, Express Entry with spousal) reproduce the exact initial/invitation/submission split given, not just the correct total.</w:t>
      </w:r>
    </w:p>
    <w:p>
      <w:pPr>
        <w:pStyle w:val="ListParagraph"/>
        <w:numPr>
          <w:ilvl w:val="0"/>
          <w:numId w:val="2"/>
        </w:numPr>
        <w:spacing w:after="80"/>
      </w:pPr>
      <w:r>
        <w:rPr>
          <w:rFonts w:ascii="Calibri" w:cs="Calibri" w:eastAsia="Calibri" w:hAnsi="Calibri"/>
          <w:sz w:val="21"/>
          <w:szCs w:val="21"/>
        </w:rPr>
        <w:t xml:space="preserve">Rows where the agency didn't specify a government fee (PGWP, vulnerable OWP, OINP-PNP, spousal sponsorship) are seeded with no government-fee line rather than a guessed placeholder amount — staff add one manually per case if it turns out to apply.</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2 — Ontario HST</w:t>
      </w:r>
    </w:p>
    <w:p>
      <w:pPr>
        <w:spacing w:after="140"/>
      </w:pPr>
      <w:r>
        <w:rPr>
          <w:rFonts w:ascii="Calibri" w:cs="Calibri" w:eastAsia="Calibri" w:hAnsi="Calibri"/>
          <w:i/>
          <w:iCs/>
          <w:color w:val="5B6472"/>
          <w:sz w:val="21"/>
          <w:szCs w:val="21"/>
        </w:rPr>
        <w:t xml:space="preserve">Tax professional and consultation fees only — never government disbursements or biometrics.</w:t>
      </w:r>
    </w:p>
    <w:p>
      <w:pPr>
        <w:pStyle w:val="Heading2"/>
        <w:spacing w:after="140" w:before="380"/>
      </w:pPr>
      <w:r>
        <w:rPr>
          <w:rFonts w:ascii="Calibri" w:cs="Calibri" w:eastAsia="Calibri" w:hAnsi="Calibri"/>
          <w:b/>
          <w:bCs/>
          <w:color w:val="111827"/>
          <w:sz w:val="27"/>
          <w:szCs w:val="27"/>
        </w:rPr>
        <w:t xml:space="preserve">Fix 2.1: Compute Ontario HST on professional and consultation fees, never on government disbursements</w:t>
      </w:r>
      <w:r>
        <w:t xml:space="preserve">   </w:t>
      </w:r>
      <w:r>
        <w:rPr>
          <w:rFonts w:ascii="Calibri" w:cs="Calibri" w:eastAsia="Calibri" w:hAnsi="Calibri"/>
          <w:b/>
          <w:bCs/>
          <w:color w:val="FFFFFF"/>
          <w:sz w:val="17"/>
          <w:szCs w:val="17"/>
          <w:shd w:fill="B3261E" w:val="clear"/>
        </w:rPr>
        <w:t xml:space="preserve">CRITICAL</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feeCategoryService.js:6-9 (DEFAULT_FEE_CATEGORIES already separates "fees"/Professional and "consultation"/Consultation from "disbursement"/Government) · paymentScheduleService.js:305-329 (summarizeCaseBilling has no tax concept at all today) · NewInvoiceSheet in CaseBillingWorkspace.jsx:325-327 ("QuickBooks calculates any applicable tax" — true only for ad-hoc invoices pushed to QuickBooks, not for the schedule/template totals shown anywhere in CaseDesk itself)</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No tax calculation exists anywhere in CaseDesk's own billing code today — the one comment that mentions tax explicitly says QuickBooks handles it, which is true only once an installment is actually invoiced. Every total shown before that point (the schedule preview, the template picker, the case summary tiles) is tax-exclusive with no indication of it. The agency has confirmed HST should apply to professional and consultation fees only, not to government/IRCC disbursements or biometrics fees passed through at cost — the standard tax treatment for immigration-consulting disbursements, and already implicitly supported by the fact that AgencyFeeCategory already separates these into different kind values.</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backend/src/services/paymentScheduleService.js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summarizeCaseBilling() and getCasePaymentSummary()</w:t>
            </w:r>
          </w:p>
        </w:tc>
        <w:tc>
          <w:tcPr>
            <w:tcW w:type="dxa" w:w="4850"/>
            <w:tcMar>
              <w:top w:type="dxa" w:w="80"/>
              <w:left w:type="dxa" w:w="120"/>
              <w:bottom w:type="dxa" w:w="80"/>
              <w:right w:type="dxa" w:w="120"/>
            </w:tcMar>
          </w:tcPr>
          <w:p>
            <w:pPr>
              <w:spacing w:after="80"/>
            </w:pPr>
            <w:r>
              <w:rPr>
                <w:rFonts w:ascii="Calibri" w:cs="Calibri" w:eastAsia="Calibri" w:hAnsi="Calibri"/>
                <w:sz w:val="21"/>
                <w:szCs w:val="21"/>
              </w:rPr>
              <w:t xml:space="preserve">Load each installment's fee-category </w:t>
            </w:r>
            <w:r>
              <w:rPr>
                <w:rFonts w:ascii="Consolas" w:cs="Consolas" w:eastAsia="Consolas" w:hAnsi="Consolas"/>
                <w:color w:val="1F3A5F"/>
                <w:sz w:val="19"/>
                <w:szCs w:val="19"/>
              </w:rPr>
              <w:t xml:space="preserve">kind</w:t>
            </w:r>
            <w:r>
              <w:rPr>
                <w:rFonts w:ascii="Calibri" w:cs="Calibri" w:eastAsia="Calibri" w:hAnsi="Calibri"/>
                <w:sz w:val="21"/>
                <w:szCs w:val="21"/>
              </w:rPr>
              <w:t xml:space="preserve"> alongside its amount (one extra join/select on </w:t>
            </w:r>
            <w:r>
              <w:rPr>
                <w:rFonts w:ascii="Consolas" w:cs="Consolas" w:eastAsia="Consolas" w:hAnsi="Consolas"/>
                <w:color w:val="1F3A5F"/>
                <w:sz w:val="19"/>
                <w:szCs w:val="19"/>
              </w:rPr>
              <w:t xml:space="preserve">AgencyFeeCategory</w:t>
            </w:r>
            <w:r>
              <w:rPr>
                <w:rFonts w:ascii="Calibri" w:cs="Calibri" w:eastAsia="Calibri" w:hAnsi="Calibri"/>
                <w:sz w:val="21"/>
                <w:szCs w:val="21"/>
              </w:rPr>
              <w:t xml:space="preserve"> by </w:t>
            </w:r>
            <w:r>
              <w:rPr>
                <w:rFonts w:ascii="Consolas" w:cs="Consolas" w:eastAsia="Consolas" w:hAnsi="Consolas"/>
                <w:color w:val="1F3A5F"/>
                <w:sz w:val="19"/>
                <w:szCs w:val="19"/>
              </w:rPr>
              <w:t xml:space="preserve">paymentType</w:t>
            </w:r>
            <w:r>
              <w:rPr>
                <w:rFonts w:ascii="Calibri" w:cs="Calibri" w:eastAsia="Calibri" w:hAnsi="Calibri"/>
                <w:sz w:val="21"/>
                <w:szCs w:val="21"/>
              </w:rPr>
              <w:t xml:space="preserve">), and compute </w:t>
            </w:r>
            <w:r>
              <w:rPr>
                <w:rFonts w:ascii="Consolas" w:cs="Consolas" w:eastAsia="Consolas" w:hAnsi="Consolas"/>
                <w:color w:val="1F3A5F"/>
                <w:sz w:val="19"/>
                <w:szCs w:val="19"/>
              </w:rPr>
              <w:t xml:space="preserve">taxableSubtotal</w:t>
            </w:r>
            <w:r>
              <w:rPr>
                <w:rFonts w:ascii="Calibri" w:cs="Calibri" w:eastAsia="Calibri" w:hAnsi="Calibri"/>
                <w:sz w:val="21"/>
                <w:szCs w:val="21"/>
              </w:rPr>
              <w:t xml:space="preserve"> (sum of amounts where </w:t>
            </w:r>
            <w:r>
              <w:rPr>
                <w:rFonts w:ascii="Consolas" w:cs="Consolas" w:eastAsia="Consolas" w:hAnsi="Consolas"/>
                <w:color w:val="1F3A5F"/>
                <w:sz w:val="19"/>
                <w:szCs w:val="19"/>
              </w:rPr>
              <w:t xml:space="preserve">kind</w:t>
            </w:r>
            <w:r>
              <w:rPr>
                <w:rFonts w:ascii="Calibri" w:cs="Calibri" w:eastAsia="Calibri" w:hAnsi="Calibri"/>
                <w:sz w:val="21"/>
                <w:szCs w:val="21"/>
              </w:rPr>
              <w:t xml:space="preserve"> is </w:t>
            </w:r>
            <w:r>
              <w:rPr>
                <w:rFonts w:ascii="Consolas" w:cs="Consolas" w:eastAsia="Consolas" w:hAnsi="Consolas"/>
                <w:color w:val="1F3A5F"/>
                <w:sz w:val="19"/>
                <w:szCs w:val="19"/>
              </w:rPr>
              <w:t xml:space="preserve">Professional</w:t>
            </w:r>
            <w:r>
              <w:rPr>
                <w:rFonts w:ascii="Calibri" w:cs="Calibri" w:eastAsia="Calibri" w:hAnsi="Calibri"/>
                <w:sz w:val="21"/>
                <w:szCs w:val="21"/>
              </w:rPr>
              <w:t xml:space="preserve"> or </w:t>
            </w:r>
            <w:r>
              <w:rPr>
                <w:rFonts w:ascii="Consolas" w:cs="Consolas" w:eastAsia="Consolas" w:hAnsi="Consolas"/>
                <w:color w:val="1F3A5F"/>
                <w:sz w:val="19"/>
                <w:szCs w:val="19"/>
              </w:rPr>
              <w:t xml:space="preserve">Consultation</w:t>
            </w:r>
            <w:r>
              <w:rPr>
                <w:rFonts w:ascii="Calibri" w:cs="Calibri" w:eastAsia="Calibri" w:hAnsi="Calibri"/>
                <w:sz w:val="21"/>
                <w:szCs w:val="21"/>
              </w:rPr>
              <w:t xml:space="preserve">), </w:t>
            </w:r>
            <w:r>
              <w:rPr>
                <w:rFonts w:ascii="Consolas" w:cs="Consolas" w:eastAsia="Consolas" w:hAnsi="Consolas"/>
                <w:color w:val="1F3A5F"/>
                <w:sz w:val="19"/>
                <w:szCs w:val="19"/>
              </w:rPr>
              <w:t xml:space="preserve">tax</w:t>
            </w:r>
            <w:r>
              <w:rPr>
                <w:rFonts w:ascii="Calibri" w:cs="Calibri" w:eastAsia="Calibri" w:hAnsi="Calibri"/>
                <w:sz w:val="21"/>
                <w:szCs w:val="21"/>
              </w:rPr>
              <w:t xml:space="preserve"> (</w:t>
            </w:r>
            <w:r>
              <w:rPr>
                <w:rFonts w:ascii="Consolas" w:cs="Consolas" w:eastAsia="Consolas" w:hAnsi="Consolas"/>
                <w:color w:val="1F3A5F"/>
                <w:sz w:val="19"/>
                <w:szCs w:val="19"/>
              </w:rPr>
              <w:t xml:space="preserve">taxableSubtotal × agencyBillingSettings.taxRatePercent / 100</w:t>
            </w:r>
            <w:r>
              <w:rPr>
                <w:rFonts w:ascii="Calibri" w:cs="Calibri" w:eastAsia="Calibri" w:hAnsi="Calibri"/>
                <w:sz w:val="21"/>
                <w:szCs w:val="21"/>
              </w:rPr>
              <w:t xml:space="preserve">), and </w:t>
            </w:r>
            <w:r>
              <w:rPr>
                <w:rFonts w:ascii="Consolas" w:cs="Consolas" w:eastAsia="Consolas" w:hAnsi="Consolas"/>
                <w:color w:val="1F3A5F"/>
                <w:sz w:val="19"/>
                <w:szCs w:val="19"/>
              </w:rPr>
              <w:t xml:space="preserve">nonTaxableSubtotal</w:t>
            </w:r>
            <w:r>
              <w:rPr>
                <w:rFonts w:ascii="Calibri" w:cs="Calibri" w:eastAsia="Calibri" w:hAnsi="Calibri"/>
                <w:sz w:val="21"/>
                <w:szCs w:val="21"/>
              </w:rPr>
              <w:t xml:space="preserve"> (everything else, i.e. </w:t>
            </w:r>
            <w:r>
              <w:rPr>
                <w:rFonts w:ascii="Consolas" w:cs="Consolas" w:eastAsia="Consolas" w:hAnsi="Consolas"/>
                <w:color w:val="1F3A5F"/>
                <w:sz w:val="19"/>
                <w:szCs w:val="19"/>
              </w:rPr>
              <w:t xml:space="preserve">Government</w:t>
            </w:r>
            <w:r>
              <w:rPr>
                <w:rFonts w:ascii="Calibri" w:cs="Calibri" w:eastAsia="Calibri" w:hAnsi="Calibri"/>
                <w:sz w:val="21"/>
                <w:szCs w:val="21"/>
              </w:rPr>
              <w:t xml:space="preserve">/</w:t>
            </w:r>
            <w:r>
              <w:rPr>
                <w:rFonts w:ascii="Consolas" w:cs="Consolas" w:eastAsia="Consolas" w:hAnsi="Consolas"/>
                <w:color w:val="1F3A5F"/>
                <w:sz w:val="19"/>
                <w:szCs w:val="19"/>
              </w:rPr>
              <w:t xml:space="preserve">Other</w:t>
            </w:r>
            <w:r>
              <w:rPr>
                <w:rFonts w:ascii="Calibri" w:cs="Calibri" w:eastAsia="Calibri" w:hAnsi="Calibri"/>
                <w:sz w:val="21"/>
                <w:szCs w:val="21"/>
              </w:rPr>
              <w:t xml:space="preserve">). Return all four alongside the existing </w:t>
            </w:r>
            <w:r>
              <w:rPr>
                <w:rFonts w:ascii="Consolas" w:cs="Consolas" w:eastAsia="Consolas" w:hAnsi="Consolas"/>
                <w:color w:val="1F3A5F"/>
                <w:sz w:val="19"/>
                <w:szCs w:val="19"/>
              </w:rPr>
              <w:t xml:space="preserve">totalFee</w:t>
            </w:r>
            <w:r>
              <w:rPr>
                <w:rFonts w:ascii="Calibri" w:cs="Calibri" w:eastAsia="Calibri" w:hAnsi="Calibri"/>
                <w:sz w:val="21"/>
                <w:szCs w:val="21"/>
              </w:rPr>
              <w:t xml:space="preserve">/</w:t>
            </w:r>
            <w:r>
              <w:rPr>
                <w:rFonts w:ascii="Consolas" w:cs="Consolas" w:eastAsia="Consolas" w:hAnsi="Consolas"/>
                <w:color w:val="1F3A5F"/>
                <w:sz w:val="19"/>
                <w:szCs w:val="19"/>
              </w:rPr>
              <w:t xml:space="preserve">paidAmount</w:t>
            </w:r>
            <w:r>
              <w:rPr>
                <w:rFonts w:ascii="Calibri" w:cs="Calibri" w:eastAsia="Calibri" w:hAnsi="Calibri"/>
                <w:sz w:val="21"/>
                <w:szCs w:val="21"/>
              </w:rPr>
              <w:t xml:space="preserve">/</w:t>
            </w:r>
            <w:r>
              <w:rPr>
                <w:rFonts w:ascii="Consolas" w:cs="Consolas" w:eastAsia="Consolas" w:hAnsi="Consolas"/>
                <w:color w:val="1F3A5F"/>
                <w:sz w:val="19"/>
                <w:szCs w:val="19"/>
              </w:rPr>
              <w:t xml:space="preserve">balance</w:t>
            </w:r>
            <w:r>
              <w:rPr>
                <w:rFonts w:ascii="Calibri" w:cs="Calibri" w:eastAsia="Calibri" w:hAnsi="Calibri"/>
                <w:sz w:val="21"/>
                <w:szCs w:val="21"/>
              </w:rPr>
              <w:t xml:space="preserve"> so </w:t>
            </w:r>
            <w:r>
              <w:rPr>
                <w:rFonts w:ascii="Consolas" w:cs="Consolas" w:eastAsia="Consolas" w:hAnsi="Consolas"/>
                <w:color w:val="1F3A5F"/>
                <w:sz w:val="19"/>
                <w:szCs w:val="19"/>
              </w:rPr>
              <w:t xml:space="preserve">totalFee</w:t>
            </w:r>
            <w:r>
              <w:rPr>
                <w:rFonts w:ascii="Calibri" w:cs="Calibri" w:eastAsia="Calibri" w:hAnsi="Calibri"/>
                <w:sz w:val="21"/>
                <w:szCs w:val="21"/>
              </w:rPr>
              <w:t xml:space="preserve"> becomes </w:t>
            </w:r>
            <w:r>
              <w:rPr>
                <w:rFonts w:ascii="Consolas" w:cs="Consolas" w:eastAsia="Consolas" w:hAnsi="Consolas"/>
                <w:color w:val="1F3A5F"/>
                <w:sz w:val="19"/>
                <w:szCs w:val="19"/>
              </w:rPr>
              <w:t xml:space="preserve">taxableSubtotal + tax + nonTaxableSubtotal</w:t>
            </w:r>
            <w:r>
              <w:rPr>
                <w:rFonts w:ascii="Calibri" w:cs="Calibri" w:eastAsia="Calibri" w:hAnsi="Calibri"/>
                <w:sz w:val="21"/>
                <w:szCs w:val="21"/>
              </w:rPr>
              <w:t xml:space="preserve"> rather than a flat sum of installment amounts.</w:t>
            </w:r>
          </w:p>
          <w:p>
            <w:pPr>
              <w:spacing w:after="0"/>
            </w:pPr>
            <w:r>
              <w:rPr>
                <w:rFonts w:ascii="Calibri" w:cs="Calibri" w:eastAsia="Calibri" w:hAnsi="Calibri"/>
                <w:sz w:val="21"/>
                <w:szCs w:val="21"/>
              </w:rPr>
              <w:t xml:space="preserve">Load </w:t>
            </w:r>
            <w:r>
              <w:rPr>
                <w:rFonts w:ascii="Consolas" w:cs="Consolas" w:eastAsia="Consolas" w:hAnsi="Consolas"/>
                <w:color w:val="1F3A5F"/>
                <w:sz w:val="19"/>
                <w:szCs w:val="19"/>
              </w:rPr>
              <w:t xml:space="preserve">AgencyBillingSettings.taxRatePercent</w:t>
            </w:r>
            <w:r>
              <w:rPr>
                <w:rFonts w:ascii="Calibri" w:cs="Calibri" w:eastAsia="Calibri" w:hAnsi="Calibri"/>
                <w:sz w:val="21"/>
                <w:szCs w:val="21"/>
              </w:rPr>
              <w:t xml:space="preserve"> once per call (default 13.0 if the agency hasn't set one) rather than hardcoding 13% — an agency outside Ontario, or one that later needs to adjust the rate, shouldn't require a code change.</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backend/src/services/paymentScheduleService.js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createCaseSchedule()/updateCaseInstallments()</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Return the same tax breakdown on the schedule response (not just the summary endpoint) so the schedule editor can show a live "+ HST" line as staff build or edit installments, before anything is invoiced.</w:t>
            </w:r>
          </w:p>
        </w:tc>
      </w:tr>
    </w:tbl>
    <w:p>
      <w:pPr>
        <w:spacing w:after="90" w:before="220"/>
      </w:pPr>
      <w:r>
        <w:rPr>
          <w:rFonts w:ascii="Calibri" w:cs="Calibri" w:eastAsia="Calibri" w:hAnsi="Calibri"/>
          <w:b/>
          <w:bCs/>
          <w:color w:val="1F3A5F"/>
          <w:sz w:val="22"/>
          <w:szCs w:val="22"/>
        </w:rPr>
        <w:t xml:space="preserve">2.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frontend/src/components/case-profile/CasePaymentScheduleWorkspace.jsx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Show the tax breakdown</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Under the installment list, add a summary block: professional/consultation subtotal, "+ HST (13%)", government/disbursement subtotal (labelled "not taxed"), and a bolded grand total — replacing the current implicit "sum of installments" the UI doesn't currently surface at all in this component.</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frontend/src/components/case-profile/CaseWorkspaceTabs.jsx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the Billing tab summary tiles</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The four </w:t>
            </w:r>
            <w:r>
              <w:rPr>
                <w:rFonts w:ascii="Consolas" w:cs="Consolas" w:eastAsia="Consolas" w:hAnsi="Consolas"/>
                <w:color w:val="1F3A5F"/>
                <w:sz w:val="19"/>
                <w:szCs w:val="19"/>
              </w:rPr>
              <w:t xml:space="preserve">CompactMetric</w:t>
            </w:r>
            <w:r>
              <w:rPr>
                <w:rFonts w:ascii="Calibri" w:cs="Calibri" w:eastAsia="Calibri" w:hAnsi="Calibri"/>
                <w:sz w:val="21"/>
                <w:szCs w:val="21"/>
              </w:rPr>
              <w:t xml:space="preserve"> tiles at line 3562-3584 (Total Fee, Paid, Remaining, Status) should read the new tax-inclusive </w:t>
            </w:r>
            <w:r>
              <w:rPr>
                <w:rFonts w:ascii="Consolas" w:cs="Consolas" w:eastAsia="Consolas" w:hAnsi="Consolas"/>
                <w:color w:val="1F3A5F"/>
                <w:sz w:val="19"/>
                <w:szCs w:val="19"/>
              </w:rPr>
              <w:t xml:space="preserve">totalFee</w:t>
            </w:r>
            <w:r>
              <w:rPr>
                <w:rFonts w:ascii="Calibri" w:cs="Calibri" w:eastAsia="Calibri" w:hAnsi="Calibri"/>
                <w:sz w:val="21"/>
                <w:szCs w:val="21"/>
              </w:rPr>
              <w:t xml:space="preserve"> from Fix 2.1, so the headline number a consultant sees matches what the client is actually being asked to pay.</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 visitor-visa-type schedule (professional $500, government $100, biometric $85) shows tax of exactly $65.00 (13% of $500), a taxable subtotal of $500, a non-taxable subtotal of $185, and a grand total of $750 — never 13% applied to the full $685.</w:t>
      </w:r>
    </w:p>
    <w:p>
      <w:pPr>
        <w:pStyle w:val="ListParagraph"/>
        <w:numPr>
          <w:ilvl w:val="0"/>
          <w:numId w:val="2"/>
        </w:numPr>
        <w:spacing w:after="80"/>
      </w:pPr>
      <w:r>
        <w:rPr>
          <w:rFonts w:ascii="Calibri" w:cs="Calibri" w:eastAsia="Calibri" w:hAnsi="Calibri"/>
          <w:sz w:val="21"/>
          <w:szCs w:val="21"/>
        </w:rPr>
        <w:t xml:space="preserve">Changing the agency tax rate in settings changes every schedule's live total without a deploy.</w:t>
      </w:r>
    </w:p>
    <w:p>
      <w:pPr>
        <w:spacing w:after="90" w:before="220"/>
      </w:pPr>
      <w:r>
        <w:rPr>
          <w:rFonts w:ascii="Calibri" w:cs="Calibri" w:eastAsia="Calibri" w:hAnsi="Calibri"/>
          <w:b/>
          <w:bCs/>
          <w:color w:val="1F3A5F"/>
          <w:sz w:val="22"/>
          <w:szCs w:val="22"/>
        </w:rPr>
        <w:t xml:space="preserve">Tests to add</w:t>
      </w:r>
    </w:p>
    <w:p>
      <w:pPr>
        <w:pStyle w:val="ListParagraph"/>
        <w:numPr>
          <w:ilvl w:val="0"/>
          <w:numId w:val="2"/>
        </w:numPr>
        <w:spacing w:after="80"/>
      </w:pPr>
      <w:r>
        <w:rPr>
          <w:rFonts w:ascii="Calibri" w:cs="Calibri" w:eastAsia="Calibri" w:hAnsi="Calibri"/>
          <w:sz w:val="21"/>
          <w:szCs w:val="21"/>
        </w:rPr>
        <w:t xml:space="preserve">Backend test: summarizeCaseBilling() with one Professional-kind installment and one Government-kind installment of equal amount returns tax computed on only the Professional one.</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3 — System-assigned retainer template in Billing</w:t>
      </w:r>
    </w:p>
    <w:p>
      <w:pPr>
        <w:spacing w:after="140"/>
      </w:pPr>
      <w:r>
        <w:rPr>
          <w:rFonts w:ascii="Calibri" w:cs="Calibri" w:eastAsia="Calibri" w:hAnsi="Calibri"/>
          <w:i/>
          <w:iCs/>
          <w:color w:val="5B6472"/>
          <w:sz w:val="21"/>
          <w:szCs w:val="21"/>
        </w:rPr>
        <w:t xml:space="preserve">Opening Billing shows the matching template immediately, with zero manual template hunting.</w:t>
      </w:r>
    </w:p>
    <w:p>
      <w:pPr>
        <w:pStyle w:val="Heading2"/>
        <w:spacing w:after="140" w:before="380"/>
      </w:pPr>
      <w:r>
        <w:rPr>
          <w:rFonts w:ascii="Calibri" w:cs="Calibri" w:eastAsia="Calibri" w:hAnsi="Calibri"/>
          <w:b/>
          <w:bCs/>
          <w:color w:val="111827"/>
          <w:sz w:val="27"/>
          <w:szCs w:val="27"/>
        </w:rPr>
        <w:t xml:space="preserve">Fix 3.1: Resolve and show the case's system-assigned retainer template the moment Billing opens</w:t>
      </w:r>
      <w:r>
        <w:t xml:space="preserve">   </w:t>
      </w:r>
      <w:r>
        <w:rPr>
          <w:rFonts w:ascii="Calibri" w:cs="Calibri" w:eastAsia="Calibri" w:hAnsi="Calibri"/>
          <w:b/>
          <w:bCs/>
          <w:color w:val="FFFFFF"/>
          <w:sz w:val="17"/>
          <w:szCs w:val="17"/>
          <w:shd w:fill="B3261E" w:val="clear"/>
        </w:rPr>
        <w:t xml:space="preserve">CRITICAL</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correspondenceTemplateService.js:98-102 (templateMatchesCase, extended in Fix 1.1) · schema.prisma:2818 (CorrespondenceTemplate.isSystemDefault) · correspondenceController.js:84 (createFromTemplate — the only current entry point for turning a template into a WrittenDocument, reached today from the separate Agreements &amp; Letters tab, not Billing)</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Opening a case's Billing tab today shows payment/invoice UI only — there is no indication anywhere that a retainer exists, is needed, or which template applies, because retainer creation lives on the separate Agreements &amp; Letters tab and has to be started manually by a consultant who remembers to go there. The agency's request is specifically that opening Billing should immediately show "this is the system-assigned template" for that case's type, with no manual template hunting.</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backend/src/controllers/correspondenceController.js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New endpoint — GET /cases/:caseId/billing/retainer</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Resolves in this order: (1) the case's existing Agreement </w:t>
            </w:r>
            <w:r>
              <w:rPr>
                <w:rFonts w:ascii="Consolas" w:cs="Consolas" w:eastAsia="Consolas" w:hAnsi="Consolas"/>
                <w:color w:val="1F3A5F"/>
                <w:sz w:val="19"/>
                <w:szCs w:val="19"/>
              </w:rPr>
              <w:t xml:space="preserve">WrittenDocument</w:t>
            </w:r>
            <w:r>
              <w:rPr>
                <w:rFonts w:ascii="Calibri" w:cs="Calibri" w:eastAsia="Calibri" w:hAnsi="Calibri"/>
                <w:sz w:val="21"/>
                <w:szCs w:val="21"/>
              </w:rPr>
              <w:t xml:space="preserve"> if one already exists (any status), (2) otherwise the </w:t>
            </w:r>
            <w:r>
              <w:rPr>
                <w:rFonts w:ascii="Consolas" w:cs="Consolas" w:eastAsia="Consolas" w:hAnsi="Consolas"/>
                <w:color w:val="1F3A5F"/>
                <w:sz w:val="19"/>
                <w:szCs w:val="19"/>
              </w:rPr>
              <w:t xml:space="preserve">isSystemDefault</w:t>
            </w:r>
            <w:r>
              <w:rPr>
                <w:rFonts w:ascii="Calibri" w:cs="Calibri" w:eastAsia="Calibri" w:hAnsi="Calibri"/>
                <w:sz w:val="21"/>
                <w:szCs w:val="21"/>
              </w:rPr>
              <w:t xml:space="preserve"> Agreement </w:t>
            </w:r>
            <w:r>
              <w:rPr>
                <w:rFonts w:ascii="Consolas" w:cs="Consolas" w:eastAsia="Consolas" w:hAnsi="Consolas"/>
                <w:color w:val="1F3A5F"/>
                <w:sz w:val="19"/>
                <w:szCs w:val="19"/>
              </w:rPr>
              <w:t xml:space="preserve">CorrespondenceTemplate</w:t>
            </w:r>
            <w:r>
              <w:rPr>
                <w:rFonts w:ascii="Calibri" w:cs="Calibri" w:eastAsia="Calibri" w:hAnsi="Calibri"/>
                <w:sz w:val="21"/>
                <w:szCs w:val="21"/>
              </w:rPr>
              <w:t xml:space="preserve"> whose </w:t>
            </w:r>
            <w:r>
              <w:rPr>
                <w:rFonts w:ascii="Consolas" w:cs="Consolas" w:eastAsia="Consolas" w:hAnsi="Consolas"/>
                <w:color w:val="1F3A5F"/>
                <w:sz w:val="19"/>
                <w:szCs w:val="19"/>
              </w:rPr>
              <w:t xml:space="preserve">caseTags</w:t>
            </w:r>
            <w:r>
              <w:rPr>
                <w:rFonts w:ascii="Calibri" w:cs="Calibri" w:eastAsia="Calibri" w:hAnsi="Calibri"/>
                <w:sz w:val="21"/>
                <w:szCs w:val="21"/>
              </w:rPr>
              <w:t xml:space="preserve"> match the case's </w:t>
            </w:r>
            <w:r>
              <w:rPr>
                <w:rFonts w:ascii="Consolas" w:cs="Consolas" w:eastAsia="Consolas" w:hAnsi="Consolas"/>
                <w:color w:val="1F3A5F"/>
                <w:sz w:val="19"/>
                <w:szCs w:val="19"/>
              </w:rPr>
              <w:t xml:space="preserve">caseType</w:t>
            </w:r>
            <w:r>
              <w:rPr>
                <w:rFonts w:ascii="Calibri" w:cs="Calibri" w:eastAsia="Calibri" w:hAnsi="Calibri"/>
                <w:sz w:val="21"/>
                <w:szCs w:val="21"/>
              </w:rPr>
              <w:t xml:space="preserve"> via the shared matcher from Fix 1.1, (3) otherwise the agency's general-purpose system template (</w:t>
            </w:r>
            <w:r>
              <w:rPr>
                <w:rFonts w:ascii="Consolas" w:cs="Consolas" w:eastAsia="Consolas" w:hAnsi="Consolas"/>
                <w:color w:val="1F3A5F"/>
                <w:sz w:val="19"/>
                <w:szCs w:val="19"/>
              </w:rPr>
              <w:t xml:space="preserve">caseTags: ["general"]</w:t>
            </w:r>
            <w:r>
              <w:rPr>
                <w:rFonts w:ascii="Calibri" w:cs="Calibri" w:eastAsia="Calibri" w:hAnsi="Calibri"/>
                <w:sz w:val="21"/>
                <w:szCs w:val="21"/>
              </w:rPr>
              <w:t xml:space="preserve">, already seeded — correspondenceTemplateService.js:18) as a last-resort fallback so Billing never shows a hard dead-end. Returns which of the three cases applies so the frontend can label it correctly ("Your retainer", "System-assigned template", or "No case-specific template yet — using the general agreement").</w:t>
            </w:r>
          </w:p>
        </w:tc>
      </w:tr>
    </w:tbl>
    <w:p>
      <w:pPr>
        <w:spacing w:after="90" w:before="220"/>
      </w:pPr>
      <w:r>
        <w:rPr>
          <w:rFonts w:ascii="Calibri" w:cs="Calibri" w:eastAsia="Calibri" w:hAnsi="Calibri"/>
          <w:b/>
          <w:bCs/>
          <w:color w:val="1F3A5F"/>
          <w:sz w:val="22"/>
          <w:szCs w:val="22"/>
        </w:rPr>
        <w:t xml:space="preserve">2.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frontend/src/components/case-profile/CaseWorkspaceTabs.jsx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New RetainerStatusCard, top of the Billing tab</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Per the agency's confirmed direction, this is the first thing shown in Billing (line ~3560, above the existing </w:t>
            </w:r>
            <w:r>
              <w:rPr>
                <w:rFonts w:ascii="Consolas" w:cs="Consolas" w:eastAsia="Consolas" w:hAnsi="Consolas"/>
                <w:color w:val="1F3A5F"/>
                <w:sz w:val="19"/>
                <w:szCs w:val="19"/>
              </w:rPr>
              <w:t xml:space="preserve">CompactMetric</w:t>
            </w:r>
            <w:r>
              <w:rPr>
                <w:rFonts w:ascii="Calibri" w:cs="Calibri" w:eastAsia="Calibri" w:hAnsi="Calibri"/>
                <w:sz w:val="21"/>
                <w:szCs w:val="21"/>
              </w:rPr>
              <w:t xml:space="preserve"> grid) — not a separate tab. Shows the resolved template's title, a "System-assigned template" chip when </w:t>
            </w:r>
            <w:r>
              <w:rPr>
                <w:rFonts w:ascii="Consolas" w:cs="Consolas" w:eastAsia="Consolas" w:hAnsi="Consolas"/>
                <w:color w:val="1F3A5F"/>
                <w:sz w:val="19"/>
                <w:szCs w:val="19"/>
              </w:rPr>
              <w:t xml:space="preserve">isSystemDefault</w:t>
            </w:r>
            <w:r>
              <w:rPr>
                <w:rFonts w:ascii="Calibri" w:cs="Calibri" w:eastAsia="Calibri" w:hAnsi="Calibri"/>
                <w:sz w:val="21"/>
                <w:szCs w:val="21"/>
              </w:rPr>
              <w:t xml:space="preserve"> is true, and a preview/edit action that opens the same Writer component </w:t>
            </w:r>
            <w:r>
              <w:rPr>
                <w:rFonts w:ascii="Consolas" w:cs="Consolas" w:eastAsia="Consolas" w:hAnsi="Consolas"/>
                <w:color w:val="1F3A5F"/>
                <w:sz w:val="19"/>
                <w:szCs w:val="19"/>
              </w:rPr>
              <w:t xml:space="preserve">AgreementsLettersWorkspace.jsx</w:t>
            </w:r>
            <w:r>
              <w:rPr>
                <w:rFonts w:ascii="Calibri" w:cs="Calibri" w:eastAsia="Calibri" w:hAnsi="Calibri"/>
                <w:sz w:val="21"/>
                <w:szCs w:val="21"/>
              </w:rPr>
              <w:t xml:space="preserve"> already uses (reuse, don't rebuild), pre-loaded with that template.</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Opening Billing on a case with no retainer yet immediately shows the matching system template's name and a clearly labelled "System-assigned template" badge, with zero clicks into a different tab.</w:t>
      </w:r>
    </w:p>
    <w:p>
      <w:pPr>
        <w:pStyle w:val="ListParagraph"/>
        <w:numPr>
          <w:ilvl w:val="0"/>
          <w:numId w:val="2"/>
        </w:numPr>
        <w:spacing w:after="80"/>
      </w:pPr>
      <w:r>
        <w:rPr>
          <w:rFonts w:ascii="Calibri" w:cs="Calibri" w:eastAsia="Calibri" w:hAnsi="Calibri"/>
          <w:sz w:val="21"/>
          <w:szCs w:val="21"/>
        </w:rPr>
        <w:t xml:space="preserve">The agency's own uploaded/edited version of a template — once they replace the intentionally-blank placeholder mentioned in Appendix B — is what resolves here without any code change, since this reads live from CorrespondenceTemplate.</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4 — Consultant approval, then send</w:t>
      </w:r>
    </w:p>
    <w:p>
      <w:pPr>
        <w:spacing w:after="140"/>
      </w:pPr>
      <w:r>
        <w:rPr>
          <w:rFonts w:ascii="Calibri" w:cs="Calibri" w:eastAsia="Calibri" w:hAnsi="Calibri"/>
          <w:i/>
          <w:iCs/>
          <w:color w:val="5B6472"/>
          <w:sz w:val="21"/>
          <w:szCs w:val="21"/>
        </w:rPr>
        <w:t xml:space="preserve">Turn the already-existing but unenforced ReadyToIssue status into a real approval gate, and actually email the client.</w:t>
      </w:r>
    </w:p>
    <w:p>
      <w:pPr>
        <w:pStyle w:val="Heading2"/>
        <w:spacing w:after="140" w:before="380"/>
      </w:pPr>
      <w:r>
        <w:rPr>
          <w:rFonts w:ascii="Calibri" w:cs="Calibri" w:eastAsia="Calibri" w:hAnsi="Calibri"/>
          <w:b/>
          <w:bCs/>
          <w:color w:val="111827"/>
          <w:sz w:val="27"/>
          <w:szCs w:val="27"/>
        </w:rPr>
        <w:t xml:space="preserve">Fix 4.1: Require an explicit consultant/admin approval before a retainer is issued, and notify the client by email when it is</w:t>
      </w:r>
      <w:r>
        <w:t xml:space="preserve">   </w:t>
      </w:r>
      <w:r>
        <w:rPr>
          <w:rFonts w:ascii="Calibri" w:cs="Calibri" w:eastAsia="Calibri" w:hAnsi="Calibri"/>
          <w:b/>
          <w:bCs/>
          <w:color w:val="FFFFFF"/>
          <w:sz w:val="17"/>
          <w:szCs w:val="17"/>
          <w:shd w:fill="B3261E" w:val="clear"/>
        </w:rPr>
        <w:t xml:space="preserve">CRITICAL</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correspondenceController.js:13 (correspondenceStatuses already includes ReadyToIssue between Draft and Issued) · correspondenceController.js:107-128 (updateCorrespondenceStatus has no role check on which transition requires which permission — any authenticated staff member who can reach the endpoint can move Draft straight to Issued today) · correspondenceController.js:122-128 (issuing already requires a portal-linked ClientUser to exist, but sends no notification of any kind once it succeeds)</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The status vocabulary for an approval step already exists — ReadyToIssue sits right between Draft and Issued in the enum — but nothing currently enforces that a document must pass through it, and nothing distinguishes "a consultant prepared this" from "a consultant or admin approved sending this to the client." Separately, moving a document to Issued today silently makes it appear in the client's portal (via the existing clientUser check) but triggers no email at all — the agency's requirement that the client also receive a mail to sign it currently has no code path.</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backend/src/controllers/correspondenceController.js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updateCorrespondenceStatus()</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For Agreement-kind documents specifically, require </w:t>
            </w:r>
            <w:r>
              <w:rPr>
                <w:rFonts w:ascii="Consolas" w:cs="Consolas" w:eastAsia="Consolas" w:hAnsi="Consolas"/>
                <w:color w:val="1F3A5F"/>
                <w:sz w:val="19"/>
                <w:szCs w:val="19"/>
              </w:rPr>
              <w:t xml:space="preserve">req.user.role === "admin" || req.user.role === "consultant"</w:t>
            </w:r>
            <w:r>
              <w:rPr>
                <w:rFonts w:ascii="Calibri" w:cs="Calibri" w:eastAsia="Calibri" w:hAnsi="Calibri"/>
                <w:sz w:val="21"/>
                <w:szCs w:val="21"/>
              </w:rPr>
              <w:t xml:space="preserve"> to move </w:t>
            </w:r>
            <w:r>
              <w:rPr>
                <w:rFonts w:ascii="Consolas" w:cs="Consolas" w:eastAsia="Consolas" w:hAnsi="Consolas"/>
                <w:color w:val="1F3A5F"/>
                <w:sz w:val="19"/>
                <w:szCs w:val="19"/>
              </w:rPr>
              <w:t xml:space="preserve">ReadyToIssue</w:t>
            </w:r>
            <w:r>
              <w:rPr>
                <w:rFonts w:ascii="Calibri" w:cs="Calibri" w:eastAsia="Calibri" w:hAnsi="Calibri"/>
                <w:sz w:val="21"/>
                <w:szCs w:val="21"/>
              </w:rPr>
              <w:t xml:space="preserve"> → </w:t>
            </w:r>
            <w:r>
              <w:rPr>
                <w:rFonts w:ascii="Consolas" w:cs="Consolas" w:eastAsia="Consolas" w:hAnsi="Consolas"/>
                <w:color w:val="1F3A5F"/>
                <w:sz w:val="19"/>
                <w:szCs w:val="19"/>
              </w:rPr>
              <w:t xml:space="preserve">Issued</w:t>
            </w:r>
            <w:r>
              <w:rPr>
                <w:rFonts w:ascii="Calibri" w:cs="Calibri" w:eastAsia="Calibri" w:hAnsi="Calibri"/>
                <w:sz w:val="21"/>
                <w:szCs w:val="21"/>
              </w:rPr>
              <w:t xml:space="preserve"> (this is the approval action) — anyone who can already create/edit the draft can move </w:t>
            </w:r>
            <w:r>
              <w:rPr>
                <w:rFonts w:ascii="Consolas" w:cs="Consolas" w:eastAsia="Consolas" w:hAnsi="Consolas"/>
                <w:color w:val="1F3A5F"/>
                <w:sz w:val="19"/>
                <w:szCs w:val="19"/>
              </w:rPr>
              <w:t xml:space="preserve">Draft</w:t>
            </w:r>
            <w:r>
              <w:rPr>
                <w:rFonts w:ascii="Calibri" w:cs="Calibri" w:eastAsia="Calibri" w:hAnsi="Calibri"/>
                <w:sz w:val="21"/>
                <w:szCs w:val="21"/>
              </w:rPr>
              <w:t xml:space="preserve"> → </w:t>
            </w:r>
            <w:r>
              <w:rPr>
                <w:rFonts w:ascii="Consolas" w:cs="Consolas" w:eastAsia="Consolas" w:hAnsi="Consolas"/>
                <w:color w:val="1F3A5F"/>
                <w:sz w:val="19"/>
                <w:szCs w:val="19"/>
              </w:rPr>
              <w:t xml:space="preserve">ReadyToIssue</w:t>
            </w:r>
            <w:r>
              <w:rPr>
                <w:rFonts w:ascii="Calibri" w:cs="Calibri" w:eastAsia="Calibri" w:hAnsi="Calibri"/>
                <w:sz w:val="21"/>
                <w:szCs w:val="21"/>
              </w:rPr>
              <w:t xml:space="preserve">, but only a consultant or admin can approve the send. Record the approving user explicitly: add an </w:t>
            </w:r>
            <w:r>
              <w:rPr>
                <w:rFonts w:ascii="Consolas" w:cs="Consolas" w:eastAsia="Consolas" w:hAnsi="Consolas"/>
                <w:color w:val="1F3A5F"/>
                <w:sz w:val="19"/>
                <w:szCs w:val="19"/>
              </w:rPr>
              <w:t xml:space="preserve">approvedById</w:t>
            </w:r>
            <w:r>
              <w:rPr>
                <w:rFonts w:ascii="Calibri" w:cs="Calibri" w:eastAsia="Calibri" w:hAnsi="Calibri"/>
                <w:sz w:val="21"/>
                <w:szCs w:val="21"/>
              </w:rPr>
              <w:t xml:space="preserve">/</w:t>
            </w:r>
            <w:r>
              <w:rPr>
                <w:rFonts w:ascii="Consolas" w:cs="Consolas" w:eastAsia="Consolas" w:hAnsi="Consolas"/>
                <w:color w:val="1F3A5F"/>
                <w:sz w:val="19"/>
                <w:szCs w:val="19"/>
              </w:rPr>
              <w:t xml:space="preserve">approvedAt</w:t>
            </w:r>
            <w:r>
              <w:rPr>
                <w:rFonts w:ascii="Calibri" w:cs="Calibri" w:eastAsia="Calibri" w:hAnsi="Calibri"/>
                <w:sz w:val="21"/>
                <w:szCs w:val="21"/>
              </w:rPr>
              <w:t xml:space="preserve"> pair to </w:t>
            </w:r>
            <w:r>
              <w:rPr>
                <w:rFonts w:ascii="Consolas" w:cs="Consolas" w:eastAsia="Consolas" w:hAnsi="Consolas"/>
                <w:color w:val="1F3A5F"/>
                <w:sz w:val="19"/>
                <w:szCs w:val="19"/>
              </w:rPr>
              <w:t xml:space="preserve">WrittenDocument</w:t>
            </w:r>
            <w:r>
              <w:rPr>
                <w:rFonts w:ascii="Calibri" w:cs="Calibri" w:eastAsia="Calibri" w:hAnsi="Calibri"/>
                <w:sz w:val="21"/>
                <w:szCs w:val="21"/>
              </w:rPr>
              <w:t xml:space="preserve"> (small addition to Fix 1.1's migration) so the Billing card in Fix 3.1 can show "Approved by {{name}} on {{date}}" rather than just a status word.</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backend/src/services/agreementNotificationService.js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New service — notifyRetainerIssued()</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Called from </w:t>
            </w:r>
            <w:r>
              <w:rPr>
                <w:rFonts w:ascii="Consolas" w:cs="Consolas" w:eastAsia="Consolas" w:hAnsi="Consolas"/>
                <w:color w:val="1F3A5F"/>
                <w:sz w:val="19"/>
                <w:szCs w:val="19"/>
              </w:rPr>
              <w:t xml:space="preserve">updateCorrespondenceStatus()</w:t>
            </w:r>
            <w:r>
              <w:rPr>
                <w:rFonts w:ascii="Calibri" w:cs="Calibri" w:eastAsia="Calibri" w:hAnsi="Calibri"/>
                <w:sz w:val="21"/>
                <w:szCs w:val="21"/>
              </w:rPr>
              <w:t xml:space="preserve"> immediately after a successful Agreement transition to </w:t>
            </w:r>
            <w:r>
              <w:rPr>
                <w:rFonts w:ascii="Consolas" w:cs="Consolas" w:eastAsia="Consolas" w:hAnsi="Consolas"/>
                <w:color w:val="1F3A5F"/>
                <w:sz w:val="19"/>
                <w:szCs w:val="19"/>
              </w:rPr>
              <w:t xml:space="preserve">Issued</w:t>
            </w:r>
            <w:r>
              <w:rPr>
                <w:rFonts w:ascii="Calibri" w:cs="Calibri" w:eastAsia="Calibri" w:hAnsi="Calibri"/>
                <w:sz w:val="21"/>
                <w:szCs w:val="21"/>
              </w:rPr>
              <w:t xml:space="preserve">. Sends an email to the client (reuse the agency's configured mail sending path — </w:t>
            </w:r>
            <w:r>
              <w:rPr>
                <w:rFonts w:ascii="Consolas" w:cs="Consolas" w:eastAsia="Consolas" w:hAnsi="Consolas"/>
                <w:color w:val="1F3A5F"/>
                <w:sz w:val="19"/>
                <w:szCs w:val="19"/>
              </w:rPr>
              <w:t xml:space="preserve">AgencyMailSettings</w:t>
            </w:r>
            <w:r>
              <w:rPr>
                <w:rFonts w:ascii="Calibri" w:cs="Calibri" w:eastAsia="Calibri" w:hAnsi="Calibri"/>
                <w:sz w:val="21"/>
                <w:szCs w:val="21"/>
              </w:rPr>
              <w:t xml:space="preserve"> / whatever transport </w:t>
            </w:r>
            <w:r>
              <w:rPr>
                <w:rFonts w:ascii="Consolas" w:cs="Consolas" w:eastAsia="Consolas" w:hAnsi="Consolas"/>
                <w:color w:val="1F3A5F"/>
                <w:sz w:val="19"/>
                <w:szCs w:val="19"/>
              </w:rPr>
              <w:t xml:space="preserve">sendAccountAccessEmail</w:t>
            </w:r>
            <w:r>
              <w:rPr>
                <w:rFonts w:ascii="Calibri" w:cs="Calibri" w:eastAsia="Calibri" w:hAnsi="Calibri"/>
                <w:sz w:val="21"/>
                <w:szCs w:val="21"/>
              </w:rPr>
              <w:t xml:space="preserve">-style helpers already use elsewhere in this codebase) with a direct link into their portal's agreement view, and logs a </w:t>
            </w:r>
            <w:r>
              <w:rPr>
                <w:rFonts w:ascii="Consolas" w:cs="Consolas" w:eastAsia="Consolas" w:hAnsi="Consolas"/>
                <w:color w:val="1F3A5F"/>
                <w:sz w:val="19"/>
                <w:szCs w:val="19"/>
              </w:rPr>
              <w:t xml:space="preserve">recordActivity</w:t>
            </w:r>
            <w:r>
              <w:rPr>
                <w:rFonts w:ascii="Calibri" w:cs="Calibri" w:eastAsia="Calibri" w:hAnsi="Calibri"/>
                <w:sz w:val="21"/>
                <w:szCs w:val="21"/>
              </w:rPr>
              <w:t xml:space="preserve"> entry (</w:t>
            </w:r>
            <w:r>
              <w:rPr>
                <w:rFonts w:ascii="Consolas" w:cs="Consolas" w:eastAsia="Consolas" w:hAnsi="Consolas"/>
                <w:color w:val="1F3A5F"/>
                <w:sz w:val="19"/>
                <w:szCs w:val="19"/>
              </w:rPr>
              <w:t xml:space="preserve">correspondence.retainer_sent</w:t>
            </w:r>
            <w:r>
              <w:rPr>
                <w:rFonts w:ascii="Calibri" w:cs="Calibri" w:eastAsia="Calibri" w:hAnsi="Calibri"/>
                <w:sz w:val="21"/>
                <w:szCs w:val="21"/>
              </w:rPr>
              <w:t xml:space="preserve">) the same way every other billing/agreement action already does.</w:t>
            </w:r>
          </w:p>
        </w:tc>
      </w:tr>
    </w:tbl>
    <w:p>
      <w:pPr>
        <w:spacing w:after="90" w:before="220"/>
      </w:pPr>
      <w:r>
        <w:rPr>
          <w:rFonts w:ascii="Calibri" w:cs="Calibri" w:eastAsia="Calibri" w:hAnsi="Calibri"/>
          <w:b/>
          <w:bCs/>
          <w:color w:val="1F3A5F"/>
          <w:sz w:val="22"/>
          <w:szCs w:val="22"/>
        </w:rPr>
        <w:t xml:space="preserve">2.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frontend/src/components/case-profile/CaseWorkspaceTabs.jsx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RetainerStatusCard (Fix 3.1)</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Add an "Approve and send" button, visible only to admin/consultant roles, that fires the </w:t>
            </w:r>
            <w:r>
              <w:rPr>
                <w:rFonts w:ascii="Consolas" w:cs="Consolas" w:eastAsia="Consolas" w:hAnsi="Consolas"/>
                <w:color w:val="1F3A5F"/>
                <w:sz w:val="19"/>
                <w:szCs w:val="19"/>
              </w:rPr>
              <w:t xml:space="preserve">ReadyToIssue</w:t>
            </w:r>
            <w:r>
              <w:rPr>
                <w:rFonts w:ascii="Calibri" w:cs="Calibri" w:eastAsia="Calibri" w:hAnsi="Calibri"/>
                <w:sz w:val="21"/>
                <w:szCs w:val="21"/>
              </w:rPr>
              <w:t xml:space="preserve"> → </w:t>
            </w:r>
            <w:r>
              <w:rPr>
                <w:rFonts w:ascii="Consolas" w:cs="Consolas" w:eastAsia="Consolas" w:hAnsi="Consolas"/>
                <w:color w:val="1F3A5F"/>
                <w:sz w:val="19"/>
                <w:szCs w:val="19"/>
              </w:rPr>
              <w:t xml:space="preserve">Issued</w:t>
            </w:r>
            <w:r>
              <w:rPr>
                <w:rFonts w:ascii="Calibri" w:cs="Calibri" w:eastAsia="Calibri" w:hAnsi="Calibri"/>
                <w:sz w:val="21"/>
                <w:szCs w:val="21"/>
              </w:rPr>
              <w:t xml:space="preserve"> transition — replacing any generic status dropdown with a single, obviously-labelled action matching the agency's described flow ("when a consultant approves it it will send a retainer").</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 front-desk or other non-consultant/admin role can prepare a retainer draft but cannot send it — the approve action is not visible to them and the endpoint rejects the transition if called directly.</w:t>
      </w:r>
    </w:p>
    <w:p>
      <w:pPr>
        <w:pStyle w:val="ListParagraph"/>
        <w:numPr>
          <w:ilvl w:val="0"/>
          <w:numId w:val="2"/>
        </w:numPr>
        <w:spacing w:after="80"/>
      </w:pPr>
      <w:r>
        <w:rPr>
          <w:rFonts w:ascii="Calibri" w:cs="Calibri" w:eastAsia="Calibri" w:hAnsi="Calibri"/>
          <w:sz w:val="21"/>
          <w:szCs w:val="21"/>
        </w:rPr>
        <w:t xml:space="preserve">The client receives an email with a working link the moment a consultant approves, and that send is visible in the case's activity log with who approved it and when.</w:t>
      </w:r>
    </w:p>
    <w:p>
      <w:pPr>
        <w:spacing w:after="90" w:before="220"/>
      </w:pPr>
      <w:r>
        <w:rPr>
          <w:rFonts w:ascii="Calibri" w:cs="Calibri" w:eastAsia="Calibri" w:hAnsi="Calibri"/>
          <w:b/>
          <w:bCs/>
          <w:color w:val="1F3A5F"/>
          <w:sz w:val="22"/>
          <w:szCs w:val="22"/>
        </w:rPr>
        <w:t xml:space="preserve">Tests to add</w:t>
      </w:r>
    </w:p>
    <w:p>
      <w:pPr>
        <w:pStyle w:val="ListParagraph"/>
        <w:numPr>
          <w:ilvl w:val="0"/>
          <w:numId w:val="2"/>
        </w:numPr>
        <w:spacing w:after="80"/>
      </w:pPr>
      <w:r>
        <w:rPr>
          <w:rFonts w:ascii="Calibri" w:cs="Calibri" w:eastAsia="Calibri" w:hAnsi="Calibri"/>
          <w:sz w:val="21"/>
          <w:szCs w:val="21"/>
        </w:rPr>
        <w:t xml:space="preserve">Backend test: updateCorrespondenceStatus() with an actor role of "frontdesk" attempting ReadyToIssue → Issued on an Agreement-kind document is rejected with 403; the same call from "consultant" or "admin" succeeds and triggers exactly one notifyRetainerIssued() call.</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5 — Client finger-signature</w:t>
      </w:r>
    </w:p>
    <w:p>
      <w:pPr>
        <w:spacing w:after="140"/>
      </w:pPr>
      <w:r>
        <w:rPr>
          <w:rFonts w:ascii="Calibri" w:cs="Calibri" w:eastAsia="Calibri" w:hAnsi="Calibri"/>
          <w:i/>
          <w:iCs/>
          <w:color w:val="5B6472"/>
          <w:sz w:val="21"/>
          <w:szCs w:val="21"/>
        </w:rPr>
        <w:t xml:space="preserve">Point the new flow at the finger-signature capture that already exists end to end — nothing to build from scratch here.</w:t>
      </w:r>
    </w:p>
    <w:p>
      <w:pPr>
        <w:pStyle w:val="Heading2"/>
        <w:spacing w:after="140" w:before="380"/>
      </w:pPr>
      <w:r>
        <w:rPr>
          <w:rFonts w:ascii="Calibri" w:cs="Calibri" w:eastAsia="Calibri" w:hAnsi="Calibri"/>
          <w:b/>
          <w:bCs/>
          <w:color w:val="111827"/>
          <w:sz w:val="27"/>
          <w:szCs w:val="27"/>
        </w:rPr>
        <w:t xml:space="preserve">Fix 5.1: Point the Billing-tab retainer at the existing portal e-signature flow — no new signature capture to build</w:t>
      </w:r>
      <w:r>
        <w:t xml:space="preserve">   </w:t>
      </w:r>
      <w:r>
        <w:rPr>
          <w:rFonts w:ascii="Calibri" w:cs="Calibri" w:eastAsia="Calibri" w:hAnsi="Calibri"/>
          <w:b/>
          <w:bCs/>
          <w:color w:val="FFFFFF"/>
          <w:sz w:val="17"/>
          <w:szCs w:val="17"/>
          <w:shd w:fill="8A5A00" w:val="clear"/>
        </w:rPr>
        <w:t xml:space="preserve">HIGH PRIORITY</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clientPortalController.js:916-988 (applyAgreementSignature already forces signatureMethod: "drawn" for retainers and validates a base64 canvas image) · clientPortalController.js:990-1015 (signPortalAgreement — the portal-authenticated sign endpoint) · SignaturePad.jsx / ClientAgreementCard.jsx / ESignCenterOverlay.jsx (the existing finger-signature UI, already used elsewhere in the portal)</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Finger/stylus signature capture, consent recording, and "forced drawn signature for retainers" already exist end to end (applyAgreementSignature explicitly overrides any request to sign an Agreement by typing — signatureMethod is hardcoded to "drawn", clientPortalController.js:90) and are already wired to the portal-authenticated path (signPortalAgreement) that a case's client — who, unlike a pre-conversion lead, already has portal access — will reach. The only genuinely missing piece is that a case client currently has no reason to know a retainer is waiting, since nothing in Billing points them there and no email exists (Fix 4.1 closes that).</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backend/src/controllers/clientPortalController.js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No functional change</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Confirm </w:t>
            </w:r>
            <w:r>
              <w:rPr>
                <w:rFonts w:ascii="Consolas" w:cs="Consolas" w:eastAsia="Consolas" w:hAnsi="Consolas"/>
                <w:color w:val="1F3A5F"/>
                <w:sz w:val="19"/>
                <w:szCs w:val="19"/>
              </w:rPr>
              <w:t xml:space="preserve">signPortalAgreement()</w:t>
            </w:r>
            <w:r>
              <w:rPr>
                <w:rFonts w:ascii="Calibri" w:cs="Calibri" w:eastAsia="Calibri" w:hAnsi="Calibri"/>
                <w:sz w:val="21"/>
                <w:szCs w:val="21"/>
              </w:rPr>
              <w:t xml:space="preserve"> (line 990) already covers this case end to end once Fix 4.1's email links directly to it — it does not check </w:t>
            </w:r>
            <w:r>
              <w:rPr>
                <w:rFonts w:ascii="Consolas" w:cs="Consolas" w:eastAsia="Consolas" w:hAnsi="Consolas"/>
                <w:color w:val="1F3A5F"/>
                <w:sz w:val="19"/>
                <w:szCs w:val="19"/>
              </w:rPr>
              <w:t xml:space="preserve">correspondenceKind</w:t>
            </w:r>
            <w:r>
              <w:rPr>
                <w:rFonts w:ascii="Calibri" w:cs="Calibri" w:eastAsia="Calibri" w:hAnsi="Calibri"/>
                <w:sz w:val="21"/>
                <w:szCs w:val="21"/>
              </w:rPr>
              <w:t xml:space="preserve"> beyond requiring </w:t>
            </w:r>
            <w:r>
              <w:rPr>
                <w:rFonts w:ascii="Consolas" w:cs="Consolas" w:eastAsia="Consolas" w:hAnsi="Consolas"/>
                <w:color w:val="1F3A5F"/>
                <w:sz w:val="19"/>
                <w:szCs w:val="19"/>
              </w:rPr>
              <w:t xml:space="preserve">Agreement</w:t>
            </w:r>
            <w:r>
              <w:rPr>
                <w:rFonts w:ascii="Calibri" w:cs="Calibri" w:eastAsia="Calibri" w:hAnsi="Calibri"/>
                <w:sz w:val="21"/>
                <w:szCs w:val="21"/>
              </w:rPr>
              <w:t xml:space="preserve">, so a case-level billing retainer signs exactly the same way a lead-stage retainer does today. No code change here beyond verifying the portal route it sits behind is reachable from the email link Fix 4.1 sends.</w:t>
            </w:r>
          </w:p>
        </w:tc>
      </w:tr>
    </w:tbl>
    <w:p>
      <w:pPr>
        <w:spacing w:after="90" w:before="220"/>
      </w:pPr>
      <w:r>
        <w:rPr>
          <w:rFonts w:ascii="Calibri" w:cs="Calibri" w:eastAsia="Calibri" w:hAnsi="Calibri"/>
          <w:b/>
          <w:bCs/>
          <w:color w:val="1F3A5F"/>
          <w:sz w:val="22"/>
          <w:szCs w:val="22"/>
        </w:rPr>
        <w:t xml:space="preserve">2.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frontend/src/pages/client-portal (existing agreement view)</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Confirm reachability from the emailed link</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Verify the portal's existing agreement-signing screen (built around </w:t>
            </w:r>
            <w:r>
              <w:rPr>
                <w:rFonts w:ascii="Consolas" w:cs="Consolas" w:eastAsia="Consolas" w:hAnsi="Consolas"/>
                <w:color w:val="1F3A5F"/>
                <w:sz w:val="19"/>
                <w:szCs w:val="19"/>
              </w:rPr>
              <w:t xml:space="preserve">SignaturePad.jsx</w:t>
            </w:r>
            <w:r>
              <w:rPr>
                <w:rFonts w:ascii="Calibri" w:cs="Calibri" w:eastAsia="Calibri" w:hAnsi="Calibri"/>
                <w:sz w:val="21"/>
                <w:szCs w:val="21"/>
              </w:rPr>
              <w:t xml:space="preserve">/</w:t>
            </w:r>
            <w:r>
              <w:rPr>
                <w:rFonts w:ascii="Consolas" w:cs="Consolas" w:eastAsia="Consolas" w:hAnsi="Consolas"/>
                <w:color w:val="1F3A5F"/>
                <w:sz w:val="19"/>
                <w:szCs w:val="19"/>
              </w:rPr>
              <w:t xml:space="preserve">ClientAgreementCard.jsx</w:t>
            </w:r>
            <w:r>
              <w:rPr>
                <w:rFonts w:ascii="Calibri" w:cs="Calibri" w:eastAsia="Calibri" w:hAnsi="Calibri"/>
                <w:sz w:val="21"/>
                <w:szCs w:val="21"/>
              </w:rPr>
              <w:t xml:space="preserve">) is reachable at a stable, linkable URL for a specific </w:t>
            </w:r>
            <w:r>
              <w:rPr>
                <w:rFonts w:ascii="Consolas" w:cs="Consolas" w:eastAsia="Consolas" w:hAnsi="Consolas"/>
                <w:color w:val="1F3A5F"/>
                <w:sz w:val="19"/>
                <w:szCs w:val="19"/>
              </w:rPr>
              <w:t xml:space="preserve">WrittenDocument</w:t>
            </w:r>
            <w:r>
              <w:rPr>
                <w:rFonts w:ascii="Calibri" w:cs="Calibri" w:eastAsia="Calibri" w:hAnsi="Calibri"/>
                <w:sz w:val="21"/>
                <w:szCs w:val="21"/>
              </w:rPr>
              <w:t xml:space="preserve"> id — that URL is what Fix 4.1's email points to. If today's portal navigation only surfaces agreements through a general "Documents" list with no deep link, add one (a small addition, not a rebuild).</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 client who clicks the emailed link lands directly on their retainer, signs with a finger/stylus exactly the way the existing portal flow already works, and cannot submit a typed signature for it — all pre-existing behavior, now reachable from Billing instead of only from a staff-initiated Agreements &amp; Letters flow.</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6 — Admin auto-countersignature</w:t>
      </w:r>
    </w:p>
    <w:p>
      <w:pPr>
        <w:spacing w:after="140"/>
      </w:pPr>
      <w:r>
        <w:rPr>
          <w:rFonts w:ascii="Calibri" w:cs="Calibri" w:eastAsia="Calibri" w:hAnsi="Calibri"/>
          <w:i/>
          <w:iCs/>
          <w:color w:val="5B6472"/>
          <w:sz w:val="21"/>
          <w:szCs w:val="21"/>
        </w:rPr>
        <w:t xml:space="preserve">One stored agency signature, auto-applied the instant the client signs — never before.</w:t>
      </w:r>
    </w:p>
    <w:p>
      <w:pPr>
        <w:pStyle w:val="Heading2"/>
        <w:spacing w:after="140" w:before="380"/>
      </w:pPr>
      <w:r>
        <w:rPr>
          <w:rFonts w:ascii="Calibri" w:cs="Calibri" w:eastAsia="Calibri" w:hAnsi="Calibri"/>
          <w:b/>
          <w:bCs/>
          <w:color w:val="111827"/>
          <w:sz w:val="27"/>
          <w:szCs w:val="27"/>
        </w:rPr>
        <w:t xml:space="preserve">Fix 6.1: Capture the one agency signature in Settings</w:t>
      </w:r>
      <w:r>
        <w:t xml:space="preserve">   </w:t>
      </w:r>
      <w:r>
        <w:rPr>
          <w:rFonts w:ascii="Calibri" w:cs="Calibri" w:eastAsia="Calibri" w:hAnsi="Calibri"/>
          <w:b/>
          <w:bCs/>
          <w:color w:val="FFFFFF"/>
          <w:sz w:val="17"/>
          <w:szCs w:val="17"/>
          <w:shd w:fill="B3261E" w:val="clear"/>
        </w:rPr>
        <w:t xml:space="preserve">CRITICAL</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AgencyBillingSettings.retainerSignatureImage (new, Fix 1.1) · clientPortalController.js's drawnSignatureImage() (the existing base64-PNG validator this reuses) · SignaturePad.jsx (the existing canvas signature component this reuses, per the agency's confirmed decision: one single agency-wide signature, not per-admin)</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Nowhere in CaseDesk stores a reusable signature image today — the only signature that exists is stamped once, per document, into that document's own HTML (signatureBlockHtml, clientPortalController.js:927). The agency needs one that can be reapplied automatically to every retainer, captured once in Settings rather than drawn per document.</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backend/src/controllers/agencyBillingSettingsController.js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New endpoints — GET/PUT /settings/billing/signature</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PUT accepts the same </w:t>
            </w:r>
            <w:r>
              <w:rPr>
                <w:rFonts w:ascii="Consolas" w:cs="Consolas" w:eastAsia="Consolas" w:hAnsi="Consolas"/>
                <w:color w:val="1F3A5F"/>
                <w:sz w:val="19"/>
                <w:szCs w:val="19"/>
              </w:rPr>
              <w:t xml:space="preserve">signatureImage</w:t>
            </w:r>
            <w:r>
              <w:rPr>
                <w:rFonts w:ascii="Calibri" w:cs="Calibri" w:eastAsia="Calibri" w:hAnsi="Calibri"/>
                <w:sz w:val="21"/>
                <w:szCs w:val="21"/>
              </w:rPr>
              <w:t xml:space="preserve"> shape </w:t>
            </w:r>
            <w:r>
              <w:rPr>
                <w:rFonts w:ascii="Consolas" w:cs="Consolas" w:eastAsia="Consolas" w:hAnsi="Consolas"/>
                <w:color w:val="1F3A5F"/>
                <w:sz w:val="19"/>
                <w:szCs w:val="19"/>
              </w:rPr>
              <w:t xml:space="preserve">applyAgreementSignature()</w:t>
            </w:r>
            <w:r>
              <w:rPr>
                <w:rFonts w:ascii="Calibri" w:cs="Calibri" w:eastAsia="Calibri" w:hAnsi="Calibri"/>
                <w:sz w:val="21"/>
                <w:szCs w:val="21"/>
              </w:rPr>
              <w:t xml:space="preserve"> already validates (base64 PNG data URL) — reuse </w:t>
            </w:r>
            <w:r>
              <w:rPr>
                <w:rFonts w:ascii="Consolas" w:cs="Consolas" w:eastAsia="Consolas" w:hAnsi="Consolas"/>
                <w:color w:val="1F3A5F"/>
                <w:sz w:val="19"/>
                <w:szCs w:val="19"/>
              </w:rPr>
              <w:t xml:space="preserve">drawnSignatureImage()</w:t>
            </w:r>
            <w:r>
              <w:rPr>
                <w:rFonts w:ascii="Calibri" w:cs="Calibri" w:eastAsia="Calibri" w:hAnsi="Calibri"/>
                <w:sz w:val="21"/>
                <w:szCs w:val="21"/>
              </w:rPr>
              <w:t xml:space="preserve"> directly rather than writing a second validator. Restricted to admin role. Stores into </w:t>
            </w:r>
            <w:r>
              <w:rPr>
                <w:rFonts w:ascii="Consolas" w:cs="Consolas" w:eastAsia="Consolas" w:hAnsi="Consolas"/>
                <w:color w:val="1F3A5F"/>
                <w:sz w:val="19"/>
                <w:szCs w:val="19"/>
              </w:rPr>
              <w:t xml:space="preserve">AgencyBillingSettings.retainerSignatureImage</w:t>
            </w:r>
            <w:r>
              <w:rPr>
                <w:rFonts w:ascii="Calibri" w:cs="Calibri" w:eastAsia="Calibri" w:hAnsi="Calibri"/>
                <w:sz w:val="21"/>
                <w:szCs w:val="21"/>
              </w:rPr>
              <w:t xml:space="preserve"> plus </w:t>
            </w:r>
            <w:r>
              <w:rPr>
                <w:rFonts w:ascii="Consolas" w:cs="Consolas" w:eastAsia="Consolas" w:hAnsi="Consolas"/>
                <w:color w:val="1F3A5F"/>
                <w:sz w:val="19"/>
                <w:szCs w:val="19"/>
              </w:rPr>
              <w:t xml:space="preserve">retainerSignatureUpdatedById</w:t>
            </w:r>
            <w:r>
              <w:rPr>
                <w:rFonts w:ascii="Calibri" w:cs="Calibri" w:eastAsia="Calibri" w:hAnsi="Calibri"/>
                <w:sz w:val="21"/>
                <w:szCs w:val="21"/>
              </w:rPr>
              <w:t xml:space="preserve">/</w:t>
            </w:r>
            <w:r>
              <w:rPr>
                <w:rFonts w:ascii="Consolas" w:cs="Consolas" w:eastAsia="Consolas" w:hAnsi="Consolas"/>
                <w:color w:val="1F3A5F"/>
                <w:sz w:val="19"/>
                <w:szCs w:val="19"/>
              </w:rPr>
              <w:t xml:space="preserve">retainerSignatureUpdatedAt</w:t>
            </w:r>
            <w:r>
              <w:rPr>
                <w:rFonts w:ascii="Calibri" w:cs="Calibri" w:eastAsia="Calibri" w:hAnsi="Calibri"/>
                <w:sz w:val="21"/>
                <w:szCs w:val="21"/>
              </w:rPr>
              <w:t xml:space="preserve">.</w:t>
            </w:r>
          </w:p>
        </w:tc>
      </w:tr>
    </w:tbl>
    <w:p>
      <w:pPr>
        <w:spacing w:after="90" w:before="220"/>
      </w:pPr>
      <w:r>
        <w:rPr>
          <w:rFonts w:ascii="Calibri" w:cs="Calibri" w:eastAsia="Calibri" w:hAnsi="Calibri"/>
          <w:b/>
          <w:bCs/>
          <w:color w:val="1F3A5F"/>
          <w:sz w:val="22"/>
          <w:szCs w:val="22"/>
        </w:rPr>
        <w:t xml:space="preserve">2.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frontend/src/components/settings/BillingSignatureSettingsCard.jsx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New settings card</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Reuses </w:t>
            </w:r>
            <w:r>
              <w:rPr>
                <w:rFonts w:ascii="Consolas" w:cs="Consolas" w:eastAsia="Consolas" w:hAnsi="Consolas"/>
                <w:color w:val="1F3A5F"/>
                <w:sz w:val="19"/>
                <w:szCs w:val="19"/>
              </w:rPr>
              <w:t xml:space="preserve">SignaturePad.jsx</w:t>
            </w:r>
            <w:r>
              <w:rPr>
                <w:rFonts w:ascii="Calibri" w:cs="Calibri" w:eastAsia="Calibri" w:hAnsi="Calibri"/>
                <w:sz w:val="21"/>
                <w:szCs w:val="21"/>
              </w:rPr>
              <w:t xml:space="preserve"> exactly as the portal's client-signing screen does — same canvas component, same "clear and redraw" interaction — so staff draw the agency's signature once with a mouse or trackpad. Shows the currently-stored signature (if any) with who last set it and when, plus a "Redraw" action.</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An admin can draw, preview, and save one signature image for the agency; a non-admin cannot reach or change it.</w:t>
      </w:r>
    </w:p>
    <w:p>
      <w:pPr>
        <w:pStyle w:val="ListParagraph"/>
        <w:numPr>
          <w:ilvl w:val="0"/>
          <w:numId w:val="2"/>
        </w:numPr>
        <w:spacing w:after="80"/>
      </w:pPr>
      <w:r>
        <w:rPr>
          <w:rFonts w:ascii="Calibri" w:cs="Calibri" w:eastAsia="Calibri" w:hAnsi="Calibri"/>
          <w:sz w:val="21"/>
          <w:szCs w:val="21"/>
        </w:rPr>
        <w:t xml:space="preserve">The stored image round-trips through the same validation a client's drawn signature goes through, so a corrupt or empty canvas is rejected with the same error message the portal already gives clients.</w:t>
      </w:r>
    </w:p>
    <w:p>
      <w:pPr>
        <w:spacing w:after="200"/>
      </w:pPr>
    </w:p>
    <w:p>
      <w:pPr>
        <w:pStyle w:val="Heading2"/>
        <w:spacing w:after="140" w:before="380"/>
      </w:pPr>
      <w:r>
        <w:rPr>
          <w:rFonts w:ascii="Calibri" w:cs="Calibri" w:eastAsia="Calibri" w:hAnsi="Calibri"/>
          <w:b/>
          <w:bCs/>
          <w:color w:val="111827"/>
          <w:sz w:val="27"/>
          <w:szCs w:val="27"/>
        </w:rPr>
        <w:t xml:space="preserve">Fix 6.2: Auto-apply the agency signature and finalize the moment the client signs</w:t>
      </w:r>
      <w:r>
        <w:t xml:space="preserve">   </w:t>
      </w:r>
      <w:r>
        <w:rPr>
          <w:rFonts w:ascii="Calibri" w:cs="Calibri" w:eastAsia="Calibri" w:hAnsi="Calibri"/>
          <w:b/>
          <w:bCs/>
          <w:color w:val="FFFFFF"/>
          <w:sz w:val="17"/>
          <w:szCs w:val="17"/>
          <w:shd w:fill="B3261E" w:val="clear"/>
        </w:rPr>
        <w:t xml:space="preserve">CRITICAL</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clientPortalController.js:916-988 (applyAgreementSignature — moves an Agreement from Issued to Signed; nothing today moves it further) · correspondenceController.js:118-120 (Finalized already exists as the correct terminal state after Signed, currently only reachable by a manual, unenforced status-update call)</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Signed is currently the last state anything actually does anything to — Finalized exists in the status vocabulary and is validated ("the client must sign this agreement before it can be finalized") but nothing automatically reaches it, and nothing stamps a second signature into the document the way the client's is stamped. The agency's requirement — admin's signature auto-applies only after the client has signed — maps exactly onto the already-designed but unused Signed → Finalized transition.</w:t>
      </w:r>
    </w:p>
    <w:p>
      <w:pPr>
        <w:spacing w:after="90" w:before="220"/>
      </w:pPr>
      <w:r>
        <w:rPr>
          <w:rFonts w:ascii="Calibri" w:cs="Calibri" w:eastAsia="Calibri" w:hAnsi="Calibri"/>
          <w:b/>
          <w:bCs/>
          <w:color w:val="1F3A5F"/>
          <w:sz w:val="22"/>
          <w:szCs w:val="22"/>
        </w:rPr>
        <w:t xml:space="preserve">1. Backend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backend/src/controllers/clientPortalController.js</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applyAgreementSignature()</w:t>
            </w:r>
          </w:p>
        </w:tc>
        <w:tc>
          <w:tcPr>
            <w:tcW w:type="dxa" w:w="4850"/>
            <w:tcMar>
              <w:top w:type="dxa" w:w="80"/>
              <w:left w:type="dxa" w:w="120"/>
              <w:bottom w:type="dxa" w:w="80"/>
              <w:right w:type="dxa" w:w="120"/>
            </w:tcMar>
          </w:tcPr>
          <w:p>
            <w:pPr>
              <w:spacing w:after="80"/>
            </w:pPr>
            <w:r>
              <w:rPr>
                <w:rFonts w:ascii="Calibri" w:cs="Calibri" w:eastAsia="Calibri" w:hAnsi="Calibri"/>
                <w:sz w:val="21"/>
                <w:szCs w:val="21"/>
              </w:rPr>
              <w:t xml:space="preserve">Immediately after the existing transaction commits the client's signature (line 968, right after </w:t>
            </w:r>
            <w:r>
              <w:rPr>
                <w:rFonts w:ascii="Consolas" w:cs="Consolas" w:eastAsia="Consolas" w:hAnsi="Consolas"/>
                <w:color w:val="1F3A5F"/>
                <w:sz w:val="19"/>
                <w:szCs w:val="19"/>
              </w:rPr>
              <w:t xml:space="preserve">committed = true</w:t>
            </w:r>
            <w:r>
              <w:rPr>
                <w:rFonts w:ascii="Calibri" w:cs="Calibri" w:eastAsia="Calibri" w:hAnsi="Calibri"/>
                <w:sz w:val="21"/>
                <w:szCs w:val="21"/>
              </w:rPr>
              <w:t xml:space="preserve">), and only when </w:t>
            </w:r>
            <w:r>
              <w:rPr>
                <w:rFonts w:ascii="Consolas" w:cs="Consolas" w:eastAsia="Consolas" w:hAnsi="Consolas"/>
                <w:color w:val="1F3A5F"/>
                <w:sz w:val="19"/>
                <w:szCs w:val="19"/>
              </w:rPr>
              <w:t xml:space="preserve">agreement.correspondenceKind === "Agreement"</w:t>
            </w:r>
            <w:r>
              <w:rPr>
                <w:rFonts w:ascii="Calibri" w:cs="Calibri" w:eastAsia="Calibri" w:hAnsi="Calibri"/>
                <w:sz w:val="21"/>
                <w:szCs w:val="21"/>
              </w:rPr>
              <w:t xml:space="preserve"> and the case has an </w:t>
            </w:r>
            <w:r>
              <w:rPr>
                <w:rFonts w:ascii="Consolas" w:cs="Consolas" w:eastAsia="Consolas" w:hAnsi="Consolas"/>
                <w:color w:val="1F3A5F"/>
                <w:sz w:val="19"/>
                <w:szCs w:val="19"/>
              </w:rPr>
              <w:t xml:space="preserve">AgencyBillingSettings.retainerSignatureImage</w:t>
            </w:r>
            <w:r>
              <w:rPr>
                <w:rFonts w:ascii="Calibri" w:cs="Calibri" w:eastAsia="Calibri" w:hAnsi="Calibri"/>
                <w:sz w:val="21"/>
                <w:szCs w:val="21"/>
              </w:rPr>
              <w:t xml:space="preserve"> on file: append a second </w:t>
            </w:r>
            <w:r>
              <w:rPr>
                <w:rFonts w:ascii="Consolas" w:cs="Consolas" w:eastAsia="Consolas" w:hAnsi="Consolas"/>
                <w:color w:val="1F3A5F"/>
                <w:sz w:val="19"/>
                <w:szCs w:val="19"/>
              </w:rPr>
              <w:t xml:space="preserve">signatureBlockHtml()</w:t>
            </w:r>
            <w:r>
              <w:rPr>
                <w:rFonts w:ascii="Calibri" w:cs="Calibri" w:eastAsia="Calibri" w:hAnsi="Calibri"/>
                <w:sz w:val="21"/>
                <w:szCs w:val="21"/>
              </w:rPr>
              <w:t xml:space="preserve"> block for the agency (reusing the same stamping function, with the stored signature image and a fixed label such as the agency's legal name rather than a typed signer name), update </w:t>
            </w:r>
            <w:r>
              <w:rPr>
                <w:rFonts w:ascii="Consolas" w:cs="Consolas" w:eastAsia="Consolas" w:hAnsi="Consolas"/>
                <w:color w:val="1F3A5F"/>
                <w:sz w:val="19"/>
                <w:szCs w:val="19"/>
              </w:rPr>
              <w:t xml:space="preserve">correspondenceStatus</w:t>
            </w:r>
            <w:r>
              <w:rPr>
                <w:rFonts w:ascii="Calibri" w:cs="Calibri" w:eastAsia="Calibri" w:hAnsi="Calibri"/>
                <w:sz w:val="21"/>
                <w:szCs w:val="21"/>
              </w:rPr>
              <w:t xml:space="preserve"> to </w:t>
            </w:r>
            <w:r>
              <w:rPr>
                <w:rFonts w:ascii="Consolas" w:cs="Consolas" w:eastAsia="Consolas" w:hAnsi="Consolas"/>
                <w:color w:val="1F3A5F"/>
                <w:sz w:val="19"/>
                <w:szCs w:val="19"/>
              </w:rPr>
              <w:t xml:space="preserve">Finalized</w:t>
            </w:r>
            <w:r>
              <w:rPr>
                <w:rFonts w:ascii="Calibri" w:cs="Calibri" w:eastAsia="Calibri" w:hAnsi="Calibri"/>
                <w:sz w:val="21"/>
                <w:szCs w:val="21"/>
              </w:rPr>
              <w:t xml:space="preserve"> in the same transaction, and log a second activity entry (</w:t>
            </w:r>
            <w:r>
              <w:rPr>
                <w:rFonts w:ascii="Consolas" w:cs="Consolas" w:eastAsia="Consolas" w:hAnsi="Consolas"/>
                <w:color w:val="1F3A5F"/>
                <w:sz w:val="19"/>
                <w:szCs w:val="19"/>
              </w:rPr>
              <w:t xml:space="preserve">correspondence.retainer_countersigned</w:t>
            </w:r>
            <w:r>
              <w:rPr>
                <w:rFonts w:ascii="Calibri" w:cs="Calibri" w:eastAsia="Calibri" w:hAnsi="Calibri"/>
                <w:sz w:val="21"/>
                <w:szCs w:val="21"/>
              </w:rPr>
              <w:t xml:space="preserve">) distinct from the client's </w:t>
            </w:r>
            <w:r>
              <w:rPr>
                <w:rFonts w:ascii="Consolas" w:cs="Consolas" w:eastAsia="Consolas" w:hAnsi="Consolas"/>
                <w:color w:val="1F3A5F"/>
                <w:sz w:val="19"/>
                <w:szCs w:val="19"/>
              </w:rPr>
              <w:t xml:space="preserve">correspondence.portal_signed</w:t>
            </w:r>
            <w:r>
              <w:rPr>
                <w:rFonts w:ascii="Calibri" w:cs="Calibri" w:eastAsia="Calibri" w:hAnsi="Calibri"/>
                <w:sz w:val="21"/>
                <w:szCs w:val="21"/>
              </w:rPr>
              <w:t xml:space="preserve"> entry so the two signatures remain individually auditable.</w:t>
            </w:r>
          </w:p>
          <w:p>
            <w:pPr>
              <w:spacing w:after="0"/>
            </w:pPr>
            <w:r>
              <w:rPr>
                <w:rFonts w:ascii="Calibri" w:cs="Calibri" w:eastAsia="Calibri" w:hAnsi="Calibri"/>
                <w:sz w:val="21"/>
                <w:szCs w:val="21"/>
              </w:rPr>
              <w:t xml:space="preserve">If no agency signature has been captured yet (Fix 6.1 not yet done for this agency), leave the document at </w:t>
            </w:r>
            <w:r>
              <w:rPr>
                <w:rFonts w:ascii="Consolas" w:cs="Consolas" w:eastAsia="Consolas" w:hAnsi="Consolas"/>
                <w:color w:val="1F3A5F"/>
                <w:sz w:val="19"/>
                <w:szCs w:val="19"/>
              </w:rPr>
              <w:t xml:space="preserve">Signed</w:t>
            </w:r>
            <w:r>
              <w:rPr>
                <w:rFonts w:ascii="Calibri" w:cs="Calibri" w:eastAsia="Calibri" w:hAnsi="Calibri"/>
                <w:sz w:val="21"/>
                <w:szCs w:val="21"/>
              </w:rPr>
              <w:t xml:space="preserve"> exactly as it behaves today — this is strictly additive, never a regression for an agency that hasn't set one up.</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The instant a client finishes signing a case-billing retainer, and an agency signature is on file, the document is Finalized with both signatures visible in its content — with no separate staff action required, matching "then after user signed it via finger only then admin's sign will be auto signed on it."</w:t>
      </w:r>
    </w:p>
    <w:p>
      <w:pPr>
        <w:pStyle w:val="ListParagraph"/>
        <w:numPr>
          <w:ilvl w:val="0"/>
          <w:numId w:val="2"/>
        </w:numPr>
        <w:spacing w:after="80"/>
      </w:pPr>
      <w:r>
        <w:rPr>
          <w:rFonts w:ascii="Calibri" w:cs="Calibri" w:eastAsia="Calibri" w:hAnsi="Calibri"/>
          <w:sz w:val="21"/>
          <w:szCs w:val="21"/>
        </w:rPr>
        <w:t xml:space="preserve">The two signature events are distinguishable in the case activity log by actor and timestamp, even though the agency signature has no individual human signer name attached to it.</w:t>
      </w:r>
    </w:p>
    <w:p>
      <w:pPr>
        <w:spacing w:after="90" w:before="220"/>
      </w:pPr>
      <w:r>
        <w:rPr>
          <w:rFonts w:ascii="Calibri" w:cs="Calibri" w:eastAsia="Calibri" w:hAnsi="Calibri"/>
          <w:b/>
          <w:bCs/>
          <w:color w:val="1F3A5F"/>
          <w:sz w:val="22"/>
          <w:szCs w:val="22"/>
        </w:rPr>
        <w:t xml:space="preserve">Tests to add</w:t>
      </w:r>
    </w:p>
    <w:p>
      <w:pPr>
        <w:pStyle w:val="ListParagraph"/>
        <w:numPr>
          <w:ilvl w:val="0"/>
          <w:numId w:val="2"/>
        </w:numPr>
        <w:spacing w:after="80"/>
      </w:pPr>
      <w:r>
        <w:rPr>
          <w:rFonts w:ascii="Calibri" w:cs="Calibri" w:eastAsia="Calibri" w:hAnsi="Calibri"/>
          <w:sz w:val="21"/>
          <w:szCs w:val="21"/>
        </w:rPr>
        <w:t xml:space="preserve">Backend test: signing an Agreement-kind document with an agency signature configured results in correspondenceStatus "Finalized" and two matching activity-log rows; the same call with no agency signature configured results in "Signed" only, unchanged from current behavior.</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7 — Declutter the Billing tab</w:t>
      </w:r>
    </w:p>
    <w:p>
      <w:pPr>
        <w:spacing w:after="140"/>
      </w:pPr>
      <w:r>
        <w:rPr>
          <w:rFonts w:ascii="Calibri" w:cs="Calibri" w:eastAsia="Calibri" w:hAnsi="Calibri"/>
          <w:i/>
          <w:iCs/>
          <w:color w:val="5B6472"/>
          <w:sz w:val="21"/>
          <w:szCs w:val="21"/>
        </w:rPr>
        <w:t xml:space="preserve">One flow instead of four simultaneous, unrelated systems.</w:t>
      </w:r>
    </w:p>
    <w:p>
      <w:pPr>
        <w:pStyle w:val="Heading2"/>
        <w:spacing w:after="140" w:before="380"/>
      </w:pPr>
      <w:r>
        <w:rPr>
          <w:rFonts w:ascii="Calibri" w:cs="Calibri" w:eastAsia="Calibri" w:hAnsi="Calibri"/>
          <w:b/>
          <w:bCs/>
          <w:color w:val="111827"/>
          <w:sz w:val="27"/>
          <w:szCs w:val="27"/>
        </w:rPr>
        <w:t xml:space="preserve">Fix 7.1: Consolidate the retainer card, payment schedule, and invoices into one coherent, progressively-disclosed flow</w:t>
      </w:r>
      <w:r>
        <w:t xml:space="preserve">   </w:t>
      </w:r>
      <w:r>
        <w:rPr>
          <w:rFonts w:ascii="Calibri" w:cs="Calibri" w:eastAsia="Calibri" w:hAnsi="Calibri"/>
          <w:b/>
          <w:bCs/>
          <w:color w:val="FFFFFF"/>
          <w:sz w:val="17"/>
          <w:szCs w:val="17"/>
          <w:shd w:fill="8A5A00" w:val="clear"/>
        </w:rPr>
        <w:t xml:space="preserve">HIGH PRIORITY</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CaseWorkspaceTabs.jsx:3560-3591 (Billing tab currently stacks four metric tiles, the full CasePaymentScheduleWorkspace, and the full CaseBillingWorkspace unconditionally, regardless of whether a retainer exists yet) · CaseBillingWorkspace.jsx (426 lines: ad-hoc invoice creation, cash/e-transfer recording, and a manual ledger panel, all always visible) · CasePaymentScheduleWorkspace.jsx (template picker and structured installments, always visible alongside it)</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Every case's Billing tab shows the same four sections whether or not a retainer has even been sent yet — a brand-new case with no signed retainer sees a payment-schedule template picker, an empty invoice list with a prominent "New invoice" button, and a manual ledger panel, all competing for attention with no indication of what to do first. This is the clutter the agency described.</w:t>
      </w:r>
    </w:p>
    <w:p>
      <w:pPr>
        <w:spacing w:after="90" w:before="220"/>
      </w:pPr>
      <w:r>
        <w:rPr>
          <w:rFonts w:ascii="Calibri" w:cs="Calibri" w:eastAsia="Calibri" w:hAnsi="Calibri"/>
          <w:b/>
          <w:bCs/>
          <w:color w:val="1F3A5F"/>
          <w:sz w:val="22"/>
          <w:szCs w:val="22"/>
        </w:rPr>
        <w:t xml:space="preserve">1.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frontend/src/components/case-profile/CaseWorkspaceTabs.jsx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Restructure the Billing tab render</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New order, each stage gating the next: (1) </w:t>
            </w:r>
            <w:r>
              <w:rPr>
                <w:rFonts w:ascii="Consolas" w:cs="Consolas" w:eastAsia="Consolas" w:hAnsi="Consolas"/>
                <w:color w:val="1F3A5F"/>
                <w:sz w:val="19"/>
                <w:szCs w:val="19"/>
              </w:rPr>
              <w:t xml:space="preserve">RetainerStatusCard</w:t>
            </w:r>
            <w:r>
              <w:rPr>
                <w:rFonts w:ascii="Calibri" w:cs="Calibri" w:eastAsia="Calibri" w:hAnsi="Calibri"/>
                <w:sz w:val="21"/>
                <w:szCs w:val="21"/>
              </w:rPr>
              <w:t xml:space="preserve"> (Fix 3.1/4.1) always on top. (2) While the retainer is anything before </w:t>
            </w:r>
            <w:r>
              <w:rPr>
                <w:rFonts w:ascii="Consolas" w:cs="Consolas" w:eastAsia="Consolas" w:hAnsi="Consolas"/>
                <w:color w:val="1F3A5F"/>
                <w:sz w:val="19"/>
                <w:szCs w:val="19"/>
              </w:rPr>
              <w:t xml:space="preserve">Finalized</w:t>
            </w:r>
            <w:r>
              <w:rPr>
                <w:rFonts w:ascii="Calibri" w:cs="Calibri" w:eastAsia="Calibri" w:hAnsi="Calibri"/>
                <w:sz w:val="21"/>
                <w:szCs w:val="21"/>
              </w:rPr>
              <w:t xml:space="preserve">, show it prominently and collapse </w:t>
            </w:r>
            <w:r>
              <w:rPr>
                <w:rFonts w:ascii="Consolas" w:cs="Consolas" w:eastAsia="Consolas" w:hAnsi="Consolas"/>
                <w:color w:val="1F3A5F"/>
                <w:sz w:val="19"/>
                <w:szCs w:val="19"/>
              </w:rPr>
              <w:t xml:space="preserve">CasePaymentScheduleWorkspace</w:t>
            </w:r>
            <w:r>
              <w:rPr>
                <w:rFonts w:ascii="Calibri" w:cs="Calibri" w:eastAsia="Calibri" w:hAnsi="Calibri"/>
                <w:sz w:val="21"/>
                <w:szCs w:val="21"/>
              </w:rPr>
              <w:t xml:space="preserve">/</w:t>
            </w:r>
            <w:r>
              <w:rPr>
                <w:rFonts w:ascii="Consolas" w:cs="Consolas" w:eastAsia="Consolas" w:hAnsi="Consolas"/>
                <w:color w:val="1F3A5F"/>
                <w:sz w:val="19"/>
                <w:szCs w:val="19"/>
              </w:rPr>
              <w:t xml:space="preserve">CaseBillingWorkspace</w:t>
            </w:r>
            <w:r>
              <w:rPr>
                <w:rFonts w:ascii="Calibri" w:cs="Calibri" w:eastAsia="Calibri" w:hAnsi="Calibri"/>
                <w:sz w:val="21"/>
                <w:szCs w:val="21"/>
              </w:rPr>
              <w:t xml:space="preserve"> into a single dimmed "Payments unlock once the retainer is countersigned" panel — staff can still expand it manually for an edge case (e.g. a returning client who pays before a fresh retainer is needed), but the default view stops presenting three unrelated systems as equally urgent. (3) Once </w:t>
            </w:r>
            <w:r>
              <w:rPr>
                <w:rFonts w:ascii="Consolas" w:cs="Consolas" w:eastAsia="Consolas" w:hAnsi="Consolas"/>
                <w:color w:val="1F3A5F"/>
                <w:sz w:val="19"/>
                <w:szCs w:val="19"/>
              </w:rPr>
              <w:t xml:space="preserve">Finalized</w:t>
            </w:r>
            <w:r>
              <w:rPr>
                <w:rFonts w:ascii="Calibri" w:cs="Calibri" w:eastAsia="Calibri" w:hAnsi="Calibri"/>
                <w:sz w:val="21"/>
                <w:szCs w:val="21"/>
              </w:rPr>
              <w:t xml:space="preserve">, the retainer card collapses to a compact confirmed-state chip and </w:t>
            </w:r>
            <w:r>
              <w:rPr>
                <w:rFonts w:ascii="Consolas" w:cs="Consolas" w:eastAsia="Consolas" w:hAnsi="Consolas"/>
                <w:color w:val="1F3A5F"/>
                <w:sz w:val="19"/>
                <w:szCs w:val="19"/>
              </w:rPr>
              <w:t xml:space="preserve">CasePaymentScheduleWorkspace</w:t>
            </w:r>
            <w:r>
              <w:rPr>
                <w:rFonts w:ascii="Calibri" w:cs="Calibri" w:eastAsia="Calibri" w:hAnsi="Calibri"/>
                <w:sz w:val="21"/>
                <w:szCs w:val="21"/>
              </w:rPr>
              <w:t xml:space="preserve"> becomes the primary view, with </w:t>
            </w:r>
            <w:r>
              <w:rPr>
                <w:rFonts w:ascii="Consolas" w:cs="Consolas" w:eastAsia="Consolas" w:hAnsi="Consolas"/>
                <w:color w:val="1F3A5F"/>
                <w:sz w:val="19"/>
                <w:szCs w:val="19"/>
              </w:rPr>
              <w:t xml:space="preserve">CaseBillingWorkspace</w:t>
            </w:r>
            <w:r>
              <w:rPr>
                <w:rFonts w:ascii="Calibri" w:cs="Calibri" w:eastAsia="Calibri" w:hAnsi="Calibri"/>
                <w:sz w:val="21"/>
                <w:szCs w:val="21"/>
              </w:rPr>
              <w:t xml:space="preserve">'s ad-hoc invoice creation and the manual ledger demoted to a secondary "Additional charges" section below it rather than a co-equal block.</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frontend/src/components/case-profile/CaseBillingWorkspace.jsx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No functional change, restyle only</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Cash/e-transfer manual payment recording (</w:t>
            </w:r>
            <w:r>
              <w:rPr>
                <w:rFonts w:ascii="Consolas" w:cs="Consolas" w:eastAsia="Consolas" w:hAnsi="Consolas"/>
                <w:color w:val="1F3A5F"/>
                <w:sz w:val="19"/>
                <w:szCs w:val="19"/>
              </w:rPr>
              <w:t xml:space="preserve">CashPaymentRow</w:t>
            </w:r>
            <w:r>
              <w:rPr>
                <w:rFonts w:ascii="Calibri" w:cs="Calibri" w:eastAsia="Calibri" w:hAnsi="Calibri"/>
                <w:sz w:val="21"/>
                <w:szCs w:val="21"/>
              </w:rPr>
              <w:t xml:space="preserve">, line 50) and the manual ledger already work correctly per the agency's own requirement — nothing here needs new logic, only a less prominent visual position within the restructured tab.</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Opening Billing on a fresh case shows exactly one obvious next step (the retainer), not four simultaneous systems.</w:t>
      </w:r>
    </w:p>
    <w:p>
      <w:pPr>
        <w:pStyle w:val="ListParagraph"/>
        <w:numPr>
          <w:ilvl w:val="0"/>
          <w:numId w:val="2"/>
        </w:numPr>
        <w:spacing w:after="80"/>
      </w:pPr>
      <w:r>
        <w:rPr>
          <w:rFonts w:ascii="Calibri" w:cs="Calibri" w:eastAsia="Calibri" w:hAnsi="Calibri"/>
          <w:sz w:val="21"/>
          <w:szCs w:val="21"/>
        </w:rPr>
        <w:t xml:space="preserve">Nothing that currently works (ad-hoc invoices, cash/e-transfer recording, the manual ledger, void/edit on installments) is removed or behaviorally changed — only reordered and visually de-emphasized until it's relevant.</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Phase 8 — Template and payment flexibility</w:t>
      </w:r>
    </w:p>
    <w:p>
      <w:pPr>
        <w:spacing w:after="140"/>
      </w:pPr>
      <w:r>
        <w:rPr>
          <w:rFonts w:ascii="Calibri" w:cs="Calibri" w:eastAsia="Calibri" w:hAnsi="Calibri"/>
          <w:i/>
          <w:iCs/>
          <w:color w:val="5B6472"/>
          <w:sz w:val="21"/>
          <w:szCs w:val="21"/>
        </w:rPr>
        <w:t xml:space="preserve">Full template CRUD in Settings, plus room for ad-hoc extra charges beyond any template.</w:t>
      </w:r>
    </w:p>
    <w:p>
      <w:pPr>
        <w:pStyle w:val="Heading2"/>
        <w:spacing w:after="140" w:before="380"/>
      </w:pPr>
      <w:r>
        <w:rPr>
          <w:rFonts w:ascii="Calibri" w:cs="Calibri" w:eastAsia="Calibri" w:hAnsi="Calibri"/>
          <w:b/>
          <w:bCs/>
          <w:color w:val="111827"/>
          <w:sz w:val="27"/>
          <w:szCs w:val="27"/>
        </w:rPr>
        <w:t xml:space="preserve">Fix 8.1: Make payment templates fully editable and creatable from Settings, matching the Agreement template UI's flexibility</w:t>
      </w:r>
      <w:r>
        <w:t xml:space="preserve">   </w:t>
      </w:r>
      <w:r>
        <w:rPr>
          <w:rFonts w:ascii="Calibri" w:cs="Calibri" w:eastAsia="Calibri" w:hAnsi="Calibri"/>
          <w:b/>
          <w:bCs/>
          <w:color w:val="FFFFFF"/>
          <w:sz w:val="17"/>
          <w:szCs w:val="17"/>
          <w:shd w:fill="8A5A00" w:val="clear"/>
        </w:rPr>
        <w:t xml:space="preserve">HIGH PRIORITY</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frontend/src/components/settings/PaymentScheduleTemplatesCard.jsx (existing settings UI for PaymentScheduleTemplate — extend, not rebuild) · frontend/src/components/settings/CorrespondenceTemplate management UI (equivalent existing pattern for Agreement/Letter templates, used as the parity target)</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A settings UI for payment templates already exists, but per Fix 1.1 it currently keys off a single exact caseType string and has no case-tag or system-default concept — an agency admin can create/edit templates today, but cannot see which ones are system-assigned, cannot make one match multiple free-text case-type spellings, and has no visibility into which fee lines are taxable versus disbursements beyond whatever payment-type they picked.</w:t>
      </w:r>
    </w:p>
    <w:p>
      <w:pPr>
        <w:spacing w:after="90" w:before="220"/>
      </w:pPr>
      <w:r>
        <w:rPr>
          <w:rFonts w:ascii="Calibri" w:cs="Calibri" w:eastAsia="Calibri" w:hAnsi="Calibri"/>
          <w:b/>
          <w:bCs/>
          <w:color w:val="1F3A5F"/>
          <w:sz w:val="22"/>
          <w:szCs w:val="22"/>
        </w:rPr>
        <w:t xml:space="preserve">1.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frontend/src/components/settings/PaymentScheduleTemplatesCard.jsx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Edit the template editor</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Replace the single case-type text input with a multi-tag input matching the Correspondence template editor's </w:t>
            </w:r>
            <w:r>
              <w:rPr>
                <w:rFonts w:ascii="Consolas" w:cs="Consolas" w:eastAsia="Consolas" w:hAnsi="Consolas"/>
                <w:color w:val="1F3A5F"/>
                <w:sz w:val="19"/>
                <w:szCs w:val="19"/>
              </w:rPr>
              <w:t xml:space="preserve">caseTags</w:t>
            </w:r>
            <w:r>
              <w:rPr>
                <w:rFonts w:ascii="Calibri" w:cs="Calibri" w:eastAsia="Calibri" w:hAnsi="Calibri"/>
                <w:sz w:val="21"/>
                <w:szCs w:val="21"/>
              </w:rPr>
              <w:t xml:space="preserve"> UI pattern (same component if one already exists for that screen — reuse it). Add an "System default for this case type" toggle, admin-only, and a read-only "Taxable" / "Not taxed (disbursement)" indicator on each installment row, derived from the selected fee category's </w:t>
            </w:r>
            <w:r>
              <w:rPr>
                <w:rFonts w:ascii="Consolas" w:cs="Consolas" w:eastAsia="Consolas" w:hAnsi="Consolas"/>
                <w:color w:val="1F3A5F"/>
                <w:sz w:val="19"/>
                <w:szCs w:val="19"/>
              </w:rPr>
              <w:t xml:space="preserve">kind</w:t>
            </w:r>
            <w:r>
              <w:rPr>
                <w:rFonts w:ascii="Calibri" w:cs="Calibri" w:eastAsia="Calibri" w:hAnsi="Calibri"/>
                <w:sz w:val="21"/>
                <w:szCs w:val="21"/>
              </w:rPr>
              <w:t xml:space="preserve"> rather than a separate field to keep in sync.</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An admin can create a brand-new payment template from scratch, tag it to one or more case types, mark it system-default, and see at a glance which lines will be taxed once used.</w:t>
      </w:r>
    </w:p>
    <w:p>
      <w:pPr>
        <w:pStyle w:val="ListParagraph"/>
        <w:numPr>
          <w:ilvl w:val="0"/>
          <w:numId w:val="2"/>
        </w:numPr>
        <w:spacing w:after="80"/>
      </w:pPr>
      <w:r>
        <w:rPr>
          <w:rFonts w:ascii="Calibri" w:cs="Calibri" w:eastAsia="Calibri" w:hAnsi="Calibri"/>
          <w:sz w:val="21"/>
          <w:szCs w:val="21"/>
        </w:rPr>
        <w:t xml:space="preserve">Editing an existing system template (e.g. adjusting the Study Permit fee for a price change) takes effect on every future case of that type without touching code.</w:t>
      </w:r>
    </w:p>
    <w:p>
      <w:pPr>
        <w:spacing w:after="200"/>
      </w:pPr>
    </w:p>
    <w:p>
      <w:pPr>
        <w:pStyle w:val="Heading2"/>
        <w:spacing w:after="140" w:before="380"/>
      </w:pPr>
      <w:r>
        <w:rPr>
          <w:rFonts w:ascii="Calibri" w:cs="Calibri" w:eastAsia="Calibri" w:hAnsi="Calibri"/>
          <w:b/>
          <w:bCs/>
          <w:color w:val="111827"/>
          <w:sz w:val="27"/>
          <w:szCs w:val="27"/>
        </w:rPr>
        <w:t xml:space="preserve">Fix 8.2: Let staff add extra, ad-hoc payment lines beyond whatever template a case started from</w:t>
      </w:r>
      <w:r>
        <w:t xml:space="preserve">   </w:t>
      </w:r>
      <w:r>
        <w:rPr>
          <w:rFonts w:ascii="Calibri" w:cs="Calibri" w:eastAsia="Calibri" w:hAnsi="Calibri"/>
          <w:b/>
          <w:bCs/>
          <w:color w:val="FFFFFF"/>
          <w:sz w:val="17"/>
          <w:szCs w:val="17"/>
          <w:shd w:fill="8A5A00" w:val="clear"/>
        </w:rPr>
        <w:t xml:space="preserve">HIGH PRIORITY</w:t>
      </w:r>
    </w:p>
    <w:p>
      <w:pPr>
        <w:spacing w:after="140"/>
      </w:pPr>
      <w:r>
        <w:rPr>
          <w:rFonts w:ascii="Calibri" w:cs="Calibri" w:eastAsia="Calibri" w:hAnsi="Calibri"/>
          <w:i/>
          <w:iCs/>
          <w:color w:val="5B6472"/>
          <w:sz w:val="19"/>
          <w:szCs w:val="19"/>
        </w:rPr>
        <w:t xml:space="preserve">Audit reference: </w:t>
      </w:r>
      <w:r>
        <w:rPr>
          <w:rFonts w:ascii="Calibri" w:cs="Calibri" w:eastAsia="Calibri" w:hAnsi="Calibri"/>
          <w:i/>
          <w:iCs/>
          <w:color w:val="5B6472"/>
          <w:sz w:val="19"/>
          <w:szCs w:val="19"/>
        </w:rPr>
        <w:t xml:space="preserve">InstallmentListEditor.jsx (shared by both CasePaymentScheduleWorkspace and the settings template editor) · paymentScheduleService.js:190-263 (updateCaseInstallments already supports adding new installments to an existing schedule, just not surfaced as a distinct "add a one-off charge" action)</w:t>
      </w:r>
    </w:p>
    <w:p>
      <w:pPr>
        <w:spacing w:after="90" w:before="220"/>
      </w:pPr>
      <w:r>
        <w:rPr>
          <w:rFonts w:ascii="Calibri" w:cs="Calibri" w:eastAsia="Calibri" w:hAnsi="Calibri"/>
          <w:b/>
          <w:bCs/>
          <w:color w:val="1F3A5F"/>
          <w:sz w:val="22"/>
          <w:szCs w:val="22"/>
        </w:rPr>
        <w:t xml:space="preserve">Problem</w:t>
      </w:r>
    </w:p>
    <w:p>
      <w:pPr>
        <w:spacing w:after="140"/>
      </w:pPr>
      <w:r>
        <w:rPr>
          <w:rFonts w:ascii="Calibri" w:cs="Calibri" w:eastAsia="Calibri" w:hAnsi="Calibri"/>
          <w:sz w:val="21"/>
          <w:szCs w:val="21"/>
        </w:rPr>
        <w:t xml:space="preserve">The agency was explicit that "some users want some flexibility in payments" — a template is a starting point, not a ceiling. The schedule editor can already technically add rows via updateCaseInstallments, but there's no dedicated, clearly-labelled "Add a payment" action distinct from editing the template's original lines, so today it looks like modifying the template rather than layering something extra on top of it.</w:t>
      </w:r>
    </w:p>
    <w:p>
      <w:pPr>
        <w:spacing w:after="90" w:before="220"/>
      </w:pPr>
      <w:r>
        <w:rPr>
          <w:rFonts w:ascii="Calibri" w:cs="Calibri" w:eastAsia="Calibri" w:hAnsi="Calibri"/>
          <w:b/>
          <w:bCs/>
          <w:color w:val="1F3A5F"/>
          <w:sz w:val="22"/>
          <w:szCs w:val="22"/>
        </w:rPr>
        <w:t xml:space="preserve">1. Frontend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850"/>
      </w:tblGrid>
      <w:tr>
        <w:trPr>
          <w:tblHeader/>
        </w:trPr>
        <w:tc>
          <w:tcPr>
            <w:tcW w:type="dxa" w:w="33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File</w:t>
            </w:r>
          </w:p>
        </w:tc>
        <w:tc>
          <w:tcPr>
            <w:tcW w:type="dxa" w:w="12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Kind</w:t>
            </w:r>
          </w:p>
        </w:tc>
        <w:tc>
          <w:tcPr>
            <w:tcW w:type="dxa" w:w="48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What to do</w:t>
            </w:r>
          </w:p>
        </w:tc>
      </w:tr>
      <w:tr>
        <w:tc>
          <w:tcPr>
            <w:tcW w:type="dxa" w:w="3300"/>
            <w:tcMar>
              <w:top w:type="dxa" w:w="80"/>
              <w:left w:type="dxa" w:w="120"/>
              <w:bottom w:type="dxa" w:w="80"/>
              <w:right w:type="dxa" w:w="120"/>
            </w:tcMar>
          </w:tcPr>
          <w:p>
            <w:r>
              <w:rPr>
                <w:rFonts w:ascii="Consolas" w:cs="Consolas" w:eastAsia="Consolas" w:hAnsi="Consolas"/>
                <w:color w:val="1F3A5F"/>
                <w:sz w:val="19"/>
                <w:szCs w:val="19"/>
              </w:rPr>
              <w:t xml:space="preserve">frontend/src/components/case-profile/CasePaymentScheduleWorkspace.jsx</w:t>
            </w:r>
          </w:p>
        </w:tc>
        <w:tc>
          <w:tcPr>
            <w:tcW w:type="dxa" w:w="1200"/>
            <w:tcMar>
              <w:top w:type="dxa" w:w="80"/>
              <w:left w:type="dxa" w:w="120"/>
              <w:bottom w:type="dxa" w:w="80"/>
              <w:right w:type="dxa" w:w="120"/>
            </w:tcMar>
          </w:tcPr>
          <w:p>
            <w:r>
              <w:rPr>
                <w:rFonts w:ascii="Calibri" w:cs="Calibri" w:eastAsia="Calibri" w:hAnsi="Calibri"/>
                <w:i/>
                <w:iCs/>
                <w:color w:val="5B6472"/>
                <w:sz w:val="18"/>
                <w:szCs w:val="18"/>
              </w:rPr>
              <w:t xml:space="preserve">Add a distinct "Add a payment" action</w:t>
            </w:r>
          </w:p>
        </w:tc>
        <w:tc>
          <w:tcPr>
            <w:tcW w:type="dxa" w:w="4850"/>
            <w:tcMar>
              <w:top w:type="dxa" w:w="80"/>
              <w:left w:type="dxa" w:w="120"/>
              <w:bottom w:type="dxa" w:w="80"/>
              <w:right w:type="dxa" w:w="120"/>
            </w:tcMar>
          </w:tcPr>
          <w:p>
            <w:pPr>
              <w:spacing w:after="0"/>
            </w:pPr>
            <w:r>
              <w:rPr>
                <w:rFonts w:ascii="Calibri" w:cs="Calibri" w:eastAsia="Calibri" w:hAnsi="Calibri"/>
                <w:sz w:val="21"/>
                <w:szCs w:val="21"/>
              </w:rPr>
              <w:t xml:space="preserve">A small, always-visible button below the installment list (separate from the template-driven rows) that opens a blank installment row via the existing </w:t>
            </w:r>
            <w:r>
              <w:rPr>
                <w:rFonts w:ascii="Consolas" w:cs="Consolas" w:eastAsia="Consolas" w:hAnsi="Consolas"/>
                <w:color w:val="1F3A5F"/>
                <w:sz w:val="19"/>
                <w:szCs w:val="19"/>
              </w:rPr>
              <w:t xml:space="preserve">InstallmentListEditor</w:t>
            </w:r>
            <w:r>
              <w:rPr>
                <w:rFonts w:ascii="Calibri" w:cs="Calibri" w:eastAsia="Calibri" w:hAnsi="Calibri"/>
                <w:sz w:val="21"/>
                <w:szCs w:val="21"/>
              </w:rPr>
              <w:t xml:space="preserve">/</w:t>
            </w:r>
            <w:r>
              <w:rPr>
                <w:rFonts w:ascii="Consolas" w:cs="Consolas" w:eastAsia="Consolas" w:hAnsi="Consolas"/>
                <w:color w:val="1F3A5F"/>
                <w:sz w:val="19"/>
                <w:szCs w:val="19"/>
              </w:rPr>
              <w:t xml:space="preserve">blankInstallment</w:t>
            </w:r>
            <w:r>
              <w:rPr>
                <w:rFonts w:ascii="Calibri" w:cs="Calibri" w:eastAsia="Calibri" w:hAnsi="Calibri"/>
                <w:sz w:val="21"/>
                <w:szCs w:val="21"/>
              </w:rPr>
              <w:t xml:space="preserve"> helpers already imported at line 6 — no new backend endpoint needed, since </w:t>
            </w:r>
            <w:r>
              <w:rPr>
                <w:rFonts w:ascii="Consolas" w:cs="Consolas" w:eastAsia="Consolas" w:hAnsi="Consolas"/>
                <w:color w:val="1F3A5F"/>
                <w:sz w:val="19"/>
                <w:szCs w:val="19"/>
              </w:rPr>
              <w:t xml:space="preserve">updateCaseInstallments()</w:t>
            </w:r>
            <w:r>
              <w:rPr>
                <w:rFonts w:ascii="Calibri" w:cs="Calibri" w:eastAsia="Calibri" w:hAnsi="Calibri"/>
                <w:sz w:val="21"/>
                <w:szCs w:val="21"/>
              </w:rPr>
              <w:t xml:space="preserve"> already accepts new rows alongside existing ones. Purely a UI affordance making an already-supported action discoverable and clearly optional rather than implicit.</w:t>
            </w:r>
          </w:p>
        </w:tc>
      </w:tr>
    </w:tbl>
    <w:p>
      <w:pPr>
        <w:spacing w:after="90" w:before="220"/>
      </w:pPr>
      <w:r>
        <w:rPr>
          <w:rFonts w:ascii="Calibri" w:cs="Calibri" w:eastAsia="Calibri" w:hAnsi="Calibri"/>
          <w:b/>
          <w:bCs/>
          <w:color w:val="1F3A5F"/>
          <w:sz w:val="22"/>
          <w:szCs w:val="22"/>
        </w:rPr>
        <w:t xml:space="preserve">Acceptance criteria</w:t>
      </w:r>
    </w:p>
    <w:p>
      <w:pPr>
        <w:pStyle w:val="ListParagraph"/>
        <w:numPr>
          <w:ilvl w:val="0"/>
          <w:numId w:val="2"/>
        </w:numPr>
        <w:spacing w:after="80"/>
      </w:pPr>
      <w:r>
        <w:rPr>
          <w:rFonts w:ascii="Calibri" w:cs="Calibri" w:eastAsia="Calibri" w:hAnsi="Calibri"/>
          <w:sz w:val="21"/>
          <w:szCs w:val="21"/>
        </w:rPr>
        <w:t xml:space="preserve">A consultant can add a one-off extra charge (a rush fee, an additional disbursement, a partial refund adjustment) to a case's schedule without editing or deleting anything the system template originally set up.</w:t>
      </w:r>
    </w:p>
    <w:p>
      <w:pPr>
        <w:spacing w:after="200"/>
      </w:pPr>
    </w:p>
    <w:p>
      <w:pPr>
        <w:pStyle w:val="Heading1"/>
        <w:pBdr>
          <w:bottom w:val="single" w:color="1F3A5F" w:sz="8" w:space="4"/>
        </w:pBdr>
        <w:spacing w:after="220" w:before="480"/>
      </w:pPr>
      <w:r>
        <w:rPr>
          <w:rFonts w:ascii="Calibri" w:cs="Calibri" w:eastAsia="Calibri" w:hAnsi="Calibri"/>
          <w:b/>
          <w:bCs/>
          <w:color w:val="1F3A5F"/>
          <w:sz w:val="34"/>
          <w:szCs w:val="34"/>
        </w:rPr>
        <w:t xml:space="preserve">Appendix A — The 16 seeded fee schedule templates</w:t>
      </w:r>
    </w:p>
    <w:p>
      <w:pPr>
        <w:spacing w:after="140"/>
      </w:pPr>
      <w:r>
        <w:rPr>
          <w:rFonts w:ascii="Calibri" w:cs="Calibri" w:eastAsia="Calibri" w:hAnsi="Calibri"/>
          <w:sz w:val="21"/>
          <w:szCs w:val="21"/>
        </w:rPr>
        <w:t xml:space="preserve">Every dollar figure below is exactly what the agency provided. "Other installment(s)" covers on-submission, invitation, and any second/third staged payment. Government and biometric fees are seeded as separate, non-taxable disbursement lines per the agency's confirmed tax scope (Fix 2.1) — staff can still edit any individual case's copy of these before it's invoiced, since real IRCC fees vary by exact stream and change over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150"/>
        <w:gridCol w:w="1750"/>
        <w:gridCol w:w="1250"/>
        <w:gridCol w:w="700"/>
        <w:gridCol w:w="900"/>
        <w:gridCol w:w="1400"/>
      </w:tblGrid>
      <w:tr>
        <w:trPr>
          <w:tblHeader/>
        </w:trPr>
        <w:tc>
          <w:tcPr>
            <w:tcW w:type="dxa" w:w="220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Case type</w:t>
            </w:r>
          </w:p>
        </w:tc>
        <w:tc>
          <w:tcPr>
            <w:tcW w:type="dxa" w:w="115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Initial</w:t>
            </w:r>
          </w:p>
        </w:tc>
        <w:tc>
          <w:tcPr>
            <w:tcW w:type="dxa" w:w="175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Other installment(s)</w:t>
            </w:r>
          </w:p>
        </w:tc>
        <w:tc>
          <w:tcPr>
            <w:tcW w:type="dxa" w:w="125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Govt. fee</w:t>
            </w:r>
          </w:p>
        </w:tc>
        <w:tc>
          <w:tcPr>
            <w:tcW w:type="dxa" w:w="70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Bio.</w:t>
            </w:r>
          </w:p>
        </w:tc>
        <w:tc>
          <w:tcPr>
            <w:tcW w:type="dxa" w:w="90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Professional total</w:t>
            </w:r>
          </w:p>
        </w:tc>
        <w:tc>
          <w:tcPr>
            <w:tcW w:type="dxa" w:w="1400"/>
            <w:shd w:fill="1F3A5F" w:val="clear"/>
            <w:tcMar>
              <w:top w:type="dxa" w:w="70"/>
              <w:left w:type="dxa" w:w="90"/>
              <w:bottom w:type="dxa" w:w="70"/>
              <w:right w:type="dxa" w:w="90"/>
            </w:tcMar>
          </w:tcPr>
          <w:p>
            <w:r>
              <w:rPr>
                <w:rFonts w:ascii="Calibri" w:cs="Calibri" w:eastAsia="Calibri" w:hAnsi="Calibri"/>
                <w:b/>
                <w:bCs/>
                <w:color w:val="FFFFFF"/>
                <w:sz w:val="16"/>
                <w:szCs w:val="16"/>
              </w:rPr>
              <w:t xml:space="preserve">Note</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Visitor Visa / Visitor Record / Super Visa</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$200 (signing)</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$300 (submission)</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$85</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Study Permit (Inside Canada)</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$150</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Study Permit (Outside Canada)</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$150</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$85</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PGWP</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$300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No government fee specified</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Spousal Open Work Permit</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$155 (WP) / $100 (OWP)</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Govt fee is per-case: staff pick WP or OWP</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SOWP Extension</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$250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$155 (WP) / $100 (OWP)</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$750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Govt fee is per-case</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SOWP (Outside Canada)</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$2,000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$155 (WP) / $100 (OWP)</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$85</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Govt fee is per-case</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LMIA Based Work Permit</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$2,000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$155</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$85</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Vulnerable OWP</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$2,000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No government fee</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PNP Based Work Permit</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$155</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Submission amount derived from total − initial</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Refugee Work Permit</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$300 (one-shot)</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$155 if applicable</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$300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Single payment, no installments</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Temporary Resident Visa (TRV)</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 (one-shot)</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Single payment</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PR — Express Entry</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 (invitation) + $1,000 (submission)</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$1,590</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$85</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$2,000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PR — Express Entry with Spousal</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$750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$1,250 (invitation) + $1,500 (submission)</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$1,260</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$85</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$3,500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Base $2,000 + $1,500 spousal add-on, per the agency's figures</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OINP — PNP</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$500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$1,000 (invitation) + $1,000 (submission)</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No provincial/government fee specified</w:t>
            </w:r>
          </w:p>
        </w:tc>
      </w:tr>
      <w:tr>
        <w:tc>
          <w:tcPr>
            <w:tcW w:type="dxa" w:w="2200"/>
            <w:tcMar>
              <w:top w:type="dxa" w:w="70"/>
              <w:left w:type="dxa" w:w="90"/>
              <w:bottom w:type="dxa" w:w="70"/>
              <w:right w:type="dxa" w:w="90"/>
            </w:tcMar>
          </w:tcPr>
          <w:p>
            <w:r>
              <w:rPr>
                <w:rFonts w:ascii="Calibri" w:cs="Calibri" w:eastAsia="Calibri" w:hAnsi="Calibri"/>
                <w:b/>
                <w:bCs/>
                <w:i w:val="false"/>
                <w:iCs w:val="false"/>
                <w:color w:val="111827"/>
                <w:sz w:val="17"/>
                <w:szCs w:val="17"/>
              </w:rPr>
              <w:t xml:space="preserve">Spousal Sponsorship</w:t>
            </w:r>
          </w:p>
        </w:tc>
        <w:tc>
          <w:tcPr>
            <w:tcW w:type="dxa" w:w="11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$1,000</w:t>
            </w:r>
          </w:p>
        </w:tc>
        <w:tc>
          <w:tcPr>
            <w:tcW w:type="dxa" w:w="17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$1,500</w:t>
            </w:r>
          </w:p>
        </w:tc>
        <w:tc>
          <w:tcPr>
            <w:tcW w:type="dxa" w:w="125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7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w:t>
            </w:r>
          </w:p>
        </w:tc>
        <w:tc>
          <w:tcPr>
            <w:tcW w:type="dxa" w:w="900"/>
            <w:tcMar>
              <w:top w:type="dxa" w:w="70"/>
              <w:left w:type="dxa" w:w="90"/>
              <w:bottom w:type="dxa" w:w="70"/>
              <w:right w:type="dxa" w:w="90"/>
            </w:tcMar>
          </w:tcPr>
          <w:p>
            <w:r>
              <w:rPr>
                <w:rFonts w:ascii="Calibri" w:cs="Calibri" w:eastAsia="Calibri" w:hAnsi="Calibri"/>
                <w:b w:val="false"/>
                <w:bCs w:val="false"/>
                <w:i w:val="false"/>
                <w:iCs w:val="false"/>
                <w:color w:val="111827"/>
                <w:sz w:val="16"/>
                <w:szCs w:val="16"/>
              </w:rPr>
              <w:t xml:space="preserve">$2,500</w:t>
            </w:r>
          </w:p>
        </w:tc>
        <w:tc>
          <w:tcPr>
            <w:tcW w:type="dxa" w:w="1400"/>
            <w:tcMar>
              <w:top w:type="dxa" w:w="70"/>
              <w:left w:type="dxa" w:w="90"/>
              <w:bottom w:type="dxa" w:w="70"/>
              <w:right w:type="dxa" w:w="90"/>
            </w:tcMar>
          </w:tcPr>
          <w:p>
            <w:r>
              <w:rPr>
                <w:rFonts w:ascii="Calibri" w:cs="Calibri" w:eastAsia="Calibri" w:hAnsi="Calibri"/>
                <w:b w:val="false"/>
                <w:bCs w:val="false"/>
                <w:i/>
                <w:iCs/>
                <w:color w:val="5B6472"/>
                <w:sz w:val="16"/>
                <w:szCs w:val="16"/>
              </w:rPr>
              <w:t xml:space="preserve">No government fee specified</w:t>
            </w:r>
          </w:p>
        </w:tc>
      </w:tr>
    </w:tbl>
    <w:p>
      <w:pPr>
        <w:spacing w:after="200"/>
      </w:pPr>
    </w:p>
    <w:p>
      <w:pPr>
        <w:spacing w:after="140"/>
      </w:pPr>
      <w:r>
        <w:rPr>
          <w:rFonts w:ascii="Calibri" w:cs="Calibri" w:eastAsia="Calibri" w:hAnsi="Calibri"/>
          <w:sz w:val="21"/>
          <w:szCs w:val="21"/>
        </w:rPr>
        <w:t xml:space="preserve">HST (13%, editable per agency in Fix 2.1) applies to the "Initial" and "Other installment(s)" columns only — never to the Govt. fee or Bio. columns.</w:t>
      </w:r>
    </w:p>
    <w:p>
      <w:pPr>
        <w:spacing w:after="240"/>
      </w:pPr>
    </w:p>
    <w:p>
      <w:pPr>
        <w:pStyle w:val="Heading1"/>
        <w:pBdr>
          <w:bottom w:val="single" w:color="1F3A5F" w:sz="8" w:space="4"/>
        </w:pBdr>
        <w:spacing w:after="220" w:before="480"/>
      </w:pPr>
      <w:r>
        <w:rPr>
          <w:rFonts w:ascii="Calibri" w:cs="Calibri" w:eastAsia="Calibri" w:hAnsi="Calibri"/>
          <w:b/>
          <w:bCs/>
          <w:color w:val="1F3A5F"/>
          <w:sz w:val="34"/>
          <w:szCs w:val="34"/>
        </w:rPr>
        <w:t xml:space="preserve">Appendix B — The retainer content template stays blank</w:t>
      </w:r>
    </w:p>
    <w:p>
      <w:pPr>
        <w:spacing w:after="140"/>
      </w:pPr>
      <w:r>
        <w:rPr>
          <w:rFonts w:ascii="Calibri" w:cs="Calibri" w:eastAsia="Calibri" w:hAnsi="Calibri"/>
          <w:sz w:val="21"/>
          <w:szCs w:val="21"/>
        </w:rPr>
        <w:t xml:space="preserve">Per the agency's instruction, this plan does not write retainer agreement wording. Fix 3.1's system-template resolution needs something to point to for a case type with no dedicated Agreement CorrespondenceTemplate yet, so it falls back to the agency's existing general-purpose Agreement template (correspondenceTemplateService.js's "immigration-service-agreement", tagged ["general"]) rather than blocking Billing on missing content. Once the agency uploads its real retainer template and tags it to the appropriate case type(s), it takes over automatically — no code change required, since Fix 3.1 always resolves the most specific matching template.</w:t>
      </w:r>
    </w:p>
    <w:p>
      <w:pPr>
        <w:spacing w:after="160"/>
      </w:pPr>
    </w:p>
    <w:p>
      <w:pPr>
        <w:spacing w:after="140"/>
      </w:pPr>
      <w:r>
        <w:rPr>
          <w:rFonts w:ascii="Calibri" w:cs="Calibri" w:eastAsia="Calibri" w:hAnsi="Calibri"/>
          <w:sz w:val="21"/>
          <w:szCs w:val="21"/>
        </w:rPr>
        <w:t xml:space="preserve">Recommended near-term follow-up once the real template arrives: split it, if needed, into distinct system-default Agreement templates per the same case-type groupings used for the fee schedules in Appendix A, so a Study Permit retainer and an Express Entry retainer can carry different wording, not just different fees.</w:t>
      </w:r>
    </w:p>
    <w:p>
      <w:pPr>
        <w:spacing w:after="240"/>
      </w:pPr>
    </w:p>
    <w:p>
      <w:pPr>
        <w:pStyle w:val="Heading1"/>
        <w:pBdr>
          <w:bottom w:val="single" w:color="1F3A5F" w:sz="8" w:space="4"/>
        </w:pBdr>
        <w:spacing w:after="220" w:before="480"/>
      </w:pPr>
      <w:r>
        <w:rPr>
          <w:rFonts w:ascii="Calibri" w:cs="Calibri" w:eastAsia="Calibri" w:hAnsi="Calibri"/>
          <w:b/>
          <w:bCs/>
          <w:color w:val="1F3A5F"/>
          <w:sz w:val="34"/>
          <w:szCs w:val="34"/>
        </w:rPr>
        <w:t xml:space="preserve">Appendix C — Consolidated schema migration</w:t>
      </w:r>
    </w:p>
    <w:p>
      <w:pPr>
        <w:spacing w:after="140"/>
      </w:pPr>
      <w:r>
        <w:rPr>
          <w:rFonts w:ascii="Calibri" w:cs="Calibri" w:eastAsia="Calibri" w:hAnsi="Calibri"/>
          <w:sz w:val="21"/>
          <w:szCs w:val="21"/>
        </w:rPr>
        <w:t xml:space="preserve">One migration covers everything this plan needs — run once, after Fix 1.1 and before anything else.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24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Model</w:t>
            </w:r>
          </w:p>
        </w:tc>
        <w:tc>
          <w:tcPr>
            <w:tcW w:type="dxa" w:w="355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Change</w:t>
            </w:r>
          </w:p>
        </w:tc>
        <w:tc>
          <w:tcPr>
            <w:tcW w:type="dxa" w:w="3400"/>
            <w:shd w:fill="1F3A5F" w:val="clear"/>
            <w:tcMar>
              <w:top w:type="dxa" w:w="80"/>
              <w:left w:type="dxa" w:w="120"/>
              <w:bottom w:type="dxa" w:w="80"/>
              <w:right w:type="dxa" w:w="120"/>
            </w:tcMar>
          </w:tcPr>
          <w:p>
            <w:r>
              <w:rPr>
                <w:rFonts w:ascii="Calibri" w:cs="Calibri" w:eastAsia="Calibri" w:hAnsi="Calibri"/>
                <w:b/>
                <w:bCs/>
                <w:color w:val="FFFFFF"/>
                <w:sz w:val="19"/>
                <w:szCs w:val="19"/>
              </w:rPr>
              <w:t xml:space="preserve">Why</w:t>
            </w:r>
          </w:p>
        </w:tc>
      </w:tr>
      <w:tr>
        <w:tc>
          <w:tcPr>
            <w:tcW w:type="dxa" w:w="2400"/>
            <w:tcMar>
              <w:top w:type="dxa" w:w="80"/>
              <w:left w:type="dxa" w:w="120"/>
              <w:bottom w:type="dxa" w:w="80"/>
              <w:right w:type="dxa" w:w="120"/>
            </w:tcMar>
          </w:tcPr>
          <w:p>
            <w:r>
              <w:rPr>
                <w:rFonts w:ascii="Calibri" w:cs="Calibri" w:eastAsia="Calibri" w:hAnsi="Calibri"/>
                <w:sz w:val="19"/>
                <w:szCs w:val="19"/>
              </w:rPr>
              <w:t xml:space="preserve">PaymentScheduleTemplate</w:t>
            </w:r>
          </w:p>
        </w:tc>
        <w:tc>
          <w:tcPr>
            <w:tcW w:type="dxa" w:w="3550"/>
            <w:tcMar>
              <w:top w:type="dxa" w:w="80"/>
              <w:left w:type="dxa" w:w="120"/>
              <w:bottom w:type="dxa" w:w="80"/>
              <w:right w:type="dxa" w:w="120"/>
            </w:tcMar>
          </w:tcPr>
          <w:p>
            <w:r>
              <w:rPr>
                <w:rFonts w:ascii="Consolas" w:cs="Consolas" w:eastAsia="Consolas" w:hAnsi="Consolas"/>
                <w:color w:val="1F3A5F"/>
                <w:sz w:val="19"/>
                <w:szCs w:val="19"/>
              </w:rPr>
              <w:t xml:space="preserve">+ caseTags String[] @default([])</w:t>
            </w:r>
          </w:p>
        </w:tc>
        <w:tc>
          <w:tcPr>
            <w:tcW w:type="dxa" w:w="3400"/>
            <w:tcMar>
              <w:top w:type="dxa" w:w="80"/>
              <w:left w:type="dxa" w:w="120"/>
              <w:bottom w:type="dxa" w:w="80"/>
              <w:right w:type="dxa" w:w="120"/>
            </w:tcMar>
          </w:tcPr>
          <w:p>
            <w:r>
              <w:rPr>
                <w:rFonts w:ascii="Calibri" w:cs="Calibri" w:eastAsia="Calibri" w:hAnsi="Calibri"/>
                <w:sz w:val="19"/>
                <w:szCs w:val="19"/>
              </w:rPr>
              <w:t xml:space="preserve">Case-type tag matching, same shape as CorrespondenceTemplate</w:t>
            </w:r>
          </w:p>
        </w:tc>
      </w:tr>
      <w:tr>
        <w:tc>
          <w:tcPr>
            <w:tcW w:type="dxa" w:w="2400"/>
            <w:tcMar>
              <w:top w:type="dxa" w:w="80"/>
              <w:left w:type="dxa" w:w="120"/>
              <w:bottom w:type="dxa" w:w="80"/>
              <w:right w:type="dxa" w:w="120"/>
            </w:tcMar>
          </w:tcPr>
          <w:p>
            <w:r>
              <w:rPr>
                <w:rFonts w:ascii="Calibri" w:cs="Calibri" w:eastAsia="Calibri" w:hAnsi="Calibri"/>
                <w:sz w:val="19"/>
                <w:szCs w:val="19"/>
              </w:rPr>
              <w:t xml:space="preserve">PaymentScheduleTemplate</w:t>
            </w:r>
          </w:p>
        </w:tc>
        <w:tc>
          <w:tcPr>
            <w:tcW w:type="dxa" w:w="3550"/>
            <w:tcMar>
              <w:top w:type="dxa" w:w="80"/>
              <w:left w:type="dxa" w:w="120"/>
              <w:bottom w:type="dxa" w:w="80"/>
              <w:right w:type="dxa" w:w="120"/>
            </w:tcMar>
          </w:tcPr>
          <w:p>
            <w:r>
              <w:rPr>
                <w:rFonts w:ascii="Consolas" w:cs="Consolas" w:eastAsia="Consolas" w:hAnsi="Consolas"/>
                <w:color w:val="1F3A5F"/>
                <w:sz w:val="19"/>
                <w:szCs w:val="19"/>
              </w:rPr>
              <w:t xml:space="preserve">+ isSystemDefault Boolean @default(false)</w:t>
            </w:r>
          </w:p>
        </w:tc>
        <w:tc>
          <w:tcPr>
            <w:tcW w:type="dxa" w:w="3400"/>
            <w:tcMar>
              <w:top w:type="dxa" w:w="80"/>
              <w:left w:type="dxa" w:w="120"/>
              <w:bottom w:type="dxa" w:w="80"/>
              <w:right w:type="dxa" w:w="120"/>
            </w:tcMar>
          </w:tcPr>
          <w:p>
            <w:r>
              <w:rPr>
                <w:rFonts w:ascii="Calibri" w:cs="Calibri" w:eastAsia="Calibri" w:hAnsi="Calibri"/>
                <w:sz w:val="19"/>
                <w:szCs w:val="19"/>
              </w:rPr>
              <w:t xml:space="preserve">Marks the agency's default template per case type</w:t>
            </w:r>
          </w:p>
        </w:tc>
      </w:tr>
      <w:tr>
        <w:tc>
          <w:tcPr>
            <w:tcW w:type="dxa" w:w="2400"/>
            <w:tcMar>
              <w:top w:type="dxa" w:w="80"/>
              <w:left w:type="dxa" w:w="120"/>
              <w:bottom w:type="dxa" w:w="80"/>
              <w:right w:type="dxa" w:w="120"/>
            </w:tcMar>
          </w:tcPr>
          <w:p>
            <w:r>
              <w:rPr>
                <w:rFonts w:ascii="Calibri" w:cs="Calibri" w:eastAsia="Calibri" w:hAnsi="Calibri"/>
                <w:sz w:val="19"/>
                <w:szCs w:val="19"/>
              </w:rPr>
              <w:t xml:space="preserve">WrittenDocument</w:t>
            </w:r>
          </w:p>
        </w:tc>
        <w:tc>
          <w:tcPr>
            <w:tcW w:type="dxa" w:w="3550"/>
            <w:tcMar>
              <w:top w:type="dxa" w:w="80"/>
              <w:left w:type="dxa" w:w="120"/>
              <w:bottom w:type="dxa" w:w="80"/>
              <w:right w:type="dxa" w:w="120"/>
            </w:tcMar>
          </w:tcPr>
          <w:p>
            <w:r>
              <w:rPr>
                <w:rFonts w:ascii="Consolas" w:cs="Consolas" w:eastAsia="Consolas" w:hAnsi="Consolas"/>
                <w:color w:val="1F3A5F"/>
                <w:sz w:val="19"/>
                <w:szCs w:val="19"/>
              </w:rPr>
              <w:t xml:space="preserve">+ approvedById String?, + approvedAt DateTime?</w:t>
            </w:r>
          </w:p>
        </w:tc>
        <w:tc>
          <w:tcPr>
            <w:tcW w:type="dxa" w:w="3400"/>
            <w:tcMar>
              <w:top w:type="dxa" w:w="80"/>
              <w:left w:type="dxa" w:w="120"/>
              <w:bottom w:type="dxa" w:w="80"/>
              <w:right w:type="dxa" w:w="120"/>
            </w:tcMar>
          </w:tcPr>
          <w:p>
            <w:r>
              <w:rPr>
                <w:rFonts w:ascii="Calibri" w:cs="Calibri" w:eastAsia="Calibri" w:hAnsi="Calibri"/>
                <w:sz w:val="19"/>
                <w:szCs w:val="19"/>
              </w:rPr>
              <w:t xml:space="preserve">Records who approved sending a retainer (Fix 4.1)</w:t>
            </w:r>
          </w:p>
        </w:tc>
      </w:tr>
      <w:tr>
        <w:tc>
          <w:tcPr>
            <w:tcW w:type="dxa" w:w="2400"/>
            <w:tcMar>
              <w:top w:type="dxa" w:w="80"/>
              <w:left w:type="dxa" w:w="120"/>
              <w:bottom w:type="dxa" w:w="80"/>
              <w:right w:type="dxa" w:w="120"/>
            </w:tcMar>
          </w:tcPr>
          <w:p>
            <w:r>
              <w:rPr>
                <w:rFonts w:ascii="Calibri" w:cs="Calibri" w:eastAsia="Calibri" w:hAnsi="Calibri"/>
                <w:sz w:val="19"/>
                <w:szCs w:val="19"/>
              </w:rPr>
              <w:t xml:space="preserve">AgencyBillingSettings (new)</w:t>
            </w:r>
          </w:p>
        </w:tc>
        <w:tc>
          <w:tcPr>
            <w:tcW w:type="dxa" w:w="3550"/>
            <w:tcMar>
              <w:top w:type="dxa" w:w="80"/>
              <w:left w:type="dxa" w:w="120"/>
              <w:bottom w:type="dxa" w:w="80"/>
              <w:right w:type="dxa" w:w="120"/>
            </w:tcMar>
          </w:tcPr>
          <w:p>
            <w:r>
              <w:rPr>
                <w:rFonts w:ascii="Consolas" w:cs="Consolas" w:eastAsia="Consolas" w:hAnsi="Consolas"/>
                <w:color w:val="1F3A5F"/>
                <w:sz w:val="19"/>
                <w:szCs w:val="19"/>
              </w:rPr>
              <w:t xml:space="preserve">agencyId, taxRatePercent, retainerSignatureImage, retainerSignatureUpdatedById/At</w:t>
            </w:r>
          </w:p>
        </w:tc>
        <w:tc>
          <w:tcPr>
            <w:tcW w:type="dxa" w:w="3400"/>
            <w:tcMar>
              <w:top w:type="dxa" w:w="80"/>
              <w:left w:type="dxa" w:w="120"/>
              <w:bottom w:type="dxa" w:w="80"/>
              <w:right w:type="dxa" w:w="120"/>
            </w:tcMar>
          </w:tcPr>
          <w:p>
            <w:r>
              <w:rPr>
                <w:rFonts w:ascii="Calibri" w:cs="Calibri" w:eastAsia="Calibri" w:hAnsi="Calibri"/>
                <w:sz w:val="19"/>
                <w:szCs w:val="19"/>
              </w:rPr>
              <w:t xml:space="preserve">One row per agency — tax rate + the single stored countersignature</w:t>
            </w:r>
          </w:p>
        </w:tc>
      </w:tr>
    </w:tbl>
    <w:p>
      <w:pPr>
        <w:spacing w:after="160"/>
      </w:pPr>
    </w:p>
    <w:p>
      <w:pPr>
        <w:spacing w:after="140"/>
      </w:pPr>
      <w:r>
        <w:rPr>
          <w:rFonts w:ascii="Calibri" w:cs="Calibri" w:eastAsia="Calibri" w:hAnsi="Calibri"/>
          <w:color w:val="5B6472"/>
          <w:sz w:val="19"/>
          <w:szCs w:val="19"/>
        </w:rPr>
        <w:t xml:space="preserve">Then run: </w:t>
      </w:r>
      <w:r>
        <w:rPr>
          <w:rFonts w:ascii="Consolas" w:cs="Consolas" w:eastAsia="Consolas" w:hAnsi="Consolas"/>
          <w:color w:val="1F3A5F"/>
          <w:sz w:val="19"/>
          <w:szCs w:val="19"/>
        </w:rPr>
        <w:t xml:space="preserve">npx prisma migrate dev --name billing_retainer_foundation</w:t>
      </w:r>
    </w:p>
    <w:p>
      <w:pPr>
        <w:spacing w:after="240"/>
      </w:pPr>
    </w:p>
    <w:p>
      <w:pPr>
        <w:pStyle w:val="Heading1"/>
        <w:pBdr>
          <w:bottom w:val="single" w:color="1F3A5F" w:sz="8" w:space="4"/>
        </w:pBdr>
        <w:spacing w:after="220" w:before="480"/>
      </w:pPr>
      <w:r>
        <w:rPr>
          <w:rFonts w:ascii="Calibri" w:cs="Calibri" w:eastAsia="Calibri" w:hAnsi="Calibri"/>
          <w:b/>
          <w:bCs/>
          <w:color w:val="1F3A5F"/>
          <w:sz w:val="34"/>
          <w:szCs w:val="34"/>
        </w:rPr>
        <w:t xml:space="preserve">Appendix D — Rollout checklist</w:t>
      </w:r>
    </w:p>
    <w:p>
      <w:pPr>
        <w:pStyle w:val="ListParagraph"/>
        <w:numPr>
          <w:ilvl w:val="0"/>
          <w:numId w:val="2"/>
        </w:numPr>
        <w:spacing w:after="80"/>
      </w:pPr>
      <w:r>
        <w:rPr>
          <w:rFonts w:ascii="Calibri" w:cs="Calibri" w:eastAsia="Calibri" w:hAnsi="Calibri"/>
          <w:sz w:val="21"/>
          <w:szCs w:val="21"/>
        </w:rPr>
        <w:t xml:space="preserve">Ship Phase 1 first and seed every existing agency's 16 templates before any other phase — Phases 3 and 8 assume they already exist.</w:t>
      </w:r>
    </w:p>
    <w:p>
      <w:pPr>
        <w:pStyle w:val="ListParagraph"/>
        <w:numPr>
          <w:ilvl w:val="0"/>
          <w:numId w:val="2"/>
        </w:numPr>
        <w:spacing w:after="80"/>
      </w:pPr>
      <w:r>
        <w:rPr>
          <w:rFonts w:ascii="Calibri" w:cs="Calibri" w:eastAsia="Calibri" w:hAnsi="Calibri"/>
          <w:sz w:val="21"/>
          <w:szCs w:val="21"/>
        </w:rPr>
        <w:t xml:space="preserve">Phase 6 (auto-countersignature) is written to be strictly additive: an agency with no stored signature yet keeps today's exact behavior (stops at Signed). Confirm that with a test before relying on it in Phase 7's UI, which assumes Finalized is reachable.</w:t>
      </w:r>
    </w:p>
    <w:p>
      <w:pPr>
        <w:pStyle w:val="ListParagraph"/>
        <w:numPr>
          <w:ilvl w:val="0"/>
          <w:numId w:val="2"/>
        </w:numPr>
        <w:spacing w:after="80"/>
      </w:pPr>
      <w:r>
        <w:rPr>
          <w:rFonts w:ascii="Calibri" w:cs="Calibri" w:eastAsia="Calibri" w:hAnsi="Calibri"/>
          <w:sz w:val="21"/>
          <w:szCs w:val="21"/>
        </w:rPr>
        <w:t xml:space="preserve">Phase 4's approval-gate role check applies only to Agreement-kind documents — verify it doesn't accidentally tighten permissions on Letter-kind correspondence, which should keep its current, looser transition rules.</w:t>
      </w:r>
    </w:p>
    <w:p>
      <w:pPr>
        <w:pStyle w:val="ListParagraph"/>
        <w:numPr>
          <w:ilvl w:val="0"/>
          <w:numId w:val="2"/>
        </w:numPr>
        <w:spacing w:after="80"/>
      </w:pPr>
      <w:r>
        <w:rPr>
          <w:rFonts w:ascii="Calibri" w:cs="Calibri" w:eastAsia="Calibri" w:hAnsi="Calibri"/>
          <w:sz w:val="21"/>
          <w:szCs w:val="21"/>
        </w:rPr>
        <w:t xml:space="preserve">Run the existing correspondence and payment-schedule test suites after every phase; none of these changes should reduce current coverage.</w:t>
      </w:r>
    </w:p>
    <w:p>
      <w:pPr>
        <w:pStyle w:val="ListParagraph"/>
        <w:numPr>
          <w:ilvl w:val="0"/>
          <w:numId w:val="2"/>
        </w:numPr>
        <w:spacing w:after="80"/>
      </w:pPr>
      <w:r>
        <w:rPr>
          <w:rFonts w:ascii="Calibri" w:cs="Calibri" w:eastAsia="Calibri" w:hAnsi="Calibri"/>
          <w:sz w:val="21"/>
          <w:szCs w:val="21"/>
        </w:rPr>
        <w:t xml:space="preserve">After Phase 2 ships, audit every other screen that displays a case's "Total Fee" (case list, dashboard, exports) for whether it should also switch to the tax-inclusive figure — this plan only covers the Billing tab and its summary tiles.</w:t>
      </w:r>
    </w:p>
    <w:p>
      <w:pPr>
        <w:pStyle w:val="ListParagraph"/>
        <w:numPr>
          <w:ilvl w:val="0"/>
          <w:numId w:val="2"/>
        </w:numPr>
        <w:spacing w:after="80"/>
      </w:pPr>
      <w:r>
        <w:rPr>
          <w:rFonts w:ascii="Calibri" w:cs="Calibri" w:eastAsia="Calibri" w:hAnsi="Calibri"/>
          <w:sz w:val="21"/>
          <w:szCs w:val="21"/>
        </w:rPr>
        <w:t xml:space="preserve">Once the agency's real retainer content template is uploaded (Appendix B), confirm Fix 3.1's fallback-to-general-template path stops being hit for the case types it now covers.</w:t>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3B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3B2"/>
        <w:sz w:val="16"/>
        <w:szCs w:val="16"/>
      </w:rPr>
      <w:t xml:space="preserve">CaseDesk Billing &amp; Retainer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2026-08-08T18:56:12.461Z</dcterms:created>
  <dcterms:modified xsi:type="dcterms:W3CDTF">2026-08-08T18:56:12.465Z</dcterms:modified>
</cp:coreProperties>
</file>

<file path=docProps/custom.xml><?xml version="1.0" encoding="utf-8"?>
<Properties xmlns="http://schemas.openxmlformats.org/officeDocument/2006/custom-properties" xmlns:vt="http://schemas.openxmlformats.org/officeDocument/2006/docPropsVTypes"/>
</file>