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body>
    <w:p>
      <w:pPr>
        <w:pStyle w:val="Title"/>
      </w:pPr>
      <w:r>
        <w:t>TP53 的演化与癌症突变</w:t>
      </w:r>
    </w:p>
    <w:p>
      <w:pPr>
        <w:pStyle w:val="Subtitle"/>
      </w:pPr>
      <w:r>
        <w:t>PEAD7902 — 作业一</w:t>
      </w:r>
    </w:p>
    <w:p>
      <w:pPr>
        <w:pStyle w:val="Author"/>
      </w:pPr>
      <w:r>
        <w:t>Min Li（3036744858）</w:t>
      </w:r>
    </w:p>
    <w:p>
      <w:pPr>
        <w:pStyle w:val="Date"/>
      </w:pPr>
      <w:r>
        <w:t>2026 年 10 月</w:t>
      </w:r>
    </w:p>
    <w:p>
      <w:pPr>
        <w:pStyle w:val="Heading1"/>
      </w:pPr>
      <w:r>
        <w:t>摘要</w:t>
      </w:r>
    </w:p>
    <w:p>
      <w:pPr>
        <w:pStyle w:val="FirstParagraph"/>
      </w:pPr>
      <w:r>
        <w:t>TP53 是突变频率最高的抑癌基因。本文比对 6 种脊椎动物的 p53 直系同源序列，定量计算逐残基保守性，并把 32 个 TCGA 泛癌队列、3,839 例肿瘤中的 4,225 个体细胞 TP53 突变映射到序列比对与核心结构域结构上。DNA 结合结构域最为保守（平均得分 0.88，其余 0.72）。R273、R248、R175、G245 与 R282 五个密码子承载 19.8% 的全部突变；五者在 6 个物种中完全不变，分别位于 DNA 界面（R248、R273）或埋藏核心（R175、G245、R282）。保守性与突变密度呈正相关（Spearman ρ = 0.51）。癌症突变集中于演化上不变的残基，但保守性本身不能决定哪些密码子成为热点。</w:t>
      </w:r>
    </w:p>
    <w:p>
      <w:pPr>
        <w:pStyle w:val="Heading1"/>
      </w:pPr>
      <w:r>
        <w:t>要点</w:t>
      </w:r>
    </w:p>
    <w:p>
      <w:pPr>
        <w:pStyle w:val="BodyText"/>
        <w:numPr>
          <w:ilvl w:val="0"/>
          <w:numId w:val="1"/>
        </w:numPr>
        <w:ind w:left="720" w:hanging="360" w:leftChars="0" w:firstLineChars="0"/>
      </w:pPr>
      <w:r>
        <w:t>DBD 是 p53 的保守核心：57% 残基完全不变，其余区域仅 14%。</w:t>
      </w:r>
    </w:p>
    <w:p>
      <w:pPr>
        <w:pStyle w:val="BodyText"/>
        <w:numPr>
          <w:ilvl w:val="0"/>
          <w:numId w:val="1"/>
        </w:numPr>
        <w:ind w:left="720" w:hanging="360" w:leftChars="0" w:firstLineChars="0"/>
      </w:pPr>
      <w:r>
        <w:t>R273、R248、R175、G245、R282 占全部 TP53 突变的 19.8%。</w:t>
      </w:r>
    </w:p>
    <w:p>
      <w:pPr>
        <w:pStyle w:val="BodyText"/>
        <w:numPr>
          <w:ilvl w:val="0"/>
          <w:numId w:val="1"/>
        </w:numPr>
        <w:ind w:left="720" w:hanging="360" w:leftChars="0" w:firstLineChars="0"/>
      </w:pPr>
      <w:r>
        <w:t>五者在脊椎动物中均完全不变。</w:t>
      </w:r>
    </w:p>
    <w:p>
      <w:pPr>
        <w:pStyle w:val="BodyText"/>
        <w:numPr>
          <w:ilvl w:val="0"/>
          <w:numId w:val="1"/>
        </w:numPr>
        <w:ind w:left="720" w:hanging="360" w:leftChars="0" w:firstLineChars="0"/>
      </w:pPr>
      <w:r>
        <w:t>两种机制：DNA 接触丧失（R248、R273）与核心去稳定（R175、G245、R282）。</w:t>
      </w:r>
    </w:p>
    <w:p>
      <w:pPr>
        <w:pStyle w:val="BodyText"/>
        <w:numPr>
          <w:ilvl w:val="0"/>
          <w:numId w:val="1"/>
        </w:numPr>
        <w:ind w:left="720" w:hanging="360" w:leftChars="0" w:firstLineChars="0"/>
      </w:pPr>
      <w:r>
        <w:t>保守性预测功能重要性，而非突变频率。</w:t>
      </w:r>
    </w:p>
    <w:p>
      <w:pPr>
        <w:pStyle w:val="Heading1"/>
      </w:pPr>
      <w:r>
        <w:t>结果</w:t>
      </w:r>
    </w:p>
    <w:p>
      <w:pPr>
        <w:pStyle w:val="Heading2"/>
      </w:pPr>
      <w:r>
        <w:t>六种脊椎动物的 p53：保守的 DNA 结合结构域</w:t>
      </w:r>
    </w:p>
    <w:p>
      <w:pPr>
        <w:pStyle w:val="FirstParagraph"/>
      </w:pPr>
      <w:r>
        <w:t xml:space="preserve">从 UniProt 取得人、牛、鼠、鸡、蛙、斑马鱼 6 种脊椎动物的全长 p53 </w:t>
      </w:r>
      <w:hyperlink w:anchor="_Ref_uniprot2025">
        <w:r>
          <w:rPr>
            <w:vertAlign w:val="superscript"/>
          </w:rPr>
          <w:t xml:space="preserve">[1]</w:t>
        </w:r>
      </w:hyperlink>
      <w:r>
        <w:t>，用 Clustal Omega 比对</w:t>
      </w:r>
      <w:hyperlink w:anchor="_Ref_sievers2011">
        <w:r>
          <w:rPr>
            <w:vertAlign w:val="superscript"/>
          </w:rPr>
          <w:t xml:space="preserve">[2,3]</w:t>
        </w:r>
      </w:hyperlink>
      <w:r>
        <w:t>（图 1）。与人一致性由哺乳动物约 80% 降至鸡、蛙、斑马鱼的约 50–55%，但 DNA 结合结构域（DBD，102–292 位）</w:t>
      </w:r>
      <w:hyperlink w:anchor="_Ref_cho1994">
        <w:r>
          <w:rPr>
            <w:vertAlign w:val="superscript"/>
          </w:rPr>
          <w:t xml:space="preserve">[4–6]</w:t>
        </w:r>
      </w:hyperlink>
      <w:r>
        <w:t xml:space="preserve"> 仍达 68–91%（图 2、表 1）；DBD 平均保守性 0.88，其余区域 0.72。</w:t>
      </w:r>
    </w:p>
    <w:p>
      <w:pPr>
        <w:pStyle w:val="CaptionedFigure"/>
        <w:keepNext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040000" cy="3024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lign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keepNext/>
      </w:pPr>
      <w:r>
        <w:rPr>
          <w:b/>
        </w:rPr>
        <w:t>图 1.</w:t>
      </w:r>
      <w:r>
        <w:t xml:space="preserve"> 六种 p53 直系同源序列的多重比对。 每个格子按该比对列的保守性着色（越深越保守），米色格子为比对空位。DBD 明显比两端区域更暗；灰色块为其余残基。六条序列由 Clustal Omega 比对。</w:t>
      </w:r>
    </w:p>
    <w:p>
      <w:pPr>
        <w:pStyle w:val="CaptionedFigure"/>
        <w:keepNext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040000" cy="17914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ross_spec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91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图 2.</w:t>
      </w:r>
      <w:r>
        <w:t xml:space="preserve"> 跨物种与不同区域的保守性。 (a) Clustal Omega 指导树。(b) 与人 p53 的全长一致性及 DBD 内一致性。(c) 各 UniProt 功能区域（TAD、DBD、TET）及其余残基的保守性分布。</w:t>
      </w:r>
    </w:p>
    <w:p>
      <w:pPr>
        <w:pStyle w:val="TableCaption"/>
      </w:pPr>
      <w:r>
        <w:rPr>
          <w:b/>
        </w:rPr>
        <w:t>表 1. 所用序列及与人 p53 的一致性。</w:t>
      </w:r>
    </w:p>
    <w:tbl>
      <w:tblPr>
        <w:tblStyle w:val="Table"/>
        <w:tblW w:type="auto" w:w="0"/>
        <w:tblLayout w:type="autofit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pPr>
              <w:pStyle w:val="Compact"/>
              <w:jc w:val="left"/>
            </w:pPr>
            <w:r>
              <w:t>物种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UniProt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长度（aa）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全长一致性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DBD（102–292）一致性</w:t>
            </w:r>
          </w:p>
        </w:tc>
      </w:tr>
      <w:tr>
        <w:tc>
          <w:tcPr>
            <w:tcW w:type="dxa" w:w="1660"/>
          </w:tcPr>
          <w:p>
            <w:pPr>
              <w:pStyle w:val="Compact"/>
              <w:jc w:val="left"/>
            </w:pPr>
            <w:r>
              <w:rPr>
                <w:i/>
              </w:rPr>
              <w:t>Homo sapiens</w:t>
            </w:r>
            <w:r>
              <w:t>（人）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P04637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393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100.0%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100.0%</w:t>
            </w:r>
          </w:p>
        </w:tc>
      </w:tr>
      <w:tr>
        <w:tc>
          <w:tcPr>
            <w:tcW w:type="dxa" w:w="1660"/>
          </w:tcPr>
          <w:p>
            <w:pPr>
              <w:pStyle w:val="Compact"/>
              <w:jc w:val="left"/>
            </w:pPr>
            <w:r>
              <w:rPr>
                <w:i/>
              </w:rPr>
              <w:t>Bos taurus</w:t>
            </w:r>
            <w:r>
              <w:t>（牛）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P67939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386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81.6%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91.1%</w:t>
            </w:r>
          </w:p>
        </w:tc>
      </w:tr>
      <w:tr>
        <w:tc>
          <w:tcPr>
            <w:tcW w:type="dxa" w:w="1660"/>
          </w:tcPr>
          <w:p>
            <w:pPr>
              <w:pStyle w:val="Compact"/>
              <w:jc w:val="left"/>
            </w:pPr>
            <w:r>
              <w:rPr>
                <w:i/>
              </w:rPr>
              <w:t>Mus musculus</w:t>
            </w:r>
            <w:r>
              <w:t>（鼠）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P02340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390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78.0%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88.5%</w:t>
            </w:r>
          </w:p>
        </w:tc>
      </w:tr>
      <w:tr>
        <w:tc>
          <w:tcPr>
            <w:tcW w:type="dxa" w:w="1660"/>
          </w:tcPr>
          <w:p>
            <w:pPr>
              <w:pStyle w:val="Compact"/>
              <w:jc w:val="left"/>
            </w:pPr>
            <w:r>
              <w:rPr>
                <w:i/>
              </w:rPr>
              <w:t>Gallus gallus</w:t>
            </w:r>
            <w:r>
              <w:t>（鸡）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P10360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367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54.9%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71.7%</w:t>
            </w:r>
          </w:p>
        </w:tc>
      </w:tr>
      <w:tr>
        <w:tc>
          <w:tcPr>
            <w:tcW w:type="dxa" w:w="1660"/>
          </w:tcPr>
          <w:p>
            <w:pPr>
              <w:pStyle w:val="Compact"/>
              <w:jc w:val="left"/>
            </w:pPr>
            <w:r>
              <w:rPr>
                <w:i/>
              </w:rPr>
              <w:t>Xenopus laevis</w:t>
            </w:r>
            <w:r>
              <w:t>（蛙）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P07193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363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52.9%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68.1%</w:t>
            </w:r>
          </w:p>
        </w:tc>
      </w:tr>
      <w:tr>
        <w:tc>
          <w:tcPr>
            <w:tcW w:type="dxa" w:w="1660"/>
          </w:tcPr>
          <w:p>
            <w:pPr>
              <w:pStyle w:val="Compact"/>
              <w:jc w:val="left"/>
            </w:pPr>
            <w:r>
              <w:rPr>
                <w:i/>
              </w:rPr>
              <w:t>Danio rerio</w:t>
            </w:r>
            <w:r>
              <w:t>（斑马鱼）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P79734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373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50.4%</w:t>
            </w:r>
          </w:p>
        </w:tc>
        <w:tc>
          <w:tcPr>
            <w:tcW w:type="dxa" w:w="1660"/>
          </w:tcPr>
          <w:p>
            <w:pPr>
              <w:pStyle w:val="Compact"/>
              <w:jc w:val="left"/>
            </w:pPr>
            <w:r>
              <w:t>71.2%</w:t>
            </w:r>
          </w:p>
        </w:tc>
      </w:tr>
    </w:tbl>
    <w:p>
      <w:pPr>
        <w:pStyle w:val="Heading2"/>
      </w:pPr>
      <w:r>
        <w:t>五个突变热点</w:t>
      </w:r>
    </w:p>
    <w:p>
      <w:pPr>
        <w:pStyle w:val="FirstParagraph"/>
      </w:pPr>
      <w:r>
        <w:t>32 个 TCGA 泛癌队列</w:t>
      </w:r>
      <w:hyperlink w:anchor="_Ref_hoadley2018">
        <w:r>
          <w:rPr>
            <w:vertAlign w:val="superscript"/>
          </w:rPr>
          <w:t xml:space="preserve">[7]</w:t>
        </w:r>
      </w:hyperlink>
      <w:r>
        <w:t xml:space="preserve">、3,839 例肿瘤共 4,225 个体细胞 TP53 突变（cBioPortal </w:t>
      </w:r>
      <w:hyperlink w:anchor="_Ref_cerami2012">
        <w:r>
          <w:rPr>
            <w:vertAlign w:val="superscript"/>
          </w:rPr>
          <w:t xml:space="preserve">[8,9]</w:t>
        </w:r>
      </w:hyperlink>
      <w:r>
        <w:t>；65% 错义）中，错义突变数最多的五个密码子（R273、R248、R175、G245、R282）占全部突变的 19.8%、错义突变的 30.7%（图 3、表 2）。每位点仅少数替换：R175H（90%）、R282W（96%）、R248Q/W（54/40%）、R273C/H（47/38%）、G245S（46%）。</w:t>
      </w:r>
    </w:p>
    <w:p>
      <w:pPr>
        <w:pStyle w:val="CaptionedFigure"/>
        <w:keepNext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040000" cy="23522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otspo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52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图 3.</w:t>
      </w:r>
      <w:r>
        <w:t xml:space="preserve"> 五个热点及其替换谱。 (a) 热点密码子（列）与突变残基（行，按残基类别分组）的矩阵；格子颜色深浅与数字表示该替换的例数，列标签给出该密码子的总数及其占全部 TP53 突变的百分比。(b) 全部 4,225 个 TP53 突变的后果类型。</w:t>
      </w:r>
    </w:p>
    <w:p>
      <w:pPr>
        <w:pStyle w:val="TableCaption"/>
      </w:pPr>
      <w:r>
        <w:rPr>
          <w:b/>
        </w:rPr>
        <w:t>表 2. 五个主要 TP53 热点（TCGA 泛癌队列，cBioPortal）。</w:t>
      </w:r>
    </w:p>
    <w:tbl>
      <w:tblPr>
        <w:tblStyle w:val="Table"/>
        <w:tblW w:type="auto" w:w="0"/>
        <w:tblLayout w:type="autofit"/>
        <w:tblLook w:firstColumn="1" w:firstRow="1" w:lastColumn="0" w:lastRow="0" w:noHBand="0" w:noVBand="1" w:val="04A0"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186"/>
          </w:tcPr>
          <w:p>
            <w:pPr>
              <w:pStyle w:val="Compact"/>
              <w:jc w:val="left"/>
            </w:pPr>
            <w:r>
              <w:t>密码子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主要替换（占该密码子 %）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例数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占全部 TP53 突变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保守性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结构角色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结构证据（1TUP）</w:t>
            </w:r>
          </w:p>
        </w:tc>
      </w:tr>
      <w:tr>
        <w:tc>
          <w:tcPr>
            <w:tcW w:type="dxa" w:w="1186"/>
          </w:tcPr>
          <w:p>
            <w:pPr>
              <w:pStyle w:val="Compact"/>
              <w:jc w:val="left"/>
            </w:pPr>
            <w:r>
              <w:t>R273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C 47，H 38，L 10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267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6.3%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1.00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DNA 接触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距 DNA 2.5 Å</w:t>
            </w:r>
          </w:p>
        </w:tc>
      </w:tr>
      <w:tr>
        <w:tc>
          <w:tcPr>
            <w:tcW w:type="dxa" w:w="1186"/>
          </w:tcPr>
          <w:p>
            <w:pPr>
              <w:pStyle w:val="Compact"/>
              <w:jc w:val="left"/>
            </w:pPr>
            <w:r>
              <w:t>R248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Q 54，W 40，L 4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224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5.3%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1.00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DNA 接触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距 DNA 2.3 Å</w:t>
            </w:r>
          </w:p>
        </w:tc>
      </w:tr>
      <w:tr>
        <w:tc>
          <w:tcPr>
            <w:tcW w:type="dxa" w:w="1186"/>
          </w:tcPr>
          <w:p>
            <w:pPr>
              <w:pStyle w:val="Compact"/>
              <w:jc w:val="left"/>
            </w:pPr>
            <w:r>
              <w:t>R175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H 90，G 5，C 4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167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4.0%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1.00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结构残基（埋藏）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可及表面 2%</w:t>
            </w:r>
          </w:p>
        </w:tc>
      </w:tr>
      <w:tr>
        <w:tc>
          <w:tcPr>
            <w:tcW w:type="dxa" w:w="1186"/>
          </w:tcPr>
          <w:p>
            <w:pPr>
              <w:pStyle w:val="Compact"/>
              <w:jc w:val="left"/>
            </w:pPr>
            <w:r>
              <w:t>G245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S 46，D 21，V 19，C 11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91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2.2%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1.00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结构残基（埋藏）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可及表面 0%</w:t>
            </w:r>
          </w:p>
        </w:tc>
      </w:tr>
      <w:tr>
        <w:tc>
          <w:tcPr>
            <w:tcW w:type="dxa" w:w="1186"/>
          </w:tcPr>
          <w:p>
            <w:pPr>
              <w:pStyle w:val="Compact"/>
              <w:jc w:val="left"/>
            </w:pPr>
            <w:r>
              <w:t>R282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W 96，G 3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89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2.1%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1.00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结构残基（埋藏）</w:t>
            </w:r>
          </w:p>
        </w:tc>
        <w:tc>
          <w:tcPr>
            <w:tcW w:type="dxa" w:w="1186"/>
          </w:tcPr>
          <w:p>
            <w:pPr>
              <w:pStyle w:val="Compact"/>
              <w:jc w:val="left"/>
            </w:pPr>
            <w:r>
              <w:t>可及表面 2%</w:t>
            </w:r>
          </w:p>
        </w:tc>
      </w:tr>
    </w:tbl>
    <w:p>
      <w:pPr>
        <w:pStyle w:val="Heading2"/>
      </w:pPr>
      <w:r>
        <w:t>热点位于演化上完全不变的残基</w:t>
      </w:r>
    </w:p>
    <w:p>
      <w:pPr>
        <w:pStyle w:val="FirstParagraph"/>
      </w:pPr>
      <w:r>
        <w:t xml:space="preserve">五个热点在 6 种脊椎动物中完全不变且均在 DBD；随机五个密码子全不变的概率 </w:t>
      </w:r>
      <w:r>
        <w:rPr>
          <w:i/>
        </w:rPr>
        <w:t>P</w:t>
      </w:r>
      <w:r>
        <w:t xml:space="preserve"> = 0.005。突变密度随保守性升高：DBD 内每残基 13.8 个错义突变，DBD 外 0.4 个（图 4、图 5）。在 1TUP 结构</w:t>
      </w:r>
      <w:hyperlink w:anchor="_Ref_cho1994">
        <w:r>
          <w:rPr>
            <w:vertAlign w:val="superscript"/>
          </w:rPr>
          <w:t xml:space="preserve">[4]</w:t>
        </w:r>
      </w:hyperlink>
      <w:r>
        <w:t xml:space="preserve"> 中，R248、R273 接触 DNA 骨架（2.3–2.5 Å），R175、G245、R282 埋藏于核心（可及表面 0–2%）（图 6）。</w:t>
      </w:r>
    </w:p>
    <w:p>
      <w:pPr>
        <w:pStyle w:val="CaptionedFigure"/>
        <w:keepNext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040000" cy="2463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andsc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63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keepNext/>
      </w:pPr>
      <w:r>
        <w:rPr>
          <w:b/>
        </w:rPr>
        <w:t>图 4.</w:t>
      </w:r>
      <w:r>
        <w:t xml:space="preserve"> p53 沿序列的保守性与突变密度。 上：逐残基保守性，阴影为 DBD；下：各密码子的错义突变数（对数坐标），热点标红；最下方为 UniProt 功能区域示意；灰色块为其余残基。</w:t>
      </w:r>
    </w:p>
    <w:p>
      <w:pPr>
        <w:pStyle w:val="CaptionedFigure"/>
        <w:keepNext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040000" cy="20155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nservation_vs_mut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5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keepNext/>
      </w:pPr>
      <w:r>
        <w:rPr>
          <w:b/>
        </w:rPr>
        <w:t>图 5.</w:t>
      </w:r>
      <w:r>
        <w:t xml:space="preserve"> 保守性预测突变富集的位置。 (a) 保守性分布；五个热点全部落在完全不变的那一类（137 个残基）。(b) 保守性与错义突变密度（Spearman ρ = 0.51，</w:t>
      </w:r>
      <w:r>
        <w:rPr>
          <w:i/>
        </w:rPr>
        <w:t>P</w:t>
      </w:r>
      <w:r>
        <w:t xml:space="preserve"> = 3×10⁻²⁷）；每点为一个密码子，灰色为 DBD 外残基，蓝绿色为 DBD 内残基，红色为五个热点密码子。(c) 保守半区与可变半区、DBD 内与 DBD 外每个残基的突变数。</w:t>
      </w:r>
    </w:p>
    <w:p>
      <w:pPr>
        <w:pStyle w:val="CaptionedFigure"/>
        <w:keepNext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040000" cy="21281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28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图 6.</w:t>
      </w:r>
      <w:r>
        <w:t xml:space="preserve"> 热点的结构环境。 (a) p53 核心结构域（PDB 1TUP）与 DNA 复合物的界面视图，棍状模型标出 DNA 接触热点 R248 与 R273（红色）。(b) 旋转视图并隐藏 DNA，显示埋藏的结构性热点 R175、G245、R282（蓝色）；Zn²⁺ 为紫色球。(c) 各热点的相对溶剂可及性，可区分埋藏的核心残基与接触 DNA 的残基。</w:t>
      </w:r>
    </w:p>
    <w:p>
      <w:pPr>
        <w:pStyle w:val="Heading1"/>
      </w:pPr>
      <w:r>
        <w:t>讨论</w:t>
      </w:r>
    </w:p>
    <w:p>
      <w:pPr>
        <w:pStyle w:val="Heading2"/>
      </w:pPr>
      <w:r>
        <w:t>保守性对疾病突变的启示</w:t>
      </w:r>
    </w:p>
    <w:p>
      <w:pPr>
        <w:pStyle w:val="FirstParagraph"/>
      </w:pPr>
      <w:r>
        <w:t>保守性标记出化学性质不可更改的残基，肿瘤恰好选择这些位点：跨物种的纯化选择与肿瘤中的正选择汇聚于同一 DNA 界面和一个折叠核心。但保守性并不充分：137 个残基完全不变，仅少数成为热点，因此保守性本身不能决定哪些不变残基成为热点。</w:t>
      </w:r>
    </w:p>
    <w:p>
      <w:pPr>
        <w:pStyle w:val="Heading2"/>
      </w:pPr>
      <w:r>
        <w:t>大规模数据库如何帮助识别功能残基</w:t>
      </w:r>
    </w:p>
    <w:p>
      <w:pPr>
        <w:pStyle w:val="FirstParagraph"/>
      </w:pPr>
      <w:r>
        <w:t>大规模数据库把零散观察转化为统计证据：本文使用的 cBioPortal 汇集数千例肿瘤，使单密码子的高频复发可与 passenger（伴随）突变背景区分；COSMIC 提供跨癌种体细胞突变</w:t>
      </w:r>
      <w:hyperlink w:anchor="_Ref_sondka2024">
        <w:r>
          <w:rPr>
            <w:vertAlign w:val="superscript"/>
          </w:rPr>
          <w:t xml:space="preserve">[10]</w:t>
        </w:r>
      </w:hyperlink>
      <w:r>
        <w:t>，IARC TP53 数据库</w:t>
      </w:r>
      <w:hyperlink w:anchor="_Ref_bouaoun2016">
        <w:r>
          <w:rPr>
            <w:vertAlign w:val="superscript"/>
          </w:rPr>
          <w:t xml:space="preserve">[11]</w:t>
        </w:r>
      </w:hyperlink>
      <w:r>
        <w:t xml:space="preserve"> 补充胚系变异与功能实验，可作为独立交叉验证资源。本文数据显示，突变集中于少数密码子，这些密码子跨物种不变，对应残基或接触 DNA、或稳定核心。因此交叉比对频率、保守性、结构与实验数据，可识别功能重要残基并区分驱动与伴随突变。局限仍存：队列构成与测序深度影响代表性；indel 常被低估。</w:t>
      </w:r>
    </w:p>
    <w:p>
      <w:pPr>
        <w:pStyle w:val="Heading1"/>
      </w:pPr>
      <w:r>
        <w:t>方法</w:t>
      </w:r>
    </w:p>
    <w:p>
      <w:pPr>
        <w:pStyle w:val="FirstParagraph"/>
      </w:pPr>
      <w:r>
        <w:t>从 UniProt 下载 6 条审阅条目（P04637、P02340、P67939、P10360、P07193、P79734）</w:t>
      </w:r>
      <w:hyperlink w:anchor="_Ref_uniprot2025">
        <w:r>
          <w:rPr>
            <w:vertAlign w:val="superscript"/>
          </w:rPr>
          <w:t xml:space="preserve">[1]</w:t>
        </w:r>
      </w:hyperlink>
      <w:r>
        <w:t>，经 EMBL-EBI 的 Clustal Omega 1.2.4 比对</w:t>
      </w:r>
      <w:hyperlink w:anchor="_Ref_sievers2011">
        <w:r>
          <w:rPr>
            <w:vertAlign w:val="superscript"/>
          </w:rPr>
          <w:t xml:space="preserve">[2,3]</w:t>
        </w:r>
      </w:hyperlink>
      <w:r>
        <w:t>，得到 409 列的比对结果。</w:t>
      </w:r>
    </w:p>
    <w:p>
      <w:pPr>
        <w:pStyle w:val="BodyText"/>
      </w:pPr>
      <w:r>
        <w:t>保守性按比对列计算 Shannon 熵</w:t>
      </w:r>
      <w:hyperlink w:anchor="_Ref_shannon1948">
        <w:r>
          <w:rPr>
            <w:vertAlign w:val="superscript"/>
          </w:rPr>
          <w:t xml:space="preserve">[12]</w:t>
        </w:r>
      </w:hyperlink>
      <w:r>
        <w:t>，得分 = 1 − H/log₂20；同时计算 Jensen–Shannon 散度</w:t>
      </w:r>
      <w:hyperlink w:anchor="_Ref_lin1991">
        <w:r>
          <w:rPr>
            <w:vertAlign w:val="superscript"/>
          </w:rPr>
          <w:t xml:space="preserve">[13]</w:t>
        </w:r>
      </w:hyperlink>
      <w:r>
        <w:t xml:space="preserve"> 及与人序列的一致性，并映射到人 p53 残基编号。</w:t>
      </w:r>
    </w:p>
    <w:p>
      <w:pPr>
        <w:pStyle w:val="BodyText"/>
      </w:pPr>
      <w:r>
        <w:t>通过 cBioPortal REST API 获取 32 个 TCGA 泛癌队列中全部 TP53（Entrez 7157）突变</w:t>
      </w:r>
      <w:hyperlink w:anchor="_Ref_cerami2012">
        <w:r>
          <w:rPr>
            <w:vertAlign w:val="superscript"/>
          </w:rPr>
          <w:t xml:space="preserve">[8,9]</w:t>
        </w:r>
      </w:hyperlink>
      <w:r>
        <w:t>，去重后得到 4,225 个事件、3,839 例样本；热点按错义突变数排序。</w:t>
      </w:r>
    </w:p>
    <w:p>
      <w:pPr>
        <w:pStyle w:val="BodyText"/>
      </w:pPr>
      <w:r>
        <w:t>采用超几何检验评估热点在不变密码子中的富集，用 Mann–Whitney U 检验比较热点与其他密码子的保守性，用 Spearman 相关分析保守性与突变密度的关系。</w:t>
      </w:r>
    </w:p>
    <w:p>
      <w:pPr>
        <w:pStyle w:val="BodyText"/>
      </w:pPr>
      <w:r>
        <w:t xml:space="preserve">从 PDB 1TUP </w:t>
      </w:r>
      <w:hyperlink w:anchor="_Ref_cho1994">
        <w:r>
          <w:rPr>
            <w:vertAlign w:val="superscript"/>
          </w:rPr>
          <w:t xml:space="preserve">[4]</w:t>
        </w:r>
      </w:hyperlink>
      <w:r>
        <w:t xml:space="preserve"> 中自动选取与 DNA 接触最多的核心结构域；用 Biopython 计算 Shrake–Rupley 溶剂可及性</w:t>
      </w:r>
      <w:hyperlink w:anchor="_Ref_shrake1973">
        <w:r>
          <w:rPr>
            <w:vertAlign w:val="superscript"/>
          </w:rPr>
          <w:t xml:space="preserve">[14]</w:t>
        </w:r>
      </w:hyperlink>
      <w:r>
        <w:t>，残基最大可及表面积取自 Tien 等</w:t>
      </w:r>
      <w:hyperlink w:anchor="_Ref_tien2013">
        <w:r>
          <w:rPr>
            <w:vertAlign w:val="superscript"/>
          </w:rPr>
          <w:t xml:space="preserve">[15]</w:t>
        </w:r>
      </w:hyperlink>
      <w:r>
        <w:t>。</w:t>
      </w:r>
    </w:p>
    <w:p>
      <w:pPr>
        <w:pStyle w:val="BodyText"/>
      </w:pPr>
      <w:r>
        <w:t>本文采用 UniProt 的功能注释进行结构域划分</w:t>
      </w:r>
      <w:hyperlink w:anchor="_Ref_uniprot2025">
        <w:r>
          <w:rPr>
            <w:vertAlign w:val="superscript"/>
          </w:rPr>
          <w:t xml:space="preserve">[1]</w:t>
        </w:r>
      </w:hyperlink>
      <w:r>
        <w:t>：TAD 1–44（转录激活）、DBD 102–292（DNA 结合）与 TET 325–356（寡聚化）；其余残基统一归为 Other。1TUP 解析的核心结构域</w:t>
      </w:r>
      <w:hyperlink w:anchor="_Ref_cho1994">
        <w:r>
          <w:rPr>
            <w:vertAlign w:val="superscript"/>
          </w:rPr>
          <w:t xml:space="preserve">[4]</w:t>
        </w:r>
      </w:hyperlink>
      <w:r>
        <w:t xml:space="preserve"> 是该 DBD 的结构对应区域。分析使用 Python 3.9.6（Biopython 1.85、NumPy 2.0.2）与 R 4.6.1（ggplot2 4.0.3、patchwork 1.3.2）；图 6a,b 使用开源 PyMOL 3.2.0.2 渲染；cBioPortal API 访问日期为 2026-10-25。</w:t>
      </w:r>
    </w:p>
    <w:p>
      <w:pPr>
        <w:pStyle w:val="Heading1"/>
      </w:pPr>
      <w:r>
        <w:t>数据可用性</w:t>
      </w:r>
    </w:p>
    <w:p>
      <w:pPr>
        <w:pStyle w:val="FirstParagraph"/>
      </w:pPr>
      <w:r>
        <w:t>本文分析的数据均为公开数据：蛋白序列来自 UniProtKB（P04637、P02340、P67939、P10360、P07193、P79734）；体细胞突变来自 cBioPortal REST API（TCGA 泛癌队列 32 项研究，访问日期 2026-10-25）；结构来自 PDB（1TUP）。派生数据（序列比对、逐残基保守性、逐密码子突变数、热点与结构指标、图 5 与图 6 的源数据）已整理至 GitHub 仓库 https://github.com/WhyLIM/HKU-PEAD7902。未上传 cBioPortal 的原始 JSON 缓存（约 3.4 MB），运行 scripts/04_fetch_mutations.py 可重新获取。</w:t>
      </w:r>
    </w:p>
    <w:p>
      <w:pPr>
        <w:pStyle w:val="Heading1"/>
      </w:pPr>
      <w:r>
        <w:t>代码可用性</w:t>
      </w:r>
    </w:p>
    <w:p>
      <w:pPr>
        <w:pStyle w:val="FirstParagraph"/>
      </w:pPr>
      <w:r>
        <w:t>分析代码见 GitHub 仓库 https://github.com/WhyLIM/HKU-PEAD7902。完整复现步骤与文件说明见仓库 README。</w:t>
      </w:r>
    </w:p>
    <w:p>
      <w:pPr>
        <w:pStyle w:val="Heading1"/>
      </w:pPr>
      <w:r>
        <w:t>声明</w:t>
      </w:r>
    </w:p>
    <w:p>
      <w:pPr>
        <w:pStyle w:val="FirstParagraph"/>
      </w:pPr>
      <w:r>
        <w:t>本研究过程中使用了生成式人工智能工具，包括但不限于实验设计、代码编写与计算方法。所有环节均经本人人工审核与核对。</w:t>
      </w:r>
    </w:p>
    <w:p>
      <w:pPr>
        <w:pStyle w:val="ReferencesTitle"/>
      </w:pPr>
      <w:r>
        <w:t>参考文献</w:t>
      </w:r>
    </w:p>
    <w:p>
      <w:pPr>
        <w:pStyle w:val="Bibliography"/>
      </w:pPr>
      <w:bookmarkStart w:id="101" w:name="_Ref_uniprot2025"/>
      <w:r>
        <w:t xml:space="preserve">[1] UNIPROT CONSORTIUM. UniProt: the Universal Protein Knowledgebase in 2025[J/OL]. Nucleic Acids Research, 2025, 53(D1): D609-D617. DOI:10.1093/nar/gkae1010.</w:t>
      </w:r>
      <w:bookmarkEnd w:id="101"/>
    </w:p>
    <w:p>
      <w:pPr>
        <w:pStyle w:val="Bibliography"/>
      </w:pPr>
      <w:bookmarkStart w:id="102" w:name="_Ref_sievers2011"/>
      <w:r>
        <w:t xml:space="preserve">[2] SIEVERS F, WILM A, DINEEN D, 等. Fast, scalable generation of high-quality protein multiple sequence alignments using Clustal Omega[J/OL]. Molecular Systems Biology, 2011, 7: 539. DOI:10.1038/msb.2011.75.</w:t>
      </w:r>
      <w:bookmarkEnd w:id="102"/>
    </w:p>
    <w:p>
      <w:pPr>
        <w:pStyle w:val="Bibliography"/>
      </w:pPr>
      <w:bookmarkStart w:id="103" w:name="_Ref_madeira2022"/>
      <w:r>
        <w:t xml:space="preserve">[3] MADEIRA F, PEARCE M, TIVEY A R N, 等. Search and sequence analysis tools services from EMBL-EBI in 2022[J/OL]. Nucleic Acids Research, 2022, 50(W1): W276-W279. DOI:10.1093/nar/gkac240.</w:t>
      </w:r>
      <w:bookmarkEnd w:id="103"/>
    </w:p>
    <w:p>
      <w:pPr>
        <w:pStyle w:val="Bibliography"/>
      </w:pPr>
      <w:bookmarkStart w:id="104" w:name="_Ref_cho1994"/>
      <w:r>
        <w:t xml:space="preserve">[4] CHO Y, GORINA S, JEFFREY P D, 等. Crystal structure of a p53 tumor suppressor-DNA complex: understanding tumorigenic mutations[J/OL]. Science, 1994, 265(5170): 346-355. DOI:10.1126/science.8023157.</w:t>
      </w:r>
      <w:bookmarkEnd w:id="104"/>
    </w:p>
    <w:p>
      <w:pPr>
        <w:pStyle w:val="Bibliography"/>
      </w:pPr>
      <w:bookmarkStart w:id="105" w:name="_Ref_joerger2008"/>
      <w:r>
        <w:t xml:space="preserve">[5] JOERGER A C, FERSHT A R. Structural biology of the tumor suppressor p53[J/OL]. Annual Review of Biochemistry, 2008, 77(1): 557-582. DOI:10.1146/annurev.biochem.77.060806.091238.</w:t>
      </w:r>
      <w:bookmarkEnd w:id="105"/>
    </w:p>
    <w:p>
      <w:pPr>
        <w:pStyle w:val="Bibliography"/>
      </w:pPr>
      <w:bookmarkStart w:id="106" w:name="_Ref_kastenhuber2017"/>
      <w:r>
        <w:t xml:space="preserve">[6] KASTENHUBER E R, LOWE S W. Putting p53 in context[J/OL]. Cell, 2017, 170(6): 1062-1078. DOI:10.1016/j.cell.2017.08.028.</w:t>
      </w:r>
      <w:bookmarkEnd w:id="106"/>
    </w:p>
    <w:p>
      <w:pPr>
        <w:pStyle w:val="Bibliography"/>
      </w:pPr>
      <w:bookmarkStart w:id="107" w:name="_Ref_hoadley2018"/>
      <w:r>
        <w:t xml:space="preserve">[7] HOADLEY K A, YAU C, HINOUE T, 等. Cell-of-origin patterns dominate the molecular classification of 10,000 tumors from 33 types of cancer[J/OL]. Cell, 2018, 173(2): 291-304.e6. DOI:10.1016/j.cell.2018.03.022.</w:t>
      </w:r>
      <w:bookmarkEnd w:id="107"/>
    </w:p>
    <w:p>
      <w:pPr>
        <w:pStyle w:val="Bibliography"/>
      </w:pPr>
      <w:bookmarkStart w:id="108" w:name="_Ref_cerami2012"/>
      <w:r>
        <w:t xml:space="preserve">[8] CERAMI E, GAO J, DOGRUSOZ U, 等. The cBio cancer genomics portal: an open platform for exploring multidimensional cancer genomics data[J/OL]. Cancer Discovery, 2012, 2(5): 401-404. DOI:10.1158/2159-8290.CD-12-0095.</w:t>
      </w:r>
      <w:bookmarkEnd w:id="108"/>
    </w:p>
    <w:p>
      <w:pPr>
        <w:pStyle w:val="Bibliography"/>
      </w:pPr>
      <w:bookmarkStart w:id="109" w:name="_Ref_debruijn2023"/>
      <w:r>
        <w:t xml:space="preserve">[9] DE BRUIJN I, KUNDRA R, MASTROGIACOMO B, 等. Analysis and visualization of longitudinal genomic and clinical data from the AACR Project GENIE Biopharma Collaborative in cBioPortal[J/OL]. Cancer Research, 2023, 83(23): 3861-3867. DOI:10.1158/0008-5472.CAN-23-0816.</w:t>
      </w:r>
      <w:bookmarkEnd w:id="109"/>
    </w:p>
    <w:p>
      <w:pPr>
        <w:pStyle w:val="Bibliography"/>
      </w:pPr>
      <w:bookmarkStart w:id="110" w:name="_Ref_sondka2024"/>
      <w:r>
        <w:t xml:space="preserve">[10] SONDKA Z, DHIR N B, CARVALHO-SILVA D, 等. COSMIC: a curated database of somatic variants and clinical data for cancer[J/OL]. Nucleic Acids Research, 2024, 52(D1): D1210-D1217. DOI:10.1093/nar/gkad986.</w:t>
      </w:r>
      <w:bookmarkEnd w:id="110"/>
    </w:p>
    <w:p>
      <w:pPr>
        <w:pStyle w:val="Bibliography"/>
      </w:pPr>
      <w:bookmarkStart w:id="111" w:name="_Ref_bouaoun2016"/>
      <w:r>
        <w:t xml:space="preserve">[11] BOUAOUN L, SONKIN D, ARDIN M, 等. TP53 variations in human cancers: new lessons from the IARC TP53 database and genomics data[J/OL]. Human Mutation, 2016, 37(9): 865-876. DOI:10.1002/humu.23035.</w:t>
      </w:r>
      <w:bookmarkEnd w:id="111"/>
    </w:p>
    <w:p>
      <w:pPr>
        <w:pStyle w:val="Bibliography"/>
      </w:pPr>
      <w:bookmarkStart w:id="112" w:name="_Ref_shannon1948"/>
      <w:r>
        <w:t xml:space="preserve">[12] SHANNON C E. A mathematical theory of communication[J/OL]. Bell System Technical Journal, 1948, 27(3): 379-423. DOI:10.1002/j.1538-7305.1948.tb01338.x.</w:t>
      </w:r>
      <w:bookmarkEnd w:id="112"/>
    </w:p>
    <w:p>
      <w:pPr>
        <w:pStyle w:val="Bibliography"/>
      </w:pPr>
      <w:bookmarkStart w:id="113" w:name="_Ref_lin1991"/>
      <w:r>
        <w:t xml:space="preserve">[13] LIN J. Divergence measures based on the Shannon entropy[J/OL]. IEEE Transactions on Information Theory, 1991, 37(1): 145-151. DOI:10.1109/18.61115.</w:t>
      </w:r>
      <w:bookmarkEnd w:id="113"/>
    </w:p>
    <w:p>
      <w:pPr>
        <w:pStyle w:val="Bibliography"/>
      </w:pPr>
      <w:bookmarkStart w:id="114" w:name="_Ref_shrake1973"/>
      <w:r>
        <w:t xml:space="preserve">[14] SHRAKE A, RUPLEY J A. Environment and exposure to solvent of protein atoms. Lysozyme and insulin[J/OL]. Journal of Molecular Biology, 1973, 79(2): 351-371. DOI:10.1016/0022-2836(73)90011-9.</w:t>
      </w:r>
      <w:bookmarkEnd w:id="114"/>
    </w:p>
    <w:p>
      <w:pPr>
        <w:pStyle w:val="Bibliography"/>
      </w:pPr>
      <w:bookmarkStart w:id="115" w:name="_Ref_tien2013"/>
      <w:r>
        <w:t xml:space="preserve">[15] TIEN M Z, MEYER A G, SYDYKOVA D K, 等. Maximum allowed solvent accessibilities of residues in proteins[J/OL]. PLoS ONE, 2013, 8(11): e80635. DOI:10.1371/journal.pone.0080635.</w:t>
      </w:r>
      <w:bookmarkEnd w:id="115"/>
    </w:p>
    <w:sectPr>
      <w:footerReference w:type="default" r:id="rId7"/>
      <w:pgSz w:w="11906" w:h="16838"/>
      <w:pgMar w:top="1440" w:right="1803" w:bottom="1440" w:left="1803" w:header="720" w:footer="720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charset w:val="00"/>
    <w:family w:val="roman"/>
    <w:pitch w:val="variable"/>
  </w:font>
  <w:font w:name="Arial">
    <w:charset w:val="00"/>
    <w:family w:val="swiss"/>
    <w:pitch w:val="variable"/>
  </w:font>
  <w:font w:name="Cambria Math">
    <w:charset w:val="00"/>
    <w:family w:val="roman"/>
    <w:pitch w:val="variable"/>
  </w:font>
  <w:font w:name="Calibri">
    <w:charset w:val="00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auto"/>
    <w:pitch w:val="variable"/>
  </w:font>
  <w:font w:name="楷体">
    <w:altName w:val="KaiTi"/>
    <w:charset w:val="86"/>
    <w:family w:val="auto"/>
    <w:pitch w:val="variable"/>
  </w:font>
  <w:font w:name="仿宋">
    <w:altName w:val="FangSong"/>
    <w:charset w:val="86"/>
    <w:family w:val="auto"/>
    <w:pitch w:val="variable"/>
  </w:font>
  <w:font w:name="DengXian">
    <w:altName w:val="等线"/>
    <w:charset w:val="86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  <w:instrText xml:space="preserve">PAGE   \* MERGEFORMAT </w:instrText>
      <w:fldChar w:fldCharType="separate"/>
      <w:fldChar w:fldCharType="end"/>
    </w:r>
  </w:p>
</w:ftr>
</file>

<file path=word/numbering.xml><?xml version="1.0" encoding="utf-8"?>
<w:numbering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/>
        <w:sz w:val="24"/>
        <w:szCs w:val="24"/>
        <w:lang w:val="en-US" w:eastAsia="zh-CN" w:bidi="ar-SA"/>
      </w:rPr>
    </w:rPrDefault>
    <w:pPrDefault>
      <w:pPr>
        <w:spacing w:before="0" w:after="0" w:line="240" w:lineRule="auto"/>
      </w:pPr>
    </w:pPrDefault>
  </w:docDefaults>
  <w:latentStyles w:defLockedState="0" w:defUIPriority="99" w:defSemiHidden="0" w:defUnhideWhenUsed="0" w:defQFormat="0" w:count="376"/>
  <w:style w:type="paragraph" w:default="1" w:styleId="Normal">
    <w:name w:val="Normal"/>
    <w:qFormat/>
    <w:pPr>
      <w:spacing w:line="360" w:lineRule="auto" w:before="0" w:after="0"/>
      <w:ind w:firstLineChars="200"/>
      <w:jc w:val="both"/>
    </w:pPr>
    <w:rPr>
      <w:rFonts w:eastAsia="宋体" w:ascii="Times New Roman" w:hAnsi="Times New Roman"/>
      <w:b w:val="0"/>
      <w:i w:val="0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">
    <w:name w:val="Table"/>
    <w:basedOn w:val="TableNormal"/>
    <w:tblPr>
      <w:jc w:val="center"/>
      <w:tblBorders>
        <w:top w:val="single" w:sz="12" w:space="0" w:color="000000"/>
        <w:bottom w:val="single" w:sz="12" w:space="0" w:color="000000"/>
        <w:left w:val="none"/>
        <w:right w:val="none"/>
        <w:insideH w:val="none"/>
        <w:insideV w:val="non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line="240" w:lineRule="auto" w:before="0" w:after="0"/>
        <w:ind w:firstLineChars="0"/>
        <w:jc w:val="center"/>
      </w:pPr>
      <w:rPr>
        <w:rFonts w:eastAsia="宋体" w:ascii="Times New Roman" w:hAnsi="Times New Roman"/>
        <w:b/>
        <w:i w:val="0"/>
        <w:color w:val="000000"/>
        <w:sz w:val="21"/>
      </w:rPr>
      <w:trPr>
        <w:tblHeader/>
      </w:trPr>
      <w:tcPr>
        <w:tcBorders>
          <w:bottom w:val="single" w:sz="6" w:space="0" w:color="000000"/>
        </w:tcBorders>
      </w:tcPr>
    </w:tblStylePr>
    <w:tblStylePr w:type="wholeTable">
      <w:tcPr>
        <w:vAlign w:val="center"/>
      </w:tcPr>
    </w:tblStylePr>
  </w:style>
  <w:style w:type="paragraph" w:styleId="Header">
    <w:name w:val="header"/>
    <w:basedOn w:val="Normal"/>
    <w:link w:val="HeaderChar"/>
    <w:qFormat/>
  </w:style>
  <w:style w:type="character" w:styleId="HeaderChar">
    <w:name w:val="Header Char"/>
    <w:basedOn w:val="DefaultParagraphFont"/>
    <w:link w:val="Header"/>
    <w:qFormat/>
  </w:style>
  <w:style w:type="paragraph" w:styleId="Footer">
    <w:name w:val="footer"/>
    <w:basedOn w:val="Normal"/>
    <w:link w:val="FooterChar"/>
    <w:qFormat/>
    <w:pPr>
      <w:spacing w:line="240" w:lineRule="auto" w:before="0" w:after="0"/>
      <w:ind w:firstLineChars="0"/>
      <w:jc w:val="center"/>
    </w:pPr>
    <w:rPr>
      <w:rFonts w:eastAsia="宋体" w:ascii="Times New Roman" w:hAnsi="Times New Roman"/>
      <w:b w:val="0"/>
      <w:i w:val="0"/>
      <w:color w:val="000000"/>
      <w:sz w:val="18"/>
    </w:rPr>
  </w:style>
  <w:style w:type="character" w:styleId="FooterChar">
    <w:name w:val="Footer Char"/>
    <w:basedOn w:val="DefaultParagraphFont"/>
    <w:link w:val="Footer"/>
    <w:qFormat/>
    <w:rPr>
      <w:rFonts w:eastAsia="宋体" w:ascii="Times New Roman" w:hAnsi="Times New Roman"/>
      <w:b w:val="0"/>
      <w:i w:val="0"/>
      <w:color w:val="000000"/>
      <w:sz w:val="18"/>
    </w:rPr>
  </w:style>
  <w:style w:type="paragraph" w:styleId="BodyText">
    <w:name w:val="Body Text"/>
    <w:basedOn w:val="Normal"/>
    <w:link w:val="BodyTextChar"/>
    <w:qFormat/>
    <w:pPr>
      <w:spacing w:line="360" w:lineRule="auto" w:before="0" w:after="0"/>
      <w:ind w:firstLineChars="200"/>
      <w:jc w:val="both"/>
    </w:pPr>
    <w:rPr>
      <w:rFonts w:eastAsia="宋体" w:ascii="Times New Roman" w:hAnsi="Times New Roman"/>
      <w:b w:val="0"/>
      <w:i w:val="0"/>
      <w:color w:val="000000"/>
      <w:sz w:val="24"/>
    </w:rPr>
  </w:style>
  <w:style w:type="character" w:styleId="BodyTextChar">
    <w:name w:val="Body Text Char"/>
    <w:basedOn w:val="DefaultParagraphFont"/>
    <w:link w:val="BodyText"/>
    <w:qFormat/>
    <w:rPr>
      <w:rFonts w:eastAsia="宋体" w:ascii="Times New Roman" w:hAnsi="Times New Roman"/>
      <w:b w:val="0"/>
      <w:i w:val="0"/>
      <w:color w:val="000000"/>
      <w:sz w:val="24"/>
    </w:rPr>
  </w:style>
  <w:style w:type="paragraph" w:styleId="Quote">
    <w:name w:val="Quote"/>
    <w:basedOn w:val="Normal"/>
    <w:link w:val="QuoteChar"/>
    <w:qFormat/>
  </w:style>
  <w:style w:type="character" w:styleId="QuoteChar">
    <w:name w:val="Quote Char"/>
    <w:basedOn w:val="DefaultParagraphFont"/>
    <w:link w:val="Quote"/>
    <w:qFormat/>
  </w:style>
  <w:style w:type="paragraph" w:styleId="IntenseQuote">
    <w:name w:val="Intense Quote"/>
    <w:basedOn w:val="Normal"/>
    <w:link w:val="IntenseQuoteChar"/>
    <w:qFormat/>
  </w:style>
  <w:style w:type="character" w:styleId="IntenseQuoteChar">
    <w:name w:val="IntenseQuote Char"/>
    <w:basedOn w:val="DefaultParagraphFont"/>
    <w:link w:val="IntenseQuote"/>
    <w:qFormat/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line="360" w:lineRule="auto" w:before="360" w:after="240"/>
      <w:ind w:firstLineChars="0"/>
      <w:jc w:val="center"/>
      <w:outlineLvl w:val="0"/>
    </w:pPr>
    <w:rPr>
      <w:rFonts w:eastAsia="黑体" w:ascii="Times New Roman" w:hAnsi="Times New Roman"/>
      <w:b/>
      <w:bCs/>
      <w:i w:val="0"/>
      <w:color w:val="000000"/>
      <w:sz w:val="32"/>
      <w:szCs w:val="32"/>
    </w:rPr>
  </w:style>
  <w:style w:type="character" w:styleId="Heading1Char">
    <w:name w:val="Heading 1 Char"/>
    <w:basedOn w:val="DefaultParagraphFont"/>
    <w:link w:val="Heading1"/>
    <w:qFormat/>
    <w:rPr>
      <w:rFonts w:eastAsia="黑体" w:ascii="Times New Roman" w:hAnsi="Times New Roman"/>
      <w:b/>
      <w:bCs/>
      <w:i w:val="0"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line="360" w:lineRule="auto" w:before="240" w:after="120"/>
      <w:ind w:firstLineChars="0"/>
      <w:jc w:val="left"/>
      <w:outlineLvl w:val="1"/>
    </w:pPr>
    <w:rPr>
      <w:rFonts w:eastAsia="黑体" w:ascii="Times New Roman" w:hAnsi="Times New Roman"/>
      <w:b/>
      <w:bCs/>
      <w:i w:val="0"/>
      <w:color w:val="000000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eastAsia="黑体" w:ascii="Times New Roman" w:hAnsi="Times New Roman"/>
      <w:b/>
      <w:bCs/>
      <w:i w:val="0"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line="360" w:lineRule="auto" w:before="120" w:after="0"/>
      <w:ind w:firstLineChars="0"/>
      <w:jc w:val="left"/>
      <w:outlineLvl w:val="2"/>
    </w:pPr>
    <w:rPr>
      <w:rFonts w:eastAsia="黑体" w:ascii="Times New Roman" w:hAnsi="Times New Roman"/>
      <w:b/>
      <w:bCs/>
      <w:i w:val="0"/>
      <w:color w:val="000000"/>
      <w:sz w:val="24"/>
    </w:rPr>
  </w:style>
  <w:style w:type="character" w:styleId="Heading3Char">
    <w:name w:val="Heading 3 Char"/>
    <w:basedOn w:val="DefaultParagraphFont"/>
    <w:link w:val="Heading3"/>
    <w:qFormat/>
    <w:rPr>
      <w:rFonts w:eastAsia="黑体"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spacing w:line="360" w:lineRule="auto" w:before="120" w:after="0"/>
      <w:ind w:firstLineChars="0"/>
      <w:jc w:val="left"/>
      <w:outlineLvl w:val="3"/>
    </w:pPr>
    <w:rPr>
      <w:rFonts w:eastAsia="黑体" w:ascii="Times New Roman" w:hAnsi="Times New Roman"/>
      <w:b/>
      <w:bCs/>
      <w:i w:val="0"/>
      <w:iCs w:val="0"/>
      <w:color w:val="000000"/>
      <w:sz w:val="24"/>
    </w:rPr>
  </w:style>
  <w:style w:type="character" w:styleId="Heading4Char">
    <w:name w:val="Heading 4 Char"/>
    <w:basedOn w:val="DefaultParagraphFont"/>
    <w:link w:val="Heading4"/>
    <w:qFormat/>
    <w:rPr>
      <w:rFonts w:eastAsia="黑体" w:ascii="Times New Roman" w:hAnsi="Times New Roman"/>
      <w:b/>
      <w:bCs/>
      <w:i w:val="0"/>
      <w:iCs w:val="0"/>
      <w:color w:val="000000"/>
      <w:sz w:val="24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outlineLvl w:val="4"/>
    </w:pPr>
  </w:style>
  <w:style w:type="character" w:styleId="Heading5Char">
    <w:name w:val="Heading 5 Char"/>
    <w:basedOn w:val="DefaultParagraphFont"/>
    <w:link w:val="Heading5"/>
    <w:qFormat/>
  </w:style>
  <w:style w:type="paragraph" w:styleId="Heading6">
    <w:name w:val="heading 6"/>
    <w:basedOn w:val="Normal"/>
    <w:next w:val="Normal"/>
    <w:link w:val="Heading6Char"/>
    <w:qFormat/>
    <w:pPr>
      <w:keepNext/>
      <w:keepLines/>
      <w:outlineLvl w:val="5"/>
    </w:pPr>
    <w:rPr>
      <w:i/>
      <w:iCs/>
      <w:color w:val="000000"/>
    </w:rPr>
  </w:style>
  <w:style w:type="character" w:styleId="Heading6Char">
    <w:name w:val="Heading 6 Char"/>
    <w:basedOn w:val="DefaultParagraphFont"/>
    <w:link w:val="Heading6"/>
    <w:qFormat/>
    <w:rPr>
      <w:i/>
      <w:iCs/>
      <w:color w:val="000000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outlineLvl w:val="6"/>
    </w:pPr>
    <w:rPr>
      <w:i/>
      <w:iCs/>
      <w:color w:val="000000"/>
    </w:rPr>
  </w:style>
  <w:style w:type="character" w:styleId="Heading7Char">
    <w:name w:val="Heading 7 Char"/>
    <w:basedOn w:val="DefaultParagraphFont"/>
    <w:link w:val="Heading7"/>
    <w:qFormat/>
    <w:rPr>
      <w:i/>
      <w:iCs/>
      <w:color w:val="000000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outlineLvl w:val="7"/>
    </w:pPr>
    <w:rPr>
      <w:color w:val="000000"/>
      <w:sz w:val="20"/>
      <w:szCs w:val="20"/>
    </w:rPr>
  </w:style>
  <w:style w:type="character" w:styleId="Heading8Char">
    <w:name w:val="Heading 8 Char"/>
    <w:basedOn w:val="DefaultParagraphFont"/>
    <w:link w:val="Heading8"/>
    <w:qFormat/>
    <w:rPr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outlineLvl w:val="8"/>
    </w:pPr>
    <w:rPr>
      <w:i/>
      <w:iCs/>
      <w:color w:val="000000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i/>
      <w:iCs/>
      <w:color w:val="000000"/>
      <w:sz w:val="20"/>
      <w:szCs w:val="20"/>
    </w:rPr>
  </w:style>
  <w:style w:type="paragraph" w:styleId="Title">
    <w:name w:val="Title"/>
    <w:basedOn w:val="Normal"/>
    <w:next w:val="Normal"/>
    <w:link w:val="TitleChar"/>
    <w:qFormat/>
    <w:pPr>
      <w:spacing w:line="360" w:lineRule="auto" w:before="0" w:after="240"/>
      <w:ind w:firstLineChars="0"/>
      <w:jc w:val="center"/>
    </w:pPr>
    <w:rPr>
      <w:rFonts w:eastAsia="黑体" w:ascii="Times New Roman" w:hAnsi="Times New Roman"/>
      <w:b/>
      <w:i w:val="0"/>
      <w:color w:val="000000"/>
      <w:sz w:val="44"/>
      <w:szCs w:val="44"/>
    </w:rPr>
  </w:style>
  <w:style w:type="character" w:styleId="TitleChar">
    <w:name w:val="Title Char"/>
    <w:basedOn w:val="DefaultParagraphFont"/>
    <w:link w:val="Title"/>
    <w:qFormat/>
    <w:rPr>
      <w:rFonts w:eastAsia="黑体" w:ascii="Times New Roman" w:hAnsi="Times New Roman"/>
      <w:b/>
      <w:i w:val="0"/>
      <w:color w:val="000000"/>
      <w:sz w:val="44"/>
      <w:szCs w:val="44"/>
    </w:rPr>
  </w:style>
  <w:style w:type="paragraph" w:styleId="Subtitle">
    <w:name w:val="Subtitle"/>
    <w:basedOn w:val="Normal"/>
    <w:next w:val="Normal"/>
    <w:link w:val="SubtitleChar"/>
    <w:qFormat/>
    <w:rPr>
      <w:i/>
      <w:iCs/>
      <w:color w:val="000000"/>
      <w:sz w:val="24"/>
      <w:szCs w:val="24"/>
    </w:rPr>
  </w:style>
  <w:style w:type="character" w:styleId="SubtitleChar">
    <w:name w:val="Subtitle Char"/>
    <w:basedOn w:val="DefaultParagraphFont"/>
    <w:link w:val="Subtitle"/>
    <w:qFormat/>
    <w:rPr>
      <w:i/>
      <w:iCs/>
      <w:color w:val="000000"/>
      <w:sz w:val="24"/>
      <w:szCs w:val="24"/>
    </w:rPr>
  </w:style>
  <w:style w:type="paragraph" w:styleId="Author">
    <w:name w:val="Author"/>
    <w:basedOn w:val="Normal"/>
    <w:qFormat/>
  </w:style>
  <w:style w:type="paragraph" w:styleId="Date">
    <w:name w:val="Date"/>
    <w:basedOn w:val="Normal"/>
    <w:qFormat/>
  </w:style>
  <w:style w:type="paragraph" w:styleId="Abstract">
    <w:name w:val="Abstract"/>
    <w:basedOn w:val="Normal"/>
    <w:qFormat/>
    <w:pPr>
      <w:spacing w:line="360" w:lineRule="auto" w:before="0" w:after="120"/>
      <w:ind w:firstLineChars="200"/>
      <w:jc w:val="both"/>
    </w:pPr>
    <w:rPr>
      <w:rFonts w:eastAsia="宋体" w:ascii="Times New Roman" w:hAnsi="Times New Roman"/>
      <w:b w:val="0"/>
      <w:i w:val="0"/>
      <w:color w:val="000000"/>
      <w:sz w:val="24"/>
    </w:rPr>
  </w:style>
  <w:style w:type="paragraph" w:styleId="Keywords">
    <w:name w:val="Keywords"/>
    <w:basedOn w:val="Normal"/>
    <w:qFormat/>
    <w:pPr>
      <w:spacing w:line="360" w:lineRule="auto" w:before="0" w:after="240"/>
      <w:ind w:firstLineChars="0"/>
      <w:jc w:val="both"/>
    </w:pPr>
    <w:rPr>
      <w:rFonts w:eastAsia="宋体" w:ascii="Times New Roman" w:hAnsi="Times New Roman"/>
      <w:b w:val="0"/>
      <w:i w:val="0"/>
      <w:color w:val="000000"/>
      <w:sz w:val="24"/>
    </w:rPr>
  </w:style>
  <w:style w:type="paragraph" w:styleId="FirstParagraph">
    <w:name w:val="First Paragraph"/>
    <w:basedOn w:val="BodyText"/>
    <w:qFormat/>
    <w:pPr>
      <w:spacing w:line="360" w:lineRule="auto" w:before="0" w:after="0"/>
      <w:ind w:firstLineChars="200"/>
      <w:jc w:val="both"/>
    </w:pPr>
    <w:rPr>
      <w:rFonts w:eastAsia="宋体" w:ascii="Times New Roman" w:hAnsi="Times New Roman"/>
      <w:b w:val="0"/>
      <w:i w:val="0"/>
      <w:color w:val="000000"/>
      <w:sz w:val="24"/>
    </w:rPr>
  </w:style>
  <w:style w:type="paragraph" w:styleId="Compact">
    <w:name w:val="Compact"/>
    <w:basedOn w:val="Normal"/>
    <w:qFormat/>
    <w:pPr>
      <w:spacing w:line="240" w:lineRule="auto" w:before="0" w:after="0"/>
      <w:ind w:firstLineChars="0"/>
      <w:jc w:val="center"/>
    </w:pPr>
    <w:rPr>
      <w:rFonts w:eastAsia="宋体" w:ascii="Times New Roman" w:hAnsi="Times New Roman"/>
      <w:b w:val="0"/>
      <w:i w:val="0"/>
      <w:color w:val="000000"/>
      <w:sz w:val="21"/>
    </w:rPr>
  </w:style>
  <w:style w:type="paragraph" w:styleId="ListParagraph">
    <w:name w:val="List Paragraph"/>
    <w:basedOn w:val="Normal"/>
    <w:qFormat/>
  </w:style>
  <w:style w:type="paragraph" w:styleId="BlockText">
    <w:name w:val="Block Text"/>
    <w:basedOn w:val="Normal"/>
    <w:qFormat/>
    <w:pPr>
      <w:spacing w:line="360" w:lineRule="auto" w:before="0" w:after="0"/>
      <w:ind w:leftChars="200" w:firstLineChars="0"/>
      <w:jc w:val="both"/>
    </w:pPr>
    <w:rPr>
      <w:rFonts w:eastAsia="宋体" w:ascii="Times New Roman" w:hAnsi="Times New Roman"/>
      <w:b w:val="0"/>
      <w:i w:val="0"/>
      <w:color w:val="000000"/>
      <w:sz w:val="24"/>
    </w:rPr>
  </w:style>
  <w:style w:type="paragraph" w:styleId="TOCHeading">
    <w:name w:val="TOC Heading"/>
    <w:basedOn w:val="Normal"/>
    <w:qFormat/>
    <w:pPr>
      <w:keepNext/>
      <w:spacing w:line="360" w:lineRule="auto" w:before="240" w:after="240"/>
      <w:ind w:firstLineChars="0"/>
      <w:jc w:val="center"/>
    </w:pPr>
    <w:rPr>
      <w:rFonts w:eastAsia="黑体" w:ascii="Times New Roman" w:hAnsi="Times New Roman"/>
      <w:b/>
      <w:i w:val="0"/>
      <w:color w:val="000000"/>
      <w:sz w:val="32"/>
    </w:rPr>
  </w:style>
  <w:style w:type="paragraph" w:styleId="Caption">
    <w:name w:val="caption"/>
    <w:basedOn w:val="Normal"/>
    <w:qFormat/>
    <w:rPr>
      <w:i w:val="0"/>
    </w:rPr>
  </w:style>
  <w:style w:type="paragraph" w:styleId="TableCaption">
    <w:name w:val="Table Caption"/>
    <w:basedOn w:val="Normal"/>
    <w:qFormat/>
    <w:pPr>
      <w:keepNext/>
      <w:spacing w:line="360" w:lineRule="auto" w:before="120" w:after="120"/>
      <w:ind w:firstLineChars="0"/>
      <w:jc w:val="center"/>
    </w:pPr>
    <w:rPr>
      <w:rFonts w:eastAsia="宋体" w:ascii="Times New Roman" w:hAnsi="Times New Roman"/>
      <w:b/>
      <w:i w:val="0"/>
      <w:color w:val="000000"/>
      <w:sz w:val="21"/>
    </w:rPr>
  </w:style>
  <w:style w:type="paragraph" w:styleId="ImageCaption">
    <w:name w:val="Image Caption"/>
    <w:basedOn w:val="Normal"/>
    <w:qFormat/>
    <w:pPr>
      <w:spacing w:line="360" w:lineRule="auto" w:before="120" w:after="120"/>
      <w:ind w:firstLineChars="0"/>
      <w:jc w:val="center"/>
    </w:pPr>
    <w:rPr>
      <w:rFonts w:eastAsia="宋体" w:ascii="Times New Roman" w:hAnsi="Times New Roman"/>
      <w:b/>
      <w:i w:val="0"/>
      <w:color w:val="000000"/>
      <w:sz w:val="21"/>
    </w:rPr>
  </w:style>
  <w:style w:type="paragraph" w:styleId="Figure">
    <w:name w:val="Figure"/>
    <w:basedOn w:val="Normal"/>
    <w:qFormat/>
    <w:pPr>
      <w:jc w:val="center"/>
    </w:pPr>
  </w:style>
  <w:style w:type="paragraph" w:styleId="CaptionedFigure">
    <w:name w:val="Captioned Figure"/>
    <w:basedOn w:val="Normal"/>
    <w:qFormat/>
    <w:pPr>
      <w:keepNext/>
      <w:spacing w:line="240" w:lineRule="auto" w:before="120" w:after="0"/>
      <w:ind w:firstLineChars="0"/>
      <w:jc w:val="center"/>
    </w:pPr>
    <w:rPr>
      <w:rFonts w:eastAsia="宋体" w:ascii="Times New Roman" w:hAnsi="Times New Roman"/>
      <w:b w:val="0"/>
      <w:i w:val="0"/>
      <w:color w:val="000000"/>
      <w:sz w:val="21"/>
    </w:rPr>
  </w:style>
  <w:style w:type="paragraph" w:styleId="TableNote">
    <w:name w:val="Table Note"/>
    <w:basedOn w:val="Normal"/>
    <w:qFormat/>
    <w:pPr>
      <w:spacing w:line="240" w:lineRule="auto" w:before="0" w:after="120"/>
      <w:ind w:firstLineChars="0"/>
      <w:jc w:val="center"/>
    </w:pPr>
    <w:rPr>
      <w:rFonts w:eastAsia="宋体" w:ascii="Times New Roman" w:hAnsi="Times New Roman"/>
      <w:b w:val="0"/>
      <w:i w:val="0"/>
      <w:color w:val="000000"/>
      <w:sz w:val="18"/>
    </w:rPr>
  </w:style>
  <w:style w:type="paragraph" w:styleId="Bibliography">
    <w:name w:val="Bibliography"/>
    <w:basedOn w:val="Normal"/>
    <w:qFormat/>
    <w:pPr>
      <w:spacing w:line="300" w:lineRule="auto" w:before="0" w:after="60"/>
      <w:ind w:hanging="720" w:left="720" w:firstLineChars="0"/>
      <w:jc w:val="both"/>
    </w:pPr>
    <w:rPr>
      <w:rFonts w:eastAsia="宋体" w:ascii="Times New Roman" w:hAnsi="Times New Roman"/>
      <w:b w:val="0"/>
      <w:i w:val="0"/>
      <w:color w:val="000000"/>
      <w:sz w:val="21"/>
    </w:rPr>
  </w:style>
  <w:style w:type="paragraph" w:styleId="FootnoteText">
    <w:name w:val="Footnote Text"/>
    <w:basedOn w:val="Normal"/>
    <w:qFormat/>
    <w:pPr>
      <w:spacing w:line="240" w:lineRule="auto" w:before="0" w:after="0"/>
      <w:ind w:firstLineChars="0"/>
      <w:jc w:val="left"/>
    </w:pPr>
    <w:rPr>
      <w:rFonts w:eastAsia="宋体" w:ascii="Times New Roman" w:hAnsi="Times New Roman"/>
      <w:b w:val="0"/>
      <w:i w:val="0"/>
      <w:color w:val="000000"/>
      <w:sz w:val="18"/>
    </w:rPr>
  </w:style>
  <w:style w:type="paragraph" w:styleId="FootnoteBlockText">
    <w:name w:val="Footnote Block Text"/>
    <w:basedOn w:val="FootnoteText"/>
    <w:qFormat/>
  </w:style>
  <w:style w:type="paragraph" w:styleId="DefinitionTerm">
    <w:name w:val="Definition Term"/>
    <w:basedOn w:val="Normal"/>
    <w:qFormat/>
  </w:style>
  <w:style w:type="paragraph" w:styleId="Definition">
    <w:name w:val="Definition"/>
    <w:basedOn w:val="Normal"/>
    <w:qFormat/>
  </w:style>
  <w:style w:type="paragraph" w:styleId="SourceCode">
    <w:name w:val="Source Code"/>
    <w:basedOn w:val="Normal"/>
    <w:qFormat/>
    <w:pPr>
      <w:spacing w:before="0" w:after="0" w:line="240" w:lineRule="auto"/>
      <w:ind w:firstLineChars="0" w:left="0" w:right="0"/>
      <w:jc w:val="left"/>
    </w:pPr>
    <w:rPr>
      <w:rFonts w:ascii="Consolas" w:hAnsi="Consolas" w:eastAsia="宋体" w:cs="Consolas"/>
      <w:b w:val="0"/>
      <w:i w:val="0"/>
      <w:color w:val="000000"/>
      <w:sz w:val="21"/>
    </w:rPr>
  </w:style>
  <w:style w:type="character" w:styleId="VerbatimChar">
    <w:name w:val="Verbatim Char"/>
    <w:basedOn w:val="DefaultParagraphFont"/>
    <w:qFormat/>
    <w:rPr>
      <w:rFonts w:ascii="Consolas" w:hAnsi="Consolas" w:eastAsia="宋体" w:cs="Consolas"/>
    </w:rPr>
  </w:style>
  <w:style w:type="character" w:styleId="SectionNumber">
    <w:name w:val="Section Number"/>
    <w:basedOn w:val="DefaultParagraphFont"/>
    <w:qFormat/>
  </w:style>
  <w:style w:type="character" w:styleId="FootnoteReference">
    <w:name w:val="Footnote Reference"/>
    <w:basedOn w:val="DefaultParagraphFont"/>
    <w:qFormat/>
    <w:rPr>
      <w:vertAlign w:val="superscript"/>
    </w:rPr>
  </w:style>
  <w:style w:type="character" w:styleId="Strong">
    <w:name w:val="Strong"/>
    <w:basedOn w:val="DefaultParagraphFont"/>
    <w:qFormat/>
    <w:rPr>
      <w:b/>
      <w:bCs/>
      <w:color w:val="000000"/>
    </w:rPr>
  </w:style>
  <w:style w:type="character" w:styleId="Emphasis">
    <w:name w:val="Emphasis"/>
    <w:basedOn w:val="DefaultParagraphFont"/>
    <w:qFormat/>
    <w:rPr>
      <w:i/>
      <w:iCs/>
      <w:color w:val="000000"/>
    </w:rPr>
  </w:style>
  <w:style w:type="character" w:styleId="Hyperlink">
    <w:name w:val="Hyperlink"/>
    <w:basedOn w:val="DefaultParagraphFont"/>
    <w:qFormat/>
    <w:rPr>
      <w:color w:val="000000"/>
      <w:u w:val="none"/>
    </w:rPr>
  </w:style>
  <w:style w:type="paragraph" w:customStyle="1" w:styleId="AbstractTitle">
    <w:name w:val="Abstract Title"/>
    <w:basedOn w:val="Normal"/>
    <w:pPr>
      <w:spacing w:line="360" w:lineRule="auto" w:before="120" w:after="120"/>
      <w:ind w:firstLineChars="0"/>
      <w:jc w:val="center"/>
    </w:pPr>
    <w:rPr>
      <w:rFonts w:eastAsia="黑体" w:ascii="Times New Roman" w:hAnsi="Times New Roman"/>
      <w:b/>
      <w:i w:val="0"/>
      <w:color w:val="000000"/>
      <w:sz w:val="28"/>
    </w:rPr>
  </w:style>
  <w:style w:type="paragraph" w:customStyle="1" w:styleId="ReferencesTitle">
    <w:name w:val="References Title"/>
    <w:basedOn w:val="Normal"/>
    <w:pPr>
      <w:keepNext/>
      <w:spacing w:line="360" w:lineRule="auto" w:before="360" w:after="240"/>
      <w:ind w:firstLineChars="0"/>
      <w:jc w:val="center"/>
    </w:pPr>
    <w:rPr>
      <w:rFonts w:eastAsia="黑体" w:ascii="Times New Roman" w:hAnsi="Times New Roman"/>
      <w:b/>
      <w:i w:val="0"/>
      <w:color w:val="000000"/>
      <w:sz w:val="32"/>
    </w:rPr>
  </w:style>
  <w:style w:type="paragraph" w:styleId="TOC1">
    <w:name w:val="toc 1"/>
    <w:basedOn w:val="Normal"/>
    <w:pPr>
      <w:spacing w:line="360" w:lineRule="auto" w:before="0" w:after="0"/>
      <w:ind w:leftChars="0" w:firstLineChars="0"/>
      <w:jc w:val="left"/>
    </w:pPr>
    <w:rPr>
      <w:rFonts w:eastAsia="黑体" w:ascii="Times New Roman" w:hAnsi="Times New Roman"/>
      <w:b/>
      <w:i w:val="0"/>
      <w:color w:val="000000"/>
      <w:sz w:val="24"/>
    </w:rPr>
  </w:style>
  <w:style w:type="paragraph" w:styleId="TOC2">
    <w:name w:val="toc 2"/>
    <w:basedOn w:val="Normal"/>
    <w:pPr>
      <w:spacing w:line="360" w:lineRule="auto" w:before="0" w:after="0"/>
      <w:ind w:leftChars="100" w:firstLineChars="0"/>
      <w:jc w:val="left"/>
    </w:pPr>
    <w:rPr>
      <w:rFonts w:eastAsia="宋体" w:ascii="Times New Roman" w:hAnsi="Times New Roman"/>
      <w:b w:val="0"/>
      <w:i w:val="0"/>
      <w:color w:val="000000"/>
      <w:sz w:val="24"/>
    </w:rPr>
  </w:style>
  <w:style w:type="paragraph" w:styleId="TOC3">
    <w:name w:val="toc 3"/>
    <w:basedOn w:val="Normal"/>
    <w:pPr>
      <w:spacing w:line="360" w:lineRule="auto" w:before="0" w:after="0"/>
      <w:ind w:leftChars="200" w:firstLineChars="0"/>
      <w:jc w:val="left"/>
    </w:pPr>
    <w:rPr>
      <w:rFonts w:eastAsia="宋体" w:ascii="Times New Roman" w:hAnsi="Times New Roman"/>
      <w:b w:val="0"/>
      <w:i w:val="0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er" Target="footer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"/>
        <a:cs typeface=""/>
        <a:font script="Hans" typeface="黑体"/>
      </a:majorFont>
      <a:minorFont>
        <a:latin typeface="Times New Roman"/>
        <a:ea typeface=""/>
        <a:cs typeface=""/>
        <a:font script="Hans" typeface="宋体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keywords/>
  <dc:description/>
  <cp:lastModifiedBy/>
  <cp:revision>1</cp:revision>
</cp:coreProperties>
</file>