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FAE86" w14:textId="0532D57A" w:rsidR="00BB1D25" w:rsidRPr="00B96DEE" w:rsidRDefault="00AD44DD" w:rsidP="001B738E">
      <w:pPr>
        <w:tabs>
          <w:tab w:val="left" w:pos="1486"/>
        </w:tabs>
        <w:jc w:val="both"/>
        <w:rPr>
          <w:b/>
          <w:bCs/>
        </w:rPr>
      </w:pPr>
      <w:r w:rsidRPr="00B96DEE">
        <w:rPr>
          <w:b/>
          <w:bCs/>
        </w:rPr>
        <w:t>Purpose:</w:t>
      </w:r>
      <w:r w:rsidR="00B96DEE" w:rsidRPr="00B96DEE">
        <w:rPr>
          <w:b/>
          <w:bCs/>
        </w:rPr>
        <w:tab/>
      </w:r>
    </w:p>
    <w:p w14:paraId="1718FCDF" w14:textId="3E220FB7" w:rsidR="00AD44DD" w:rsidRDefault="00AD44DD" w:rsidP="001B738E">
      <w:pPr>
        <w:jc w:val="both"/>
      </w:pPr>
      <w:r>
        <w:t xml:space="preserve">This analysis and visualisation are aiming to investigate whether there is difference between the pre- and post- pineapple juice (PJ) administration on participant’s cT1, Iron and PDFF values. </w:t>
      </w:r>
    </w:p>
    <w:p w14:paraId="09F57150" w14:textId="2808C9C1" w:rsidR="00AD44DD" w:rsidRDefault="00AD44DD" w:rsidP="001B738E">
      <w:pPr>
        <w:jc w:val="both"/>
      </w:pPr>
    </w:p>
    <w:p w14:paraId="3CC1D059" w14:textId="7262B381" w:rsidR="00AD44DD" w:rsidRDefault="00AD44DD" w:rsidP="001B738E">
      <w:pPr>
        <w:jc w:val="both"/>
      </w:pPr>
    </w:p>
    <w:p w14:paraId="4F8D5F83" w14:textId="77F34E35" w:rsidR="00AD44DD" w:rsidRPr="00B96DEE" w:rsidRDefault="004401B6" w:rsidP="001B738E">
      <w:pPr>
        <w:jc w:val="both"/>
        <w:rPr>
          <w:b/>
          <w:bCs/>
        </w:rPr>
      </w:pPr>
      <w:r w:rsidRPr="00B96DEE">
        <w:rPr>
          <w:b/>
          <w:bCs/>
        </w:rPr>
        <w:t>Methods</w:t>
      </w:r>
      <w:r w:rsidR="00AD44DD" w:rsidRPr="00B96DEE">
        <w:rPr>
          <w:b/>
          <w:bCs/>
        </w:rPr>
        <w:t>:</w:t>
      </w:r>
    </w:p>
    <w:p w14:paraId="160F0773" w14:textId="2C478EAA" w:rsidR="00AD44DD" w:rsidRDefault="00AD44DD" w:rsidP="001B738E">
      <w:pPr>
        <w:jc w:val="both"/>
      </w:pPr>
      <w:r>
        <w:t xml:space="preserve">In total 80 cases were collected (40 cases pre-PJ administration, 40 cases post-PJ administration). Each case underwent MRCP and Liver LMS image acquisition. The liver images were then </w:t>
      </w:r>
      <w:r w:rsidR="004401B6">
        <w:t xml:space="preserve">processed with </w:t>
      </w:r>
      <w:r>
        <w:t xml:space="preserve">auto-segmentation, and </w:t>
      </w:r>
      <w:r w:rsidR="004401B6">
        <w:t xml:space="preserve">multi-parametric </w:t>
      </w:r>
      <w:r>
        <w:t>quantification with LMS Discover</w:t>
      </w:r>
      <w:r w:rsidR="004401B6">
        <w:t>. Among the 40 cases, the analysis of 10 cases were incomplete (some lack cT1 and Iron values) and therefore</w:t>
      </w:r>
      <w:r w:rsidR="00767D6C">
        <w:t xml:space="preserve"> were</w:t>
      </w:r>
      <w:r w:rsidR="004401B6">
        <w:t xml:space="preserve"> excluded from further analysis. From the 30 LMS reports, the cT1, Iron and PDFF median values and interquartile range values were organised into a dataset to proceed with data visualisation, descriptive statistics, and paired t-test. </w:t>
      </w:r>
    </w:p>
    <w:p w14:paraId="50A04C8D" w14:textId="5797C9D5" w:rsidR="004401B6" w:rsidRDefault="004401B6" w:rsidP="001B738E">
      <w:pPr>
        <w:jc w:val="both"/>
      </w:pPr>
    </w:p>
    <w:p w14:paraId="5BDA8FE5" w14:textId="6D13ACD4" w:rsidR="004401B6" w:rsidRPr="00B96DEE" w:rsidRDefault="004401B6" w:rsidP="001B738E">
      <w:pPr>
        <w:jc w:val="both"/>
        <w:rPr>
          <w:b/>
          <w:bCs/>
        </w:rPr>
      </w:pPr>
      <w:r w:rsidRPr="00B96DEE">
        <w:rPr>
          <w:b/>
          <w:bCs/>
        </w:rPr>
        <w:t xml:space="preserve">Results:  </w:t>
      </w:r>
    </w:p>
    <w:p w14:paraId="0D715DA0" w14:textId="77777777" w:rsidR="00092250" w:rsidRDefault="00092250" w:rsidP="001B738E">
      <w:pPr>
        <w:jc w:val="both"/>
      </w:pPr>
    </w:p>
    <w:p w14:paraId="42BFF6AC" w14:textId="013FF39C" w:rsidR="00FB0A68" w:rsidRDefault="00FB0A68" w:rsidP="001B738E">
      <w:pPr>
        <w:jc w:val="both"/>
      </w:pPr>
      <w:r>
        <w:t xml:space="preserve">Please see Appendix 1 for a complete table of data used for analysis. </w:t>
      </w:r>
    </w:p>
    <w:p w14:paraId="7027027B" w14:textId="063114A9" w:rsidR="00905DAD" w:rsidRDefault="00905DAD" w:rsidP="001B738E">
      <w:pPr>
        <w:jc w:val="both"/>
      </w:pPr>
    </w:p>
    <w:p w14:paraId="4D47278A" w14:textId="5995EDB4" w:rsidR="00905DAD" w:rsidRDefault="00905DAD" w:rsidP="001B738E">
      <w:pPr>
        <w:jc w:val="both"/>
      </w:pPr>
      <w:r>
        <w:t xml:space="preserve">Figure.1 and </w:t>
      </w:r>
      <w:r>
        <w:t>Figure.</w:t>
      </w:r>
      <w:r>
        <w:t>2 show the individual cT1 values pre-PJ and post-PJ respectively. The green shaded areas indicate the r</w:t>
      </w:r>
      <w:r w:rsidRPr="00905DAD">
        <w:t>eference interval from 95% confidence interval on cT1 distribution in healthy subjects with BMI &lt; 25 kg/m.</w:t>
      </w:r>
      <w:r>
        <w:t xml:space="preserve"> The error bars indicate the standard deviation of cT1 value among this population of 30 cases. </w:t>
      </w:r>
      <w:r w:rsidR="00A178BC">
        <w:t>4</w:t>
      </w:r>
      <w:r>
        <w:t xml:space="preserve"> out of 30 pre-PJ cases (subject 2, 3, 6, 8) </w:t>
      </w:r>
      <w:r>
        <w:t>showed cT1 value beyond the healthy reference interval.</w:t>
      </w:r>
      <w:r>
        <w:t xml:space="preserve"> 6 out of 30 post-PJ cases (subject 2, 3, 6, 8, 19, 27) showed cT1 value beyond the </w:t>
      </w:r>
      <w:r>
        <w:t>healthy reference interval</w:t>
      </w:r>
      <w:r>
        <w:t>.</w:t>
      </w:r>
    </w:p>
    <w:p w14:paraId="6756214A" w14:textId="73240643" w:rsidR="00FB0A68" w:rsidRDefault="008E13D0" w:rsidP="00092250">
      <w:pPr>
        <w:jc w:val="center"/>
      </w:pPr>
      <w:r>
        <w:rPr>
          <w:noProof/>
        </w:rPr>
        <w:drawing>
          <wp:inline distT="0" distB="0" distL="0" distR="0" wp14:anchorId="4811268F" wp14:editId="55011D48">
            <wp:extent cx="4692770" cy="187710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012" cy="189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99B6E4" wp14:editId="78FBE660">
            <wp:extent cx="4891177" cy="195647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899" cy="196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A68">
        <w:br w:type="page"/>
      </w:r>
    </w:p>
    <w:p w14:paraId="38F992CF" w14:textId="77777777" w:rsidR="00FB0A68" w:rsidRDefault="00FB0A68" w:rsidP="001B738E">
      <w:pPr>
        <w:jc w:val="both"/>
        <w:sectPr w:rsidR="00FB0A68" w:rsidSect="00FB0A68">
          <w:footerReference w:type="default" r:id="rId8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624BCF1" w14:textId="4E8C1A07" w:rsidR="00CC4BEE" w:rsidRDefault="00905DAD" w:rsidP="001B738E">
      <w:pPr>
        <w:jc w:val="both"/>
      </w:pPr>
      <w:r>
        <w:lastRenderedPageBreak/>
        <w:t>Figure.3 and Figure.4</w:t>
      </w:r>
      <w:r>
        <w:t xml:space="preserve"> show the individual </w:t>
      </w:r>
      <w:r w:rsidR="00CC4BEE">
        <w:t>i</w:t>
      </w:r>
      <w:r>
        <w:t xml:space="preserve">ron </w:t>
      </w:r>
      <w:r w:rsidR="00CC4BEE">
        <w:t>concentration</w:t>
      </w:r>
      <w:r>
        <w:t>s pre-PJ and post-PJ respectively</w:t>
      </w:r>
      <w:r>
        <w:t>. The green sha</w:t>
      </w:r>
      <w:r w:rsidR="00CC4BEE">
        <w:t>d</w:t>
      </w:r>
      <w:r>
        <w:t xml:space="preserve">ed area means the healthy range of Iron concentration in the </w:t>
      </w:r>
      <w:r w:rsidR="00CC4BEE">
        <w:t xml:space="preserve">liver is below 1.8 mg/g (&lt; 1,8 mg/g dry liver). At both time points, one case (subject 16) showed beyond normal Iron concentration. </w:t>
      </w:r>
    </w:p>
    <w:p w14:paraId="2AB79849" w14:textId="2E352074" w:rsidR="00CC4BEE" w:rsidRDefault="00F525D5" w:rsidP="00092250">
      <w:pPr>
        <w:jc w:val="center"/>
      </w:pPr>
      <w:r>
        <w:rPr>
          <w:noProof/>
        </w:rPr>
        <w:drawing>
          <wp:inline distT="0" distB="0" distL="0" distR="0" wp14:anchorId="472AC726" wp14:editId="5633F88C">
            <wp:extent cx="3950899" cy="1580359"/>
            <wp:effectExtent l="0" t="0" r="0" b="0"/>
            <wp:docPr id="24" name="Picture 2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a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C88B" w14:textId="17D0E560" w:rsidR="00CC4BEE" w:rsidRDefault="00F525D5" w:rsidP="00092250">
      <w:pPr>
        <w:jc w:val="center"/>
      </w:pPr>
      <w:r>
        <w:rPr>
          <w:noProof/>
        </w:rPr>
        <w:drawing>
          <wp:inline distT="0" distB="0" distL="0" distR="0" wp14:anchorId="43FC597C" wp14:editId="515E0EAC">
            <wp:extent cx="4304581" cy="1721832"/>
            <wp:effectExtent l="0" t="0" r="0" b="0"/>
            <wp:docPr id="25" name="Picture 2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ba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99" cy="17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6907" w14:textId="77777777" w:rsidR="00CC4BEE" w:rsidRDefault="00CC4BEE" w:rsidP="001B738E">
      <w:pPr>
        <w:jc w:val="both"/>
      </w:pPr>
    </w:p>
    <w:p w14:paraId="2D38889C" w14:textId="77777777" w:rsidR="00CC4BEE" w:rsidRDefault="00CC4BEE" w:rsidP="001B738E">
      <w:pPr>
        <w:jc w:val="both"/>
      </w:pPr>
    </w:p>
    <w:p w14:paraId="42E8D55F" w14:textId="77777777" w:rsidR="00092250" w:rsidRDefault="00CC4BEE" w:rsidP="001B738E">
      <w:pPr>
        <w:jc w:val="both"/>
      </w:pPr>
      <w:r>
        <w:t xml:space="preserve">Figure.5 and </w:t>
      </w:r>
      <w:r>
        <w:t>Figure.</w:t>
      </w:r>
      <w:r>
        <w:t xml:space="preserve">6 show </w:t>
      </w:r>
      <w:r>
        <w:t xml:space="preserve">the individual </w:t>
      </w:r>
      <w:r>
        <w:t>PDFF percentage</w:t>
      </w:r>
      <w:r>
        <w:t xml:space="preserve"> pre-PJ and post-PJ respectively.</w:t>
      </w:r>
      <w:r>
        <w:t xml:space="preserve"> The green shaded area means</w:t>
      </w:r>
      <w:r>
        <w:t xml:space="preserve"> the healthy range of </w:t>
      </w:r>
      <w:r>
        <w:t>PDFF</w:t>
      </w:r>
      <w:r>
        <w:t xml:space="preserve"> concentration in the liver is below</w:t>
      </w:r>
      <w:r>
        <w:t xml:space="preserve"> 5.6 %.   4 out of 30 pre-PJ cases (subject 1, 8, 27, 38) showed </w:t>
      </w:r>
      <w:r>
        <w:t>PDFF concentration</w:t>
      </w:r>
      <w:r>
        <w:t>s higher</w:t>
      </w:r>
      <w:r>
        <w:t xml:space="preserve"> </w:t>
      </w:r>
      <w:r>
        <w:t xml:space="preserve">than normal range. 3 </w:t>
      </w:r>
      <w:r>
        <w:t>out of 30 p</w:t>
      </w:r>
      <w:r>
        <w:t>ost</w:t>
      </w:r>
      <w:r>
        <w:t>-PJ cases (subject 8, 27, 38) showed PDFF concentrations higher than normal range.</w:t>
      </w:r>
    </w:p>
    <w:p w14:paraId="6D5E4409" w14:textId="0BC95606" w:rsidR="00CC4BEE" w:rsidRDefault="000B48B7" w:rsidP="00092250">
      <w:pPr>
        <w:jc w:val="center"/>
      </w:pPr>
      <w:r>
        <w:rPr>
          <w:noProof/>
        </w:rPr>
        <w:drawing>
          <wp:inline distT="0" distB="0" distL="0" distR="0" wp14:anchorId="45F5CD2A" wp14:editId="79235F70">
            <wp:extent cx="4114800" cy="1645920"/>
            <wp:effectExtent l="0" t="0" r="0" b="0"/>
            <wp:docPr id="26" name="Picture 2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hist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730" cy="165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5A13" w14:textId="18995334" w:rsidR="00CC4BEE" w:rsidRDefault="000B48B7" w:rsidP="000B48B7">
      <w:pPr>
        <w:jc w:val="center"/>
      </w:pPr>
      <w:r>
        <w:rPr>
          <w:noProof/>
        </w:rPr>
        <w:drawing>
          <wp:inline distT="0" distB="0" distL="0" distR="0" wp14:anchorId="4D19BFAA" wp14:editId="70538351">
            <wp:extent cx="4261449" cy="1704580"/>
            <wp:effectExtent l="0" t="0" r="0" b="0"/>
            <wp:docPr id="27" name="Picture 27" descr="A picture containing text, measuring sti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, measuring stick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153" cy="171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9AD4" w14:textId="0627A6D5" w:rsidR="00786D94" w:rsidRDefault="00CC4BEE" w:rsidP="00786D94">
      <w:pPr>
        <w:jc w:val="both"/>
        <w:rPr>
          <w:noProof/>
        </w:rPr>
      </w:pPr>
      <w:r>
        <w:lastRenderedPageBreak/>
        <w:t xml:space="preserve">Further analysis </w:t>
      </w:r>
      <w:r w:rsidR="00AF0DB1">
        <w:t>aim</w:t>
      </w:r>
      <w:r w:rsidR="00D71550">
        <w:t>s</w:t>
      </w:r>
      <w:r>
        <w:t xml:space="preserve"> to visualise if the </w:t>
      </w:r>
      <w:r w:rsidR="00AF0DB1">
        <w:t>values are different across the 2 timepoints.  F</w:t>
      </w:r>
      <w:r w:rsidR="0000277D">
        <w:t xml:space="preserve">igure.7 shows the difference between post-PJ and pre-PJ for each </w:t>
      </w:r>
      <w:proofErr w:type="gramStart"/>
      <w:r w:rsidR="0000277D">
        <w:t>biomarkers</w:t>
      </w:r>
      <w:proofErr w:type="gramEnd"/>
      <w:r w:rsidR="0000277D">
        <w:t xml:space="preserve">. The bar above 0 shows the positive outcome after the subtraction: (post-PJ) </w:t>
      </w:r>
      <w:proofErr w:type="gramStart"/>
      <w:r w:rsidR="0000277D">
        <w:t>-  (</w:t>
      </w:r>
      <w:proofErr w:type="gramEnd"/>
      <w:r w:rsidR="0000277D">
        <w:t xml:space="preserve">pre-PJ) and vice versa. Figure.8 shows the trend of the biomarkers change after PJ administration. The red line indicates the median of the changes. </w:t>
      </w:r>
      <w:r w:rsidR="000C3E3C">
        <w:t xml:space="preserve">Figure.9 </w:t>
      </w:r>
      <w:r w:rsidR="00BA3A3D">
        <w:t>is the scatter plots with the x axis being pre PJ and y axis being post PJ values. From</w:t>
      </w:r>
      <w:r w:rsidR="0000277D">
        <w:t xml:space="preserve"> these graphs</w:t>
      </w:r>
      <w:r w:rsidR="00BA3A3D">
        <w:t xml:space="preserve">, </w:t>
      </w:r>
      <w:r w:rsidR="0070379A">
        <w:t>it seemed that</w:t>
      </w:r>
      <w:r w:rsidR="0000277D">
        <w:t xml:space="preserve"> </w:t>
      </w:r>
      <w:r w:rsidR="0070379A">
        <w:t>there is a</w:t>
      </w:r>
      <w:r w:rsidR="0000277D">
        <w:t xml:space="preserve"> positive change </w:t>
      </w:r>
      <w:r w:rsidR="00827978">
        <w:t>in</w:t>
      </w:r>
      <w:r w:rsidR="0000277D">
        <w:t xml:space="preserve"> the cT1, small to no change </w:t>
      </w:r>
      <w:r w:rsidR="00827978">
        <w:t>in the</w:t>
      </w:r>
      <w:r w:rsidR="0000277D">
        <w:t xml:space="preserve"> Iron values</w:t>
      </w:r>
      <w:r w:rsidR="00827978">
        <w:t>,</w:t>
      </w:r>
      <w:r w:rsidR="0000277D">
        <w:t xml:space="preserve"> </w:t>
      </w:r>
      <w:r w:rsidR="0000277D">
        <w:rPr>
          <w:noProof/>
        </w:rPr>
        <w:drawing>
          <wp:anchor distT="0" distB="0" distL="114300" distR="114300" simplePos="0" relativeHeight="251660288" behindDoc="0" locked="0" layoutInCell="1" allowOverlap="1" wp14:anchorId="5C8AD4F0" wp14:editId="0E2257F0">
            <wp:simplePos x="0" y="0"/>
            <wp:positionH relativeFrom="column">
              <wp:posOffset>8256905</wp:posOffset>
            </wp:positionH>
            <wp:positionV relativeFrom="paragraph">
              <wp:posOffset>2542540</wp:posOffset>
            </wp:positionV>
            <wp:extent cx="5727700" cy="2863850"/>
            <wp:effectExtent l="0" t="0" r="0" b="0"/>
            <wp:wrapNone/>
            <wp:docPr id="10" name="Picture 2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AA9E6DA-CD7D-B043-8345-4D9580E8D6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7AA9E6DA-CD7D-B043-8345-4D9580E8D6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277D">
        <w:t xml:space="preserve">and a slight </w:t>
      </w:r>
      <w:r w:rsidR="00827978">
        <w:t xml:space="preserve">decrease </w:t>
      </w:r>
      <w:r w:rsidR="0000277D">
        <w:t>in the PDFF value</w:t>
      </w:r>
      <w:r w:rsidR="006841E0">
        <w:t xml:space="preserve"> post PJ administration</w:t>
      </w:r>
      <w:r w:rsidR="0000277D">
        <w:t>.</w:t>
      </w:r>
      <w:r w:rsidR="0000277D" w:rsidRPr="0000277D">
        <w:rPr>
          <w:noProof/>
        </w:rPr>
        <w:t xml:space="preserve"> </w:t>
      </w:r>
    </w:p>
    <w:p w14:paraId="7ED11B23" w14:textId="3A328434" w:rsidR="00827978" w:rsidRDefault="003B6CA5" w:rsidP="00786D9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048C61" wp14:editId="7ACD2A92">
            <wp:extent cx="4122420" cy="2355538"/>
            <wp:effectExtent l="0" t="0" r="0" b="0"/>
            <wp:docPr id="28" name="Picture 28" descr="Char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508" cy="2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550">
        <w:rPr>
          <w:noProof/>
        </w:rPr>
        <w:drawing>
          <wp:inline distT="0" distB="0" distL="0" distR="0" wp14:anchorId="193507D4" wp14:editId="03276F20">
            <wp:extent cx="4130040" cy="20650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E0D3" w14:textId="571050F7" w:rsidR="00827978" w:rsidRDefault="00786D94" w:rsidP="00786D9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7FF0121" wp14:editId="6E291C60">
            <wp:extent cx="4080736" cy="2331720"/>
            <wp:effectExtent l="0" t="0" r="0" b="0"/>
            <wp:docPr id="32" name="Picture 32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line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968" cy="235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EBA3" w14:textId="4211B389" w:rsidR="00301C40" w:rsidRDefault="00301C40" w:rsidP="001B738E">
      <w:pPr>
        <w:jc w:val="both"/>
        <w:rPr>
          <w:noProof/>
        </w:rPr>
      </w:pPr>
      <w:r>
        <w:rPr>
          <w:noProof/>
        </w:rPr>
        <w:br w:type="page"/>
      </w:r>
    </w:p>
    <w:p w14:paraId="19FC5003" w14:textId="6E998BF8" w:rsidR="00827978" w:rsidRDefault="00827978" w:rsidP="001B738E">
      <w:pPr>
        <w:jc w:val="both"/>
        <w:rPr>
          <w:noProof/>
        </w:rPr>
      </w:pPr>
      <w:r>
        <w:rPr>
          <w:noProof/>
        </w:rPr>
        <w:lastRenderedPageBreak/>
        <w:t xml:space="preserve">Further analysis </w:t>
      </w:r>
      <w:r w:rsidR="00B75F21">
        <w:rPr>
          <w:noProof/>
        </w:rPr>
        <w:t xml:space="preserve">is to judge whether </w:t>
      </w:r>
      <w:r>
        <w:rPr>
          <w:noProof/>
        </w:rPr>
        <w:t>paired t-test</w:t>
      </w:r>
      <w:r w:rsidR="00D36E4F">
        <w:rPr>
          <w:noProof/>
        </w:rPr>
        <w:t xml:space="preserve"> will be suitable</w:t>
      </w:r>
      <w:r>
        <w:rPr>
          <w:noProof/>
        </w:rPr>
        <w:t>. By confirming from the box plot</w:t>
      </w:r>
      <w:r w:rsidR="00D36E4F">
        <w:rPr>
          <w:noProof/>
        </w:rPr>
        <w:t xml:space="preserve">, </w:t>
      </w:r>
      <w:r>
        <w:rPr>
          <w:noProof/>
        </w:rPr>
        <w:t>h</w:t>
      </w:r>
      <w:r w:rsidR="00D36E4F">
        <w:rPr>
          <w:noProof/>
        </w:rPr>
        <w:t>i</w:t>
      </w:r>
      <w:r>
        <w:rPr>
          <w:noProof/>
        </w:rPr>
        <w:t>stogram</w:t>
      </w:r>
      <w:r w:rsidR="00D36E4F">
        <w:rPr>
          <w:noProof/>
        </w:rPr>
        <w:t xml:space="preserve"> and Shapiro Wilk signed-rank Test</w:t>
      </w:r>
      <w:r>
        <w:rPr>
          <w:noProof/>
        </w:rPr>
        <w:t xml:space="preserve">, we conclude that the distribution of the dataset is not guassian diistribution. Therefore a </w:t>
      </w:r>
      <w:r w:rsidR="00F45F0B">
        <w:rPr>
          <w:noProof/>
        </w:rPr>
        <w:t>Wi</w:t>
      </w:r>
      <w:r w:rsidR="0019474C">
        <w:rPr>
          <w:noProof/>
        </w:rPr>
        <w:t xml:space="preserve">lcoxon </w:t>
      </w:r>
      <w:r>
        <w:rPr>
          <w:noProof/>
        </w:rPr>
        <w:t>signed</w:t>
      </w:r>
      <w:r w:rsidR="0019474C">
        <w:rPr>
          <w:noProof/>
        </w:rPr>
        <w:t>-</w:t>
      </w:r>
      <w:r>
        <w:rPr>
          <w:noProof/>
        </w:rPr>
        <w:t xml:space="preserve">rank test </w:t>
      </w:r>
      <w:r w:rsidR="00A25610">
        <w:rPr>
          <w:noProof/>
        </w:rPr>
        <w:t>should be</w:t>
      </w:r>
      <w:r>
        <w:rPr>
          <w:noProof/>
        </w:rPr>
        <w:t xml:space="preserve"> used</w:t>
      </w:r>
      <w:r w:rsidR="00B75F21">
        <w:rPr>
          <w:noProof/>
        </w:rPr>
        <w:t>.</w:t>
      </w:r>
      <w:r>
        <w:rPr>
          <w:noProof/>
        </w:rPr>
        <w:t xml:space="preserve"> </w:t>
      </w:r>
    </w:p>
    <w:p w14:paraId="77DF52DC" w14:textId="77777777" w:rsidR="009A7ADF" w:rsidRDefault="009A7ADF" w:rsidP="001B738E">
      <w:pPr>
        <w:jc w:val="both"/>
        <w:rPr>
          <w:noProof/>
        </w:rPr>
      </w:pPr>
    </w:p>
    <w:p w14:paraId="606E57C0" w14:textId="3235B175" w:rsidR="00A25610" w:rsidRDefault="00A25610" w:rsidP="00092250">
      <w:pPr>
        <w:jc w:val="center"/>
      </w:pPr>
    </w:p>
    <w:p w14:paraId="40263D15" w14:textId="715EAE90" w:rsidR="00A25610" w:rsidRDefault="00383E7E" w:rsidP="00383E7E">
      <w:pPr>
        <w:jc w:val="center"/>
      </w:pPr>
      <w:r>
        <w:rPr>
          <w:noProof/>
        </w:rPr>
        <w:drawing>
          <wp:inline distT="0" distB="0" distL="0" distR="0" wp14:anchorId="585BBCCD" wp14:editId="5266F34A">
            <wp:extent cx="4267434" cy="2438400"/>
            <wp:effectExtent l="0" t="0" r="0" b="0"/>
            <wp:docPr id="35" name="Picture 3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box and whiske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064" cy="246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99E2EB" wp14:editId="5758D9FA">
            <wp:extent cx="4550232" cy="3185160"/>
            <wp:effectExtent l="0" t="0" r="0" b="0"/>
            <wp:docPr id="33" name="Picture 3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934" cy="324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5CE">
        <w:rPr>
          <w:noProof/>
        </w:rPr>
        <w:drawing>
          <wp:inline distT="0" distB="0" distL="0" distR="0" wp14:anchorId="6B16791D" wp14:editId="1A83F5E2">
            <wp:extent cx="4267200" cy="1393568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536" cy="140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610">
        <w:br w:type="page"/>
      </w:r>
    </w:p>
    <w:p w14:paraId="37CF87AC" w14:textId="0ED725B3" w:rsidR="00C56F9E" w:rsidRDefault="00A479E8" w:rsidP="001B738E">
      <w:pPr>
        <w:jc w:val="both"/>
      </w:pPr>
      <w:r>
        <w:lastRenderedPageBreak/>
        <w:t>We further conducted Wilcoxon signed-rank Test to see if the difference of</w:t>
      </w:r>
      <w:r w:rsidR="00DF0E0E">
        <w:t xml:space="preserve"> the median of</w:t>
      </w:r>
      <w:r>
        <w:t xml:space="preserve"> </w:t>
      </w:r>
      <w:r w:rsidR="00DF0E0E">
        <w:t xml:space="preserve">each of </w:t>
      </w:r>
      <w:r>
        <w:t>the biomarkers between timepoint</w:t>
      </w:r>
      <w:r w:rsidR="00DF0E0E">
        <w:t>s is</w:t>
      </w:r>
      <w:r>
        <w:t xml:space="preserve"> </w:t>
      </w:r>
      <w:r w:rsidR="00C56F9E">
        <w:t xml:space="preserve">statistically </w:t>
      </w:r>
      <w:r>
        <w:t>significant</w:t>
      </w:r>
      <w:r w:rsidR="00C56F9E">
        <w:t>.</w:t>
      </w:r>
      <w:r w:rsidR="002C5BBF">
        <w:t xml:space="preserve"> </w:t>
      </w:r>
      <w:proofErr w:type="gramStart"/>
      <w:r w:rsidR="00F17AC8">
        <w:t>Assuming that</w:t>
      </w:r>
      <w:proofErr w:type="gramEnd"/>
      <w:r w:rsidR="00F17AC8">
        <w:t xml:space="preserve"> a p value &lt; 0.05 is considered significant,</w:t>
      </w:r>
      <w:r w:rsidR="006F247D">
        <w:t xml:space="preserve"> the changes</w:t>
      </w:r>
      <w:r w:rsidR="00B22C29">
        <w:t xml:space="preserve"> of</w:t>
      </w:r>
      <w:r w:rsidR="00F17AC8">
        <w:t xml:space="preserve"> cT1 and PDFF </w:t>
      </w:r>
      <w:r w:rsidR="00B22C29">
        <w:t xml:space="preserve">values </w:t>
      </w:r>
      <w:r w:rsidR="00F17AC8">
        <w:t xml:space="preserve">post pineapple juice administration are </w:t>
      </w:r>
      <w:r w:rsidR="001B738E">
        <w:t xml:space="preserve">statistically significant. </w:t>
      </w:r>
    </w:p>
    <w:p w14:paraId="6ECDF208" w14:textId="77777777" w:rsidR="00521277" w:rsidRDefault="00521277" w:rsidP="001B738E">
      <w:pPr>
        <w:jc w:val="both"/>
      </w:pPr>
    </w:p>
    <w:p w14:paraId="6313A474" w14:textId="6818CC84" w:rsidR="00827978" w:rsidRDefault="004845DA" w:rsidP="001B738E">
      <w:pPr>
        <w:jc w:val="both"/>
      </w:pPr>
      <w:r>
        <w:rPr>
          <w:noProof/>
        </w:rPr>
        <w:drawing>
          <wp:inline distT="0" distB="0" distL="0" distR="0" wp14:anchorId="1A6AD0AD" wp14:editId="6FF97BA9">
            <wp:extent cx="5727700" cy="930910"/>
            <wp:effectExtent l="0" t="0" r="0" b="0"/>
            <wp:docPr id="36" name="Picture 3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09E5" w14:textId="5FC22F62" w:rsidR="00D96959" w:rsidRDefault="00D96959" w:rsidP="00875D80">
      <w:pPr>
        <w:jc w:val="center"/>
      </w:pPr>
    </w:p>
    <w:p w14:paraId="395DBA47" w14:textId="77777777" w:rsidR="00522CBB" w:rsidRDefault="00522CBB" w:rsidP="001B738E">
      <w:pPr>
        <w:jc w:val="both"/>
      </w:pPr>
    </w:p>
    <w:p w14:paraId="35DD83E5" w14:textId="1CEE61BD" w:rsidR="00D96959" w:rsidRDefault="00522CBB" w:rsidP="001B738E">
      <w:pPr>
        <w:jc w:val="both"/>
      </w:pPr>
      <w:r w:rsidRPr="00522CBB">
        <w:t xml:space="preserve">Strictly speaking because the cT1 datasets failed Shapiro Wilk test, </w:t>
      </w:r>
      <w:r>
        <w:t xml:space="preserve">therefore the </w:t>
      </w:r>
      <w:r w:rsidR="0098144A">
        <w:t xml:space="preserve">samples were </w:t>
      </w:r>
      <w:r w:rsidRPr="00522CBB">
        <w:t>not normally distributed</w:t>
      </w:r>
      <w:r>
        <w:t>.</w:t>
      </w:r>
      <w:r w:rsidRPr="00522CBB">
        <w:t xml:space="preserve"> </w:t>
      </w:r>
      <w:r>
        <w:t>H</w:t>
      </w:r>
      <w:r w:rsidRPr="00522CBB">
        <w:t>owever, given the fact that</w:t>
      </w:r>
      <w:r w:rsidR="0098144A">
        <w:t xml:space="preserve"> the </w:t>
      </w:r>
      <w:r w:rsidRPr="00522CBB">
        <w:t>histogram</w:t>
      </w:r>
      <w:r w:rsidR="00396BAC">
        <w:t xml:space="preserve"> and box plot</w:t>
      </w:r>
      <w:r w:rsidRPr="00522CBB">
        <w:t xml:space="preserve"> show</w:t>
      </w:r>
      <w:r w:rsidR="00396BAC">
        <w:t>ed</w:t>
      </w:r>
      <w:r w:rsidRPr="00522CBB">
        <w:t xml:space="preserve"> </w:t>
      </w:r>
      <w:r w:rsidR="00396BAC">
        <w:t xml:space="preserve">near </w:t>
      </w:r>
      <w:r w:rsidRPr="00522CBB">
        <w:t>normal distribution</w:t>
      </w:r>
      <w:r w:rsidR="00396BAC">
        <w:t>s</w:t>
      </w:r>
      <w:r w:rsidRPr="00522CBB">
        <w:t xml:space="preserve">, we use paired </w:t>
      </w:r>
      <w:r w:rsidR="00ED2C22">
        <w:t xml:space="preserve">sample </w:t>
      </w:r>
      <w:r w:rsidR="00396BAC">
        <w:t xml:space="preserve">T test </w:t>
      </w:r>
      <w:r w:rsidRPr="00522CBB">
        <w:t xml:space="preserve">to see if cT1 </w:t>
      </w:r>
      <w:r w:rsidR="00ED2C22">
        <w:t>(</w:t>
      </w:r>
      <w:r w:rsidRPr="00522CBB">
        <w:t>Pre</w:t>
      </w:r>
      <w:r w:rsidR="00ED2C22">
        <w:t xml:space="preserve"> PJ)</w:t>
      </w:r>
      <w:r w:rsidRPr="00522CBB">
        <w:t xml:space="preserve"> and </w:t>
      </w:r>
      <w:r w:rsidR="00ED2C22">
        <w:t>cT1 (</w:t>
      </w:r>
      <w:r w:rsidRPr="00522CBB">
        <w:t>Post</w:t>
      </w:r>
      <w:r w:rsidR="00ED2C22">
        <w:t xml:space="preserve"> PJ)</w:t>
      </w:r>
      <w:r w:rsidRPr="00522CBB">
        <w:t xml:space="preserve"> </w:t>
      </w:r>
      <w:r w:rsidR="00ED2C22">
        <w:t xml:space="preserve">are </w:t>
      </w:r>
      <w:r w:rsidRPr="00522CBB">
        <w:t>significant</w:t>
      </w:r>
      <w:r w:rsidR="00ED2C22">
        <w:t>ly</w:t>
      </w:r>
      <w:r w:rsidR="00ED2C22" w:rsidRPr="00ED2C22">
        <w:t xml:space="preserve"> </w:t>
      </w:r>
      <w:r w:rsidR="00ED2C22" w:rsidRPr="00522CBB">
        <w:t>differen</w:t>
      </w:r>
      <w:r w:rsidR="00ED2C22">
        <w:t>t.</w:t>
      </w:r>
      <w:r w:rsidR="000733CB">
        <w:t xml:space="preserve"> The following T test result </w:t>
      </w:r>
      <w:r w:rsidR="00DC5360">
        <w:t xml:space="preserve">and descriptive statistics </w:t>
      </w:r>
      <w:r w:rsidR="000733CB">
        <w:t>allow</w:t>
      </w:r>
      <w:r w:rsidR="00DC5360">
        <w:t xml:space="preserve"> </w:t>
      </w:r>
      <w:r w:rsidR="000733CB">
        <w:t xml:space="preserve">us to report that </w:t>
      </w:r>
      <w:r w:rsidR="00A04689" w:rsidRPr="00A04689">
        <w:t>cT1 (Post PJ) is greater than the cT1 (Pre PJ)</w:t>
      </w:r>
      <w:r w:rsidR="00900165">
        <w:t xml:space="preserve"> with statistical confidence</w:t>
      </w:r>
      <w:r w:rsidR="00A04689">
        <w:t>. The</w:t>
      </w:r>
      <w:r w:rsidR="00A04689" w:rsidRPr="00A04689">
        <w:t xml:space="preserve"> mean</w:t>
      </w:r>
      <w:r w:rsidR="00A04689">
        <w:t xml:space="preserve"> values are 740.6 </w:t>
      </w:r>
      <w:proofErr w:type="spellStart"/>
      <w:r w:rsidR="00A04689">
        <w:t>ms</w:t>
      </w:r>
      <w:proofErr w:type="spellEnd"/>
      <w:r w:rsidR="00A04689">
        <w:t xml:space="preserve"> (Post PJ) and 725</w:t>
      </w:r>
      <w:r w:rsidR="00D9766D">
        <w:t xml:space="preserve">.0 </w:t>
      </w:r>
      <w:proofErr w:type="spellStart"/>
      <w:r w:rsidR="00D9766D">
        <w:t>ms</w:t>
      </w:r>
      <w:proofErr w:type="spellEnd"/>
      <w:r w:rsidR="00D9766D">
        <w:t xml:space="preserve"> (Pre PJ). (Paired</w:t>
      </w:r>
      <w:r w:rsidR="00A04689" w:rsidRPr="00A04689">
        <w:t xml:space="preserve"> </w:t>
      </w:r>
      <w:r w:rsidR="00D9766D">
        <w:t>T</w:t>
      </w:r>
      <w:r w:rsidR="00A04689" w:rsidRPr="00A04689">
        <w:t xml:space="preserve"> test; t =</w:t>
      </w:r>
      <w:r w:rsidR="00D9766D">
        <w:t xml:space="preserve"> -4.9</w:t>
      </w:r>
      <w:r w:rsidR="00A04689" w:rsidRPr="00A04689">
        <w:t xml:space="preserve">, df = </w:t>
      </w:r>
      <w:r w:rsidR="00893511">
        <w:t>29</w:t>
      </w:r>
      <w:r w:rsidR="00A04689" w:rsidRPr="00A04689">
        <w:t xml:space="preserve">, p = </w:t>
      </w:r>
      <w:r w:rsidR="00CA0DCD">
        <w:t>0.00003)</w:t>
      </w:r>
    </w:p>
    <w:p w14:paraId="33774B04" w14:textId="77777777" w:rsidR="00893511" w:rsidRDefault="00893511" w:rsidP="001B738E">
      <w:pPr>
        <w:jc w:val="both"/>
      </w:pPr>
    </w:p>
    <w:p w14:paraId="1C1748E9" w14:textId="70DA3C10" w:rsidR="00ED2C22" w:rsidRDefault="000E13F8" w:rsidP="000E13F8">
      <w:pPr>
        <w:jc w:val="center"/>
      </w:pPr>
      <w:r>
        <w:rPr>
          <w:noProof/>
        </w:rPr>
        <w:drawing>
          <wp:inline distT="0" distB="0" distL="0" distR="0" wp14:anchorId="210C69F0" wp14:editId="2916F5A3">
            <wp:extent cx="3911600" cy="4953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2772" w14:textId="77777777" w:rsidR="000E13F8" w:rsidRDefault="000E13F8" w:rsidP="000E13F8"/>
    <w:p w14:paraId="0532A5FB" w14:textId="2A548C37" w:rsidR="004845DA" w:rsidRDefault="00DC5360" w:rsidP="00DC5360">
      <w:pPr>
        <w:jc w:val="center"/>
      </w:pPr>
      <w:r>
        <w:rPr>
          <w:noProof/>
        </w:rPr>
        <w:drawing>
          <wp:inline distT="0" distB="0" distL="0" distR="0" wp14:anchorId="0893EF07" wp14:editId="160F2039">
            <wp:extent cx="4968240" cy="1925340"/>
            <wp:effectExtent l="0" t="0" r="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453"/>
                    <a:stretch/>
                  </pic:blipFill>
                  <pic:spPr bwMode="auto">
                    <a:xfrm>
                      <a:off x="0" y="0"/>
                      <a:ext cx="5027255" cy="1948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72B4E" w14:textId="77777777" w:rsidR="00893511" w:rsidRDefault="00893511">
      <w:r>
        <w:br w:type="page"/>
      </w:r>
    </w:p>
    <w:p w14:paraId="6EBEFC1B" w14:textId="3306986F" w:rsidR="00DD0C0F" w:rsidRDefault="00D96959" w:rsidP="001B738E">
      <w:pPr>
        <w:jc w:val="both"/>
      </w:pPr>
      <w:r>
        <w:lastRenderedPageBreak/>
        <w:t>Bland Altman plots</w:t>
      </w:r>
      <w:r w:rsidR="0085136D">
        <w:t xml:space="preserve"> is used to </w:t>
      </w:r>
      <w:r w:rsidR="00184414">
        <w:t>evaluate the agreement among the 2 measurements on the same sample</w:t>
      </w:r>
      <w:r w:rsidR="00487D7C">
        <w:t xml:space="preserve"> and thus will be useful to tell if there </w:t>
      </w:r>
      <w:r w:rsidR="007E6396">
        <w:t>are</w:t>
      </w:r>
      <w:r w:rsidR="00487D7C">
        <w:t xml:space="preserve"> </w:t>
      </w:r>
      <w:r w:rsidR="007C3E8E">
        <w:t>measurement</w:t>
      </w:r>
      <w:r w:rsidR="007E6396">
        <w:t xml:space="preserve"> related</w:t>
      </w:r>
      <w:r w:rsidR="007C3E8E">
        <w:t xml:space="preserve"> </w:t>
      </w:r>
      <w:r w:rsidR="00443194">
        <w:t>errors</w:t>
      </w:r>
      <w:r w:rsidR="007E6396">
        <w:t xml:space="preserve">. It can be systematic errors and/or </w:t>
      </w:r>
      <w:r w:rsidR="00E84B23">
        <w:t xml:space="preserve">relative errors. Although with the current dataset we have, we don’t have 2 measurements at each timepoint. </w:t>
      </w:r>
      <w:r w:rsidR="00DD0C0F">
        <w:t xml:space="preserve">However, </w:t>
      </w:r>
      <w:proofErr w:type="gramStart"/>
      <w:r w:rsidR="00DD0C0F">
        <w:t>in order to</w:t>
      </w:r>
      <w:proofErr w:type="gramEnd"/>
      <w:r w:rsidR="00DD0C0F">
        <w:t xml:space="preserve"> interpret </w:t>
      </w:r>
      <w:r w:rsidR="00DD0C0F">
        <w:t>Bland Altman</w:t>
      </w:r>
      <w:r w:rsidR="00DD0C0F">
        <w:t xml:space="preserve"> results, let’s make an </w:t>
      </w:r>
      <w:r w:rsidR="009E3494">
        <w:t>assumption</w:t>
      </w:r>
      <w:r w:rsidR="00DB5FA4">
        <w:t xml:space="preserve">: there </w:t>
      </w:r>
      <w:r w:rsidR="003911B4">
        <w:t>is</w:t>
      </w:r>
      <w:r w:rsidR="003441FF">
        <w:t xml:space="preserve"> </w:t>
      </w:r>
      <w:r w:rsidR="003441FF" w:rsidRPr="003441FF">
        <w:rPr>
          <w:b/>
          <w:bCs/>
        </w:rPr>
        <w:t>NO</w:t>
      </w:r>
      <w:r w:rsidR="003911B4">
        <w:t xml:space="preserve"> pineapple juice administered</w:t>
      </w:r>
      <w:r w:rsidR="00DD0C0F">
        <w:t xml:space="preserve">. </w:t>
      </w:r>
      <w:r w:rsidR="003911B4">
        <w:t xml:space="preserve"> </w:t>
      </w:r>
      <w:r w:rsidR="00DD0C0F">
        <w:t>T</w:t>
      </w:r>
      <w:r w:rsidR="003911B4">
        <w:t>herefore</w:t>
      </w:r>
      <w:r w:rsidR="00DD0C0F">
        <w:t>,</w:t>
      </w:r>
      <w:r w:rsidR="003911B4">
        <w:t xml:space="preserve"> the </w:t>
      </w:r>
      <w:r w:rsidR="003441FF">
        <w:t xml:space="preserve">y axis </w:t>
      </w:r>
      <w:r w:rsidR="00E57949">
        <w:t>correspond</w:t>
      </w:r>
      <w:r w:rsidR="00E052FA">
        <w:t>s</w:t>
      </w:r>
      <w:r w:rsidR="00E57949">
        <w:t xml:space="preserve"> to 2 measurements</w:t>
      </w:r>
      <w:r w:rsidR="00E052FA">
        <w:t xml:space="preserve">. </w:t>
      </w:r>
    </w:p>
    <w:p w14:paraId="5CBEB476" w14:textId="43013DC4" w:rsidR="00D96959" w:rsidRDefault="00A95EE5" w:rsidP="001B738E">
      <w:pPr>
        <w:jc w:val="both"/>
      </w:pPr>
      <w:r>
        <w:t xml:space="preserve">In the cT1 </w:t>
      </w:r>
      <w:r w:rsidR="00DD0C0F">
        <w:t xml:space="preserve">Bland Altman plot, there seems to be no </w:t>
      </w:r>
      <w:r w:rsidR="00636BBA">
        <w:t xml:space="preserve">measurement errors, hence the differences in cT1 value can be </w:t>
      </w:r>
      <w:r w:rsidR="003646FC">
        <w:t>concluded to the effect of pineapple juice.</w:t>
      </w:r>
    </w:p>
    <w:p w14:paraId="6B6B8CF8" w14:textId="49B241C7" w:rsidR="003646FC" w:rsidRDefault="00F636BA" w:rsidP="001B738E">
      <w:pPr>
        <w:jc w:val="both"/>
      </w:pPr>
      <w:r>
        <w:t xml:space="preserve">In the Iron </w:t>
      </w:r>
      <w:r>
        <w:t>Bland Altman plot,</w:t>
      </w:r>
      <w:r>
        <w:t xml:space="preserve"> there seems to be </w:t>
      </w:r>
      <w:r w:rsidR="00E60345">
        <w:t>no measurement errors</w:t>
      </w:r>
      <w:r w:rsidR="00E60345">
        <w:t xml:space="preserve">. With previous tests, we had concluded that the </w:t>
      </w:r>
      <w:r w:rsidR="00B04D10">
        <w:t>differences of Iron between each timepoint is not significant.</w:t>
      </w:r>
    </w:p>
    <w:p w14:paraId="282CA83F" w14:textId="4294F585" w:rsidR="00B04D10" w:rsidRDefault="00B04D10" w:rsidP="001B738E">
      <w:pPr>
        <w:jc w:val="both"/>
      </w:pPr>
      <w:r>
        <w:t>In the PDFF</w:t>
      </w:r>
      <w:r w:rsidRPr="00B04D10">
        <w:t xml:space="preserve"> </w:t>
      </w:r>
      <w:r>
        <w:t>Bland Altman plot,</w:t>
      </w:r>
      <w:r>
        <w:t xml:space="preserve"> the </w:t>
      </w:r>
      <w:r w:rsidR="00E4579E">
        <w:t xml:space="preserve">distribution of the differences seems to tilt toward the </w:t>
      </w:r>
      <w:r w:rsidR="006D5D16">
        <w:t>positive side</w:t>
      </w:r>
      <w:r w:rsidR="00EA50D9">
        <w:t xml:space="preserve"> hence there might be systematic errors in the measurement. Further </w:t>
      </w:r>
      <w:r w:rsidR="00DE290E">
        <w:t>repeata</w:t>
      </w:r>
      <w:r w:rsidR="00B61D1B">
        <w:t xml:space="preserve">bility </w:t>
      </w:r>
      <w:r w:rsidR="00DE290E">
        <w:t xml:space="preserve">experiment </w:t>
      </w:r>
      <w:r w:rsidR="00EA50D9">
        <w:t xml:space="preserve">is needed to </w:t>
      </w:r>
      <w:r w:rsidR="00B61D1B">
        <w:t xml:space="preserve">disseminate whether the differences of PDFF values between both timepoints is </w:t>
      </w:r>
      <w:r w:rsidR="00575072">
        <w:t>a result of measurement error or effect of pineapple juice.</w:t>
      </w:r>
    </w:p>
    <w:p w14:paraId="18FDE1B9" w14:textId="77777777" w:rsidR="00B04D10" w:rsidRDefault="00B04D10" w:rsidP="001B738E">
      <w:pPr>
        <w:jc w:val="both"/>
      </w:pPr>
    </w:p>
    <w:p w14:paraId="4E2C6EF7" w14:textId="023C2392" w:rsidR="00D96959" w:rsidRDefault="00952663" w:rsidP="00092250">
      <w:pPr>
        <w:jc w:val="center"/>
      </w:pPr>
      <w:r>
        <w:rPr>
          <w:noProof/>
        </w:rPr>
        <w:drawing>
          <wp:inline distT="0" distB="0" distL="0" distR="0" wp14:anchorId="582D40F3" wp14:editId="375AA2D4">
            <wp:extent cx="3334638" cy="5835721"/>
            <wp:effectExtent l="0" t="0" r="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378" cy="593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16B2" w14:textId="77777777" w:rsidR="00575072" w:rsidRDefault="00575072" w:rsidP="007A373E"/>
    <w:p w14:paraId="41A99F7C" w14:textId="343DB328" w:rsidR="007A373E" w:rsidRDefault="007A373E" w:rsidP="007A373E">
      <w:pPr>
        <w:sectPr w:rsidR="007A373E" w:rsidSect="00FB0A68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2F70AC67" w14:textId="14680082" w:rsidR="004401B6" w:rsidRDefault="00FB0A68" w:rsidP="001B738E">
      <w:pPr>
        <w:jc w:val="both"/>
      </w:pPr>
      <w:r>
        <w:lastRenderedPageBreak/>
        <w:t xml:space="preserve">Appendix 1 </w:t>
      </w:r>
    </w:p>
    <w:tbl>
      <w:tblPr>
        <w:tblW w:w="13960" w:type="dxa"/>
        <w:tblLook w:val="04A0" w:firstRow="1" w:lastRow="0" w:firstColumn="1" w:lastColumn="0" w:noHBand="0" w:noVBand="1"/>
      </w:tblPr>
      <w:tblGrid>
        <w:gridCol w:w="446"/>
        <w:gridCol w:w="772"/>
        <w:gridCol w:w="495"/>
        <w:gridCol w:w="977"/>
        <w:gridCol w:w="494"/>
        <w:gridCol w:w="965"/>
        <w:gridCol w:w="445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</w:tblGrid>
      <w:tr w:rsidR="00C40D62" w:rsidRPr="00C40D62" w14:paraId="5254662A" w14:textId="77777777" w:rsidTr="009C665F">
        <w:trPr>
          <w:cantSplit/>
          <w:trHeight w:val="1134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C297B" w14:textId="77777777" w:rsidR="00C40D62" w:rsidRPr="00C40D62" w:rsidRDefault="00C40D62" w:rsidP="00C40D62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bottom"/>
            <w:hideMark/>
          </w:tcPr>
          <w:p w14:paraId="37202907" w14:textId="77777777" w:rsidR="00C40D62" w:rsidRPr="00C40D62" w:rsidRDefault="00C40D62" w:rsidP="00C40D62">
            <w:pPr>
              <w:ind w:left="113" w:right="113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Record Id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bottom"/>
            <w:hideMark/>
          </w:tcPr>
          <w:p w14:paraId="67D2C71C" w14:textId="77777777" w:rsidR="00C40D62" w:rsidRPr="00C40D62" w:rsidRDefault="00C40D62" w:rsidP="00C40D62">
            <w:pPr>
              <w:ind w:left="113" w:right="113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Portal ID LMS0 (pre PJ)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bottom"/>
            <w:hideMark/>
          </w:tcPr>
          <w:p w14:paraId="1C2D67A6" w14:textId="77777777" w:rsidR="00C40D62" w:rsidRPr="00C40D62" w:rsidRDefault="00C40D62" w:rsidP="00C40D62">
            <w:pPr>
              <w:ind w:left="113" w:right="113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LMS0 (pre PJ)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bottom"/>
            <w:hideMark/>
          </w:tcPr>
          <w:p w14:paraId="14EE030E" w14:textId="77777777" w:rsidR="00C40D62" w:rsidRPr="00C40D62" w:rsidRDefault="00C40D62" w:rsidP="00C40D62">
            <w:pPr>
              <w:ind w:left="113" w:right="113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Portal ID LMS1 (post PJ)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bottom"/>
            <w:hideMark/>
          </w:tcPr>
          <w:p w14:paraId="09F7E8F6" w14:textId="77777777" w:rsidR="00C40D62" w:rsidRPr="00C40D62" w:rsidRDefault="00C40D62" w:rsidP="00C40D62">
            <w:pPr>
              <w:ind w:left="113" w:right="113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LMS1 (post PJ)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bottom"/>
            <w:hideMark/>
          </w:tcPr>
          <w:p w14:paraId="06B0D3AD" w14:textId="77777777" w:rsidR="00C40D62" w:rsidRPr="00C40D62" w:rsidRDefault="00C40D62" w:rsidP="009C665F">
            <w:pPr>
              <w:ind w:left="113" w:right="113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cT1 (Pre PJ)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bottom"/>
            <w:hideMark/>
          </w:tcPr>
          <w:p w14:paraId="48B55110" w14:textId="7B9BC1FD" w:rsidR="00C40D62" w:rsidRPr="00C40D62" w:rsidRDefault="00C40D62" w:rsidP="009C665F">
            <w:pPr>
              <w:ind w:left="113" w:right="113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Iron (P</w:t>
            </w:r>
            <w:r w:rsidR="00203E7E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re</w:t>
            </w: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 xml:space="preserve"> PJ)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bottom"/>
            <w:hideMark/>
          </w:tcPr>
          <w:p w14:paraId="6EF3BC02" w14:textId="77777777" w:rsidR="00C40D62" w:rsidRPr="00C40D62" w:rsidRDefault="00C40D62" w:rsidP="009C665F">
            <w:pPr>
              <w:ind w:left="113" w:right="113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PDFF (Pre PJ)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bottom"/>
            <w:hideMark/>
          </w:tcPr>
          <w:p w14:paraId="178099D5" w14:textId="77777777" w:rsidR="00C40D62" w:rsidRPr="00C40D62" w:rsidRDefault="00C40D62" w:rsidP="009C665F">
            <w:pPr>
              <w:ind w:left="113" w:right="113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cT1 (Post PJ)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bottom"/>
            <w:hideMark/>
          </w:tcPr>
          <w:p w14:paraId="3B9A32A8" w14:textId="77777777" w:rsidR="00C40D62" w:rsidRPr="00C40D62" w:rsidRDefault="00C40D62" w:rsidP="009C665F">
            <w:pPr>
              <w:ind w:left="113" w:right="113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Iron (Post PJ)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bottom"/>
            <w:hideMark/>
          </w:tcPr>
          <w:p w14:paraId="25962C4D" w14:textId="77777777" w:rsidR="00C40D62" w:rsidRPr="00C40D62" w:rsidRDefault="00C40D62" w:rsidP="009C665F">
            <w:pPr>
              <w:ind w:left="113" w:right="113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PDFF (Post PJ)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bottom"/>
            <w:hideMark/>
          </w:tcPr>
          <w:p w14:paraId="0D2E5493" w14:textId="77777777" w:rsidR="00C40D62" w:rsidRPr="00C40D62" w:rsidRDefault="00C40D62" w:rsidP="009C665F">
            <w:pPr>
              <w:ind w:left="113" w:right="113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cT1 Q1 (Pre PJ)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bottom"/>
            <w:hideMark/>
          </w:tcPr>
          <w:p w14:paraId="456F53A2" w14:textId="77777777" w:rsidR="00C40D62" w:rsidRPr="00C40D62" w:rsidRDefault="00C40D62" w:rsidP="009C665F">
            <w:pPr>
              <w:ind w:left="113" w:right="113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cT1 Q3 (Pre PJ)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bottom"/>
            <w:hideMark/>
          </w:tcPr>
          <w:p w14:paraId="5AE84B96" w14:textId="77777777" w:rsidR="00C40D62" w:rsidRPr="00C40D62" w:rsidRDefault="00C40D62" w:rsidP="009C665F">
            <w:pPr>
              <w:ind w:left="113" w:right="113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Iron Q1 (Pre PJ)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bottom"/>
            <w:hideMark/>
          </w:tcPr>
          <w:p w14:paraId="1CA89C40" w14:textId="77777777" w:rsidR="00C40D62" w:rsidRPr="00C40D62" w:rsidRDefault="00C40D62" w:rsidP="009C665F">
            <w:pPr>
              <w:ind w:left="113" w:right="113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Iron Q3 (Pre PJ)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bottom"/>
            <w:hideMark/>
          </w:tcPr>
          <w:p w14:paraId="0B7F062A" w14:textId="77777777" w:rsidR="00C40D62" w:rsidRPr="00C40D62" w:rsidRDefault="00C40D62" w:rsidP="009C665F">
            <w:pPr>
              <w:ind w:left="113" w:right="113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PDFF Q1 (Pre PJ)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bottom"/>
            <w:hideMark/>
          </w:tcPr>
          <w:p w14:paraId="231C349A" w14:textId="77777777" w:rsidR="00C40D62" w:rsidRPr="00C40D62" w:rsidRDefault="00C40D62" w:rsidP="009C665F">
            <w:pPr>
              <w:ind w:left="113" w:right="113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PDFF Q3 (Pre PJ)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bottom"/>
            <w:hideMark/>
          </w:tcPr>
          <w:p w14:paraId="0C1ACC65" w14:textId="77777777" w:rsidR="00C40D62" w:rsidRPr="00C40D62" w:rsidRDefault="00C40D62" w:rsidP="009C665F">
            <w:pPr>
              <w:ind w:left="113" w:right="113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cT1 Q1 (Post PJ)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bottom"/>
            <w:hideMark/>
          </w:tcPr>
          <w:p w14:paraId="7B1FE700" w14:textId="77777777" w:rsidR="00C40D62" w:rsidRPr="00C40D62" w:rsidRDefault="00C40D62" w:rsidP="009C665F">
            <w:pPr>
              <w:ind w:left="113" w:right="113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cT1 Q3 (Post PJ)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bottom"/>
            <w:hideMark/>
          </w:tcPr>
          <w:p w14:paraId="11EDE091" w14:textId="77777777" w:rsidR="00C40D62" w:rsidRPr="00C40D62" w:rsidRDefault="00C40D62" w:rsidP="009C665F">
            <w:pPr>
              <w:ind w:left="113" w:right="113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Iron Q1 (Post PJ)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bottom"/>
            <w:hideMark/>
          </w:tcPr>
          <w:p w14:paraId="6DCCCE00" w14:textId="77777777" w:rsidR="00C40D62" w:rsidRPr="00C40D62" w:rsidRDefault="00C40D62" w:rsidP="009C665F">
            <w:pPr>
              <w:ind w:left="113" w:right="113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Iron Q3 (Post PJ)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bottom"/>
            <w:hideMark/>
          </w:tcPr>
          <w:p w14:paraId="6507C019" w14:textId="77777777" w:rsidR="00C40D62" w:rsidRPr="00C40D62" w:rsidRDefault="00C40D62" w:rsidP="009C665F">
            <w:pPr>
              <w:ind w:left="113" w:right="113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PDFF Q1 (Post PJ)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bottom"/>
            <w:hideMark/>
          </w:tcPr>
          <w:p w14:paraId="756160B6" w14:textId="77777777" w:rsidR="00C40D62" w:rsidRPr="00C40D62" w:rsidRDefault="00C40D62" w:rsidP="009C665F">
            <w:pPr>
              <w:ind w:left="113" w:right="113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PDFF Q3 (Post PJ)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bottom"/>
            <w:hideMark/>
          </w:tcPr>
          <w:p w14:paraId="33C819F5" w14:textId="77777777" w:rsidR="00C40D62" w:rsidRPr="00C40D62" w:rsidRDefault="00C40D62" w:rsidP="009C665F">
            <w:pPr>
              <w:ind w:left="113" w:right="113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cT1 Ref Int Lower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bottom"/>
            <w:hideMark/>
          </w:tcPr>
          <w:p w14:paraId="1E989EF4" w14:textId="77777777" w:rsidR="00C40D62" w:rsidRPr="00C40D62" w:rsidRDefault="00C40D62" w:rsidP="009C665F">
            <w:pPr>
              <w:ind w:left="113" w:right="113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cT1 Ref Int Upper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bottom"/>
            <w:hideMark/>
          </w:tcPr>
          <w:p w14:paraId="6016AD09" w14:textId="77777777" w:rsidR="00C40D62" w:rsidRPr="00C40D62" w:rsidRDefault="00C40D62" w:rsidP="009C665F">
            <w:pPr>
              <w:ind w:left="113" w:right="113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Iron Ref Int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bottom"/>
            <w:hideMark/>
          </w:tcPr>
          <w:p w14:paraId="60F92D86" w14:textId="77777777" w:rsidR="00C40D62" w:rsidRPr="00C40D62" w:rsidRDefault="00C40D62" w:rsidP="009C665F">
            <w:pPr>
              <w:ind w:left="113" w:right="113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PDFF Ref Int</w:t>
            </w:r>
          </w:p>
        </w:tc>
      </w:tr>
      <w:tr w:rsidR="00C40D62" w:rsidRPr="00C40D62" w14:paraId="5E0A7093" w14:textId="77777777" w:rsidTr="00C40D62">
        <w:trPr>
          <w:trHeight w:val="320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361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1294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EXP010_002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AC2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11947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14B34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EXP010vhobplp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BBD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9827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1368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EXP010kfnnfem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72D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654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36D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C20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62333" w14:textId="683EBF7A" w:rsidR="00C40D62" w:rsidRPr="00C40D62" w:rsidRDefault="00DD7D40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698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110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078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3CB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626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C41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695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1AC7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A36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938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F46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489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668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D10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735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C86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550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F166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AA3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8FC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1EB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F0C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045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5.6</w:t>
            </w:r>
          </w:p>
        </w:tc>
      </w:tr>
      <w:tr w:rsidR="00C40D62" w:rsidRPr="00C40D62" w14:paraId="41FA5E0F" w14:textId="77777777" w:rsidTr="00C40D62">
        <w:trPr>
          <w:trHeight w:val="320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9CD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5526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EXP010_003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799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9625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113E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EXP010vetygxw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A3A8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9623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75E7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EXP010nzjwutv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EF3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667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EC9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8F1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DDA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696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9B4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675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097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643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FA4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701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BD7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CDE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10C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A30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7.5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D2E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640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CAE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696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B15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D5ED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CD3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90EF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1A1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5773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305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15A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5.6</w:t>
            </w:r>
          </w:p>
        </w:tc>
      </w:tr>
      <w:tr w:rsidR="00C40D62" w:rsidRPr="00C40D62" w14:paraId="689077FA" w14:textId="77777777" w:rsidTr="00C40D62">
        <w:trPr>
          <w:trHeight w:val="320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3D4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2F0B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EXP010_004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B4E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9834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D2B8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EXP010vkcrjqc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4C8E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9830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A9F8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EXP010ooxyfwn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727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836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7A1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2EBA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CA0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838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0FAA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CF6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CB3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808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533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881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6B2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C9B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A36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9C6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050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810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8196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881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3193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C53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D8D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B8F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E346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0E4D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37C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F32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5.6</w:t>
            </w:r>
          </w:p>
        </w:tc>
      </w:tr>
      <w:tr w:rsidR="00C40D62" w:rsidRPr="00C40D62" w14:paraId="56F21B36" w14:textId="77777777" w:rsidTr="00C40D62">
        <w:trPr>
          <w:trHeight w:val="320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B21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41BA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EXP010_005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2B7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9818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B5EC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EXP010vpitawu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E6F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9816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6F77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EXP010otlxkrz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0AF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826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4ED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B00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9E1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816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5A4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489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868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AF0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785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9236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118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8306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627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F8B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786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DA1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867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C5D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2D3F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011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0FC6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E3C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937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7F2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46A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5.6</w:t>
            </w:r>
          </w:p>
        </w:tc>
      </w:tr>
      <w:tr w:rsidR="00C40D62" w:rsidRPr="00C40D62" w14:paraId="1378FC5A" w14:textId="77777777" w:rsidTr="00C40D62">
        <w:trPr>
          <w:trHeight w:val="320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C19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1383D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EXP010_006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3E1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9843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18EE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EXP010vuvdody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1FC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9840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F8EC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EXP010ochlmjx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25F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33D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FCF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C0E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644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80E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870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A7E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614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2D2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675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A62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0B7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EA9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51B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BAA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616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D5C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678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6B8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801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24C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E3C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32B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600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E16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2096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5.6</w:t>
            </w:r>
          </w:p>
        </w:tc>
      </w:tr>
      <w:tr w:rsidR="00C40D62" w:rsidRPr="00C40D62" w14:paraId="7209EEC3" w14:textId="77777777" w:rsidTr="00C40D62">
        <w:trPr>
          <w:trHeight w:val="320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C4B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66E9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EXP010_007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EEF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9820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FFA7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EXP010woaclvx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6AA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9814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8ED5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EXP010ogwfklv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743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658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59D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AB5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676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653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4CD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8925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F81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42DB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699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E1D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76B9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87D5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5C0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423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420F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688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42E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871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728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F58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982D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D4C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E24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09A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5.6</w:t>
            </w:r>
          </w:p>
        </w:tc>
      </w:tr>
      <w:tr w:rsidR="00C40D62" w:rsidRPr="00C40D62" w14:paraId="0BA6AABD" w14:textId="77777777" w:rsidTr="00C40D62">
        <w:trPr>
          <w:trHeight w:val="320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A29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E036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EXP010_008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518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9618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BE0E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EXP010wktzdls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CC4E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9616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8786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EXP010olbctkw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E7D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823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D38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091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136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801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DC2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3CF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0BE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780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6E0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861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A2B0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A57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3410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0E6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022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764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F5F9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842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2FD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2A9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E5F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A31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086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9AC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865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5F3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5.6</w:t>
            </w:r>
          </w:p>
        </w:tc>
      </w:tr>
      <w:tr w:rsidR="00C40D62" w:rsidRPr="00C40D62" w14:paraId="1F8375A8" w14:textId="77777777" w:rsidTr="00C40D62">
        <w:trPr>
          <w:trHeight w:val="320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C6A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3AFA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EXP010_009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418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9819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383B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EXP010waxoiey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F4E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9815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B747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EXP010opqcxxj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009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615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E2D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F367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E7C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621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E23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4D4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978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597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DDC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652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E21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A5C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A9F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7CE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C1D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600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6FF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656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218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167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15B0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F0E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302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23C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4F3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436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5.6</w:t>
            </w:r>
          </w:p>
        </w:tc>
      </w:tr>
      <w:tr w:rsidR="00C40D62" w:rsidRPr="00C40D62" w14:paraId="246B55A3" w14:textId="77777777" w:rsidTr="00C40D62">
        <w:trPr>
          <w:trHeight w:val="320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655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234E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EXP010_011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2E5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9962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AD7A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EXP010wlnocav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1FA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9958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06BD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EXP010oyklrkq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359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962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91E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4646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21.6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CAF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983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77F6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EE3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21.4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53C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883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ED4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1034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C3E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C86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422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B6F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6D9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917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DCE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1045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6A1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0A1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F58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19.8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531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22.6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A11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017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13D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D2C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5.6</w:t>
            </w:r>
          </w:p>
        </w:tc>
      </w:tr>
      <w:tr w:rsidR="00C40D62" w:rsidRPr="00C40D62" w14:paraId="493E0A5C" w14:textId="77777777" w:rsidTr="00C40D62">
        <w:trPr>
          <w:trHeight w:val="320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1D0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E5C5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EXP010_012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87F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9973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E611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EXP010wrtonqh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7F8E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9971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E6B9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EXP010pzugyag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FAE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688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7CD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D0F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C9A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717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E6A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55B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F3C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664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C58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722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C5E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098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44A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CF9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E4C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692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184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749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5D4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F51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133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930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502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D57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F6C6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E60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5.6</w:t>
            </w:r>
          </w:p>
        </w:tc>
      </w:tr>
      <w:tr w:rsidR="00C40D62" w:rsidRPr="00C40D62" w14:paraId="550E35A2" w14:textId="77777777" w:rsidTr="00C40D62">
        <w:trPr>
          <w:trHeight w:val="320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3C4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11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FC88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EXP010_014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C2C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9964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1551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EXP010xresjqh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AEE6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9959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C8BAA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EXP010pbukhnp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D7F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712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FFF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A42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6F4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695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3F0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C83C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448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683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24C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753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32F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43C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F9BF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D31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892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668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740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732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185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F14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61E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CA16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5D3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B31A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185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076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5.6</w:t>
            </w:r>
          </w:p>
        </w:tc>
      </w:tr>
      <w:tr w:rsidR="00C40D62" w:rsidRPr="00C40D62" w14:paraId="7EC493E0" w14:textId="77777777" w:rsidTr="00C40D62">
        <w:trPr>
          <w:trHeight w:val="320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6B7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12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5B2A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EXP010_015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2BE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9965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22DA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EXP010xukgukr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D36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9960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A1FE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EXP010pgarsgq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32E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684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20F5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9DD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89D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732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3C82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A41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F6B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660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C2D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719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09AD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74C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C03B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DAD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ABD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700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331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770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E1D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A3B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565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C7B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654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949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9D86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54D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5.6</w:t>
            </w:r>
          </w:p>
        </w:tc>
      </w:tr>
      <w:tr w:rsidR="00C40D62" w:rsidRPr="00C40D62" w14:paraId="375AC6A1" w14:textId="77777777" w:rsidTr="00C40D62">
        <w:trPr>
          <w:trHeight w:val="320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9F74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13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39C9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EXP010_016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B4A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9938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36D3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EXP010xcidtzf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1EB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9932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5E337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EXP010pkplxry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BBC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685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927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C80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794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710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7BB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0CA6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3A6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662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9C9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722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53F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7E3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2EB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B074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7AA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684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FBB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753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7BA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CB6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F89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B29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EB26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F5A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1A9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675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5.6</w:t>
            </w:r>
          </w:p>
        </w:tc>
      </w:tr>
      <w:tr w:rsidR="00C40D62" w:rsidRPr="00C40D62" w14:paraId="44FA50C5" w14:textId="77777777" w:rsidTr="00C40D62">
        <w:trPr>
          <w:trHeight w:val="320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EDA6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C702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EXP010_017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6591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9939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A3A3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EXP010xhwjezc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827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9933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4921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EXP010ppzojig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5436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666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1DD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7CE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5B7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680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00B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B10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D14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646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519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699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CBF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CA1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E9F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5EA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50E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661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B476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711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FDBD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EA86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F69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C58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177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421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1F6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C0D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5.6</w:t>
            </w:r>
          </w:p>
        </w:tc>
      </w:tr>
      <w:tr w:rsidR="00C40D62" w:rsidRPr="00C40D62" w14:paraId="62F6B7E0" w14:textId="77777777" w:rsidTr="00C40D62">
        <w:trPr>
          <w:trHeight w:val="320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618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15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F260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EXP010_018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47C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9940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B31F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EXP010xnqqfxi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F7756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9945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1E98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EXP010ptkyvkf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8CE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733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520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EE2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06B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753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39B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649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5F4C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710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B92A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766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611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7C1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227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448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2286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732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633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785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3A0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CF3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806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95A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59D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B16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630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323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5.6</w:t>
            </w:r>
          </w:p>
        </w:tc>
      </w:tr>
      <w:tr w:rsidR="00C40D62" w:rsidRPr="00C40D62" w14:paraId="24CB26EC" w14:textId="77777777" w:rsidTr="00C40D62">
        <w:trPr>
          <w:trHeight w:val="320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F53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16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83CA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EXP010_019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A33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10166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5B3B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EXP010xsnkfaa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A46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10164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BF36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EXP010pyrnfmw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528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5218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7C9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24B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649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557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AFA6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323D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604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7D6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711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862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059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A09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8AD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0BC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614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BBD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723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E61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E94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47D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EC2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875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A8A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357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D64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5.6</w:t>
            </w:r>
          </w:p>
        </w:tc>
      </w:tr>
      <w:tr w:rsidR="00C40D62" w:rsidRPr="00C40D62" w14:paraId="409A734B" w14:textId="77777777" w:rsidTr="00C40D62">
        <w:trPr>
          <w:trHeight w:val="320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052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17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6AD9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EXP010_020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F8F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10181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4E42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EXP010xyhlgie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F47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10178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80A8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EXP010qgnaouz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82A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742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F1E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EB1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8A9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748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071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F2B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5B5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717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A3B0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777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79F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DCF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D0F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24D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294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723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BAA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783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3A9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9D9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D70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859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33E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A97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438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102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5.6</w:t>
            </w:r>
          </w:p>
        </w:tc>
      </w:tr>
      <w:tr w:rsidR="00C40D62" w:rsidRPr="00C40D62" w14:paraId="567804CE" w14:textId="77777777" w:rsidTr="00C40D62">
        <w:trPr>
          <w:trHeight w:val="320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CBA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18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A37B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EXP010_021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6690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10183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BE84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EXP010yfiqjin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1B31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10180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F4E3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EXP010qwltdhh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9FD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727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492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4AE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90E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760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D9F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AFB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21A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701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D3A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762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E0B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DE0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4F7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669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967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734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A87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021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178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A60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454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4E4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7D9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D3F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76B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5.6</w:t>
            </w:r>
          </w:p>
        </w:tc>
      </w:tr>
      <w:tr w:rsidR="00C40D62" w:rsidRPr="00C40D62" w14:paraId="7A85A9BA" w14:textId="77777777" w:rsidTr="00C40D62">
        <w:trPr>
          <w:trHeight w:val="320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2C1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19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BB8D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EXP010_022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0A9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10170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C16F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EXP010ytmdrax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87D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10165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AFCE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EXP010qbcnicl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441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767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AA9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E9D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195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801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239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FAE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BE3C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735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502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801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334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D4D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C52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569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6D6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760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9E66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836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AAE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903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C3E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760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766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5C0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3F6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525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5.6</w:t>
            </w:r>
          </w:p>
        </w:tc>
      </w:tr>
      <w:tr w:rsidR="00C40D62" w:rsidRPr="00C40D62" w14:paraId="57B05F1A" w14:textId="77777777" w:rsidTr="00C40D62">
        <w:trPr>
          <w:trHeight w:val="320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D2CA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20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9B51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EXP010_023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697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10141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AC03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EXP010yeubkrf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D37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10136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71E6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EXP010qfsrhca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7585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727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44D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BA0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9B2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735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DD4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593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435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700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33B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767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44B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0603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3D9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2C8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430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711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AF6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778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A58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864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3D0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998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5FB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54E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296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5E2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5.6</w:t>
            </w:r>
          </w:p>
        </w:tc>
      </w:tr>
      <w:tr w:rsidR="00C40D62" w:rsidRPr="00C40D62" w14:paraId="523CEB44" w14:textId="77777777" w:rsidTr="00C40D62">
        <w:trPr>
          <w:trHeight w:val="320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4D3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22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694F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EXP010_025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E13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10156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4CA1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EXP010ypjqucg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9F2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10150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16ED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EXP010qopnvaq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67E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693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BC32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1AD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0A7B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725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88A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233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1B6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667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DBC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725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B60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84E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1714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BFC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6.6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F89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701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4A1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762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4BB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B92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D94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DAF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6.4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510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74A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14F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6AB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5.6</w:t>
            </w:r>
          </w:p>
        </w:tc>
      </w:tr>
      <w:tr w:rsidR="00C40D62" w:rsidRPr="00C40D62" w14:paraId="3D36AD3E" w14:textId="77777777" w:rsidTr="00C40D62">
        <w:trPr>
          <w:trHeight w:val="320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A6D4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F84B4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EXP010_027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B88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10674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8D74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EXP010yztnezr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76A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10672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D003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EXP010qxmbkpu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CE8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750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80F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4EB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555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753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E82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176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BDB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716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779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806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87D1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00F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542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4EF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176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721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906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807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B20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063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3FC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7857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E79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484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1A84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A4F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5.6</w:t>
            </w:r>
          </w:p>
        </w:tc>
      </w:tr>
      <w:tr w:rsidR="00C40D62" w:rsidRPr="00C40D62" w14:paraId="346B0E2A" w14:textId="77777777" w:rsidTr="00C40D62">
        <w:trPr>
          <w:trHeight w:val="320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FED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25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27DF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EXP010_028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69D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11392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5DA36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EXP010zcimduw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39C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11382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C1A3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EXP010rjzcqfv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B807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712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ADE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F62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B0A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768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FD91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6E0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CE7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680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C55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759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002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D3C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2E1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572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911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737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DBC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816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17A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901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09E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E3E9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89E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6B5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E5E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BDB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5.6</w:t>
            </w:r>
          </w:p>
        </w:tc>
      </w:tr>
      <w:tr w:rsidR="00C40D62" w:rsidRPr="00C40D62" w14:paraId="12756BB2" w14:textId="77777777" w:rsidTr="00C40D62">
        <w:trPr>
          <w:trHeight w:val="320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1E9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lastRenderedPageBreak/>
              <w:t>27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140F6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EXP010_030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6051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10723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EB5FA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EXP010zgntdcr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F12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10726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CA33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EXP010raztyee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AB0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A3E6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9A8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17.3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FD1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804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4EB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9EA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17.6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E37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759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A5D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836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10F7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001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FF2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F0C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128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770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B82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847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D5B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99A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BFF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15.1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5E74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19.4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8CD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FBD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1CC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F40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5.6</w:t>
            </w:r>
          </w:p>
        </w:tc>
      </w:tr>
      <w:tr w:rsidR="00C40D62" w:rsidRPr="00C40D62" w14:paraId="4767BDB1" w14:textId="77777777" w:rsidTr="00C40D62">
        <w:trPr>
          <w:trHeight w:val="320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3E6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31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5B0B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EXP010_035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8913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10681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87547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EXP010yljbbzh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ED66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10680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B3C44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EXP010rxcfdnn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F13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761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B62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E01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8C8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E28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B26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622C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735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246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89D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F7C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010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8B6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3BF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769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4FC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837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2F5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394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377D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915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F57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C28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C8E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21A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5.6</w:t>
            </w:r>
          </w:p>
        </w:tc>
      </w:tr>
      <w:tr w:rsidR="00C40D62" w:rsidRPr="00C40D62" w14:paraId="21AAAF4F" w14:textId="77777777" w:rsidTr="00C40D62">
        <w:trPr>
          <w:trHeight w:val="320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12F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33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0ACE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EXP010_037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7DE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11350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73CF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EXP010izqbipr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C03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11359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D22B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EXP010satrxbp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DA89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677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A08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7EA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B3A9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689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552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A06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E82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656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197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711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3A1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0C86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42C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8F4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A59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667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535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720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014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B2C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0F5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C26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24A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3E6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EB3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3E8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5.6</w:t>
            </w:r>
          </w:p>
        </w:tc>
      </w:tr>
      <w:tr w:rsidR="00C40D62" w:rsidRPr="00C40D62" w14:paraId="249A123C" w14:textId="77777777" w:rsidTr="00C40D62">
        <w:trPr>
          <w:trHeight w:val="320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386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35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8A14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EXP010_039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4D48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11385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AF15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EXP010swffxwu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9E6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11384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E2B4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EXP010sfjpmad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E9B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755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A82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DEE56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3C3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780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C2E8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A00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DBC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726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18D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9C6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335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3B8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8A1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316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750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54F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820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0814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92C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EFC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849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BD7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463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A14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656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5.6</w:t>
            </w:r>
          </w:p>
        </w:tc>
      </w:tr>
      <w:tr w:rsidR="00C40D62" w:rsidRPr="00C40D62" w14:paraId="6C35DDBD" w14:textId="77777777" w:rsidTr="00C40D62">
        <w:trPr>
          <w:trHeight w:val="320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5E4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37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21B6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EXP010_041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EFC6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11387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62A8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EXP010vhntqjp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0BE2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11377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4A1E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EXP010nqgjyrz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3A36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679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173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4F0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D7D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692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6A7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2D8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C7D8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654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E7A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713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BC1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E68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1A7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3B5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73F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670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BD6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729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2BBE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F775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1359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DF0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0A3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92DB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30C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08A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5.6</w:t>
            </w:r>
          </w:p>
        </w:tc>
      </w:tr>
      <w:tr w:rsidR="00C40D62" w:rsidRPr="00C40D62" w14:paraId="5681A537" w14:textId="77777777" w:rsidTr="00C40D62">
        <w:trPr>
          <w:trHeight w:val="320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966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38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688C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EXP010_042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DA41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11454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E3E5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EXP010wgamgxp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AF9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11354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272B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EXP010oufxzps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8B5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743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5A76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150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6.6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247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36F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332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E4E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717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A48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778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B01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653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9B3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60D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1C16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733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4000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08D6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9C2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1AC82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A23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7.7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BBA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BA8E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CA3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06F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5.6</w:t>
            </w:r>
          </w:p>
        </w:tc>
      </w:tr>
      <w:tr w:rsidR="00C40D62" w:rsidRPr="00C40D62" w14:paraId="243E161B" w14:textId="77777777" w:rsidTr="00C40D62">
        <w:trPr>
          <w:trHeight w:val="320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225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39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65DC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EXP010_043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9078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11364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4CD9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EXP010zwbadsj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E0F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11358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7683" w14:textId="77777777" w:rsidR="00C40D62" w:rsidRPr="00C40D62" w:rsidRDefault="00C40D62" w:rsidP="00C40D62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EXP010roecjcc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796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742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0B6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998D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B15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742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CE2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C00C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0FD4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714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33C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785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F5A5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9A14B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98B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919A6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9B55F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715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BC9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782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3378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66993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E7F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BFE71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1DBA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38F9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581C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1817" w14:textId="77777777" w:rsidR="00C40D62" w:rsidRPr="00C40D62" w:rsidRDefault="00C40D62" w:rsidP="00C40D62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C40D62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5.6</w:t>
            </w:r>
          </w:p>
        </w:tc>
      </w:tr>
    </w:tbl>
    <w:p w14:paraId="33701523" w14:textId="77777777" w:rsidR="00FB0A68" w:rsidRDefault="00FB0A68" w:rsidP="001B738E">
      <w:pPr>
        <w:jc w:val="both"/>
      </w:pPr>
    </w:p>
    <w:p w14:paraId="5DB93906" w14:textId="77777777" w:rsidR="004401B6" w:rsidRDefault="004401B6" w:rsidP="001B738E">
      <w:pPr>
        <w:jc w:val="both"/>
      </w:pPr>
    </w:p>
    <w:sectPr w:rsidR="004401B6" w:rsidSect="00FB0A68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436F2" w14:textId="77777777" w:rsidR="008D6A31" w:rsidRDefault="008D6A31" w:rsidP="00A270F4">
      <w:r>
        <w:separator/>
      </w:r>
    </w:p>
  </w:endnote>
  <w:endnote w:type="continuationSeparator" w:id="0">
    <w:p w14:paraId="28DDE4C5" w14:textId="77777777" w:rsidR="008D6A31" w:rsidRDefault="008D6A31" w:rsidP="00A27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72B9C" w14:textId="3E11722B" w:rsidR="00A270F4" w:rsidRDefault="00A270F4">
    <w:pPr>
      <w:pStyle w:val="Footer"/>
    </w:pPr>
    <w:r>
      <w:t>Written by: YC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17CBA" w14:textId="77777777" w:rsidR="008D6A31" w:rsidRDefault="008D6A31" w:rsidP="00A270F4">
      <w:r>
        <w:separator/>
      </w:r>
    </w:p>
  </w:footnote>
  <w:footnote w:type="continuationSeparator" w:id="0">
    <w:p w14:paraId="1B36E3BC" w14:textId="77777777" w:rsidR="008D6A31" w:rsidRDefault="008D6A31" w:rsidP="00A270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DD"/>
    <w:rsid w:val="0000277D"/>
    <w:rsid w:val="000733CB"/>
    <w:rsid w:val="00081B1C"/>
    <w:rsid w:val="00092250"/>
    <w:rsid w:val="000B48B7"/>
    <w:rsid w:val="000C3E3C"/>
    <w:rsid w:val="000E13F8"/>
    <w:rsid w:val="00160CAD"/>
    <w:rsid w:val="00184414"/>
    <w:rsid w:val="001914ED"/>
    <w:rsid w:val="0019474C"/>
    <w:rsid w:val="001B738E"/>
    <w:rsid w:val="00203E7E"/>
    <w:rsid w:val="002167B7"/>
    <w:rsid w:val="0026347C"/>
    <w:rsid w:val="002C5BBF"/>
    <w:rsid w:val="00301C40"/>
    <w:rsid w:val="003441FF"/>
    <w:rsid w:val="003646FC"/>
    <w:rsid w:val="00383E7E"/>
    <w:rsid w:val="003911B4"/>
    <w:rsid w:val="00396BAC"/>
    <w:rsid w:val="003B6CA5"/>
    <w:rsid w:val="004401B6"/>
    <w:rsid w:val="00443194"/>
    <w:rsid w:val="004845DA"/>
    <w:rsid w:val="00487D7C"/>
    <w:rsid w:val="00521277"/>
    <w:rsid w:val="00522CBB"/>
    <w:rsid w:val="00536C54"/>
    <w:rsid w:val="00575072"/>
    <w:rsid w:val="005B247C"/>
    <w:rsid w:val="00616E68"/>
    <w:rsid w:val="00636BBA"/>
    <w:rsid w:val="006835C1"/>
    <w:rsid w:val="006841E0"/>
    <w:rsid w:val="006D1541"/>
    <w:rsid w:val="006D5D16"/>
    <w:rsid w:val="006F247D"/>
    <w:rsid w:val="006F72C7"/>
    <w:rsid w:val="0070379A"/>
    <w:rsid w:val="0073286E"/>
    <w:rsid w:val="00767D6C"/>
    <w:rsid w:val="00773B64"/>
    <w:rsid w:val="00786D94"/>
    <w:rsid w:val="00792A94"/>
    <w:rsid w:val="007A373E"/>
    <w:rsid w:val="007C3E8E"/>
    <w:rsid w:val="007E6396"/>
    <w:rsid w:val="00827978"/>
    <w:rsid w:val="0085136D"/>
    <w:rsid w:val="00875D80"/>
    <w:rsid w:val="00893511"/>
    <w:rsid w:val="008D6A31"/>
    <w:rsid w:val="008E13D0"/>
    <w:rsid w:val="00900165"/>
    <w:rsid w:val="0090046A"/>
    <w:rsid w:val="00902812"/>
    <w:rsid w:val="00905DAD"/>
    <w:rsid w:val="00914F3C"/>
    <w:rsid w:val="00935BD5"/>
    <w:rsid w:val="00952663"/>
    <w:rsid w:val="0098144A"/>
    <w:rsid w:val="009A0BC7"/>
    <w:rsid w:val="009A7ADF"/>
    <w:rsid w:val="009C665F"/>
    <w:rsid w:val="009E3494"/>
    <w:rsid w:val="00A02A44"/>
    <w:rsid w:val="00A0389C"/>
    <w:rsid w:val="00A04689"/>
    <w:rsid w:val="00A178BC"/>
    <w:rsid w:val="00A25610"/>
    <w:rsid w:val="00A270F4"/>
    <w:rsid w:val="00A479E8"/>
    <w:rsid w:val="00A95EE5"/>
    <w:rsid w:val="00AD44DD"/>
    <w:rsid w:val="00AF0DB1"/>
    <w:rsid w:val="00B04151"/>
    <w:rsid w:val="00B04D10"/>
    <w:rsid w:val="00B22C29"/>
    <w:rsid w:val="00B270A4"/>
    <w:rsid w:val="00B42511"/>
    <w:rsid w:val="00B61D1B"/>
    <w:rsid w:val="00B75F21"/>
    <w:rsid w:val="00B96DEE"/>
    <w:rsid w:val="00BA3A3D"/>
    <w:rsid w:val="00BA42FC"/>
    <w:rsid w:val="00BB1D25"/>
    <w:rsid w:val="00BC45CE"/>
    <w:rsid w:val="00C40D62"/>
    <w:rsid w:val="00C56F9E"/>
    <w:rsid w:val="00CA0DCD"/>
    <w:rsid w:val="00CC4BEE"/>
    <w:rsid w:val="00D36E4F"/>
    <w:rsid w:val="00D71550"/>
    <w:rsid w:val="00D960C5"/>
    <w:rsid w:val="00D96959"/>
    <w:rsid w:val="00D9766D"/>
    <w:rsid w:val="00DB5FA4"/>
    <w:rsid w:val="00DC5360"/>
    <w:rsid w:val="00DD0C0F"/>
    <w:rsid w:val="00DD7D40"/>
    <w:rsid w:val="00DE290E"/>
    <w:rsid w:val="00DF0E0E"/>
    <w:rsid w:val="00E052FA"/>
    <w:rsid w:val="00E4579E"/>
    <w:rsid w:val="00E57949"/>
    <w:rsid w:val="00E60345"/>
    <w:rsid w:val="00E7395B"/>
    <w:rsid w:val="00E84B23"/>
    <w:rsid w:val="00EA50D9"/>
    <w:rsid w:val="00ED2C22"/>
    <w:rsid w:val="00F17AC8"/>
    <w:rsid w:val="00F45F0B"/>
    <w:rsid w:val="00F525D5"/>
    <w:rsid w:val="00F636BA"/>
    <w:rsid w:val="00FB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777AE"/>
  <w15:chartTrackingRefBased/>
  <w15:docId w15:val="{F520232D-825E-FE43-A360-C4351DD8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FB0A6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270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0F4"/>
  </w:style>
  <w:style w:type="paragraph" w:styleId="Footer">
    <w:name w:val="footer"/>
    <w:basedOn w:val="Normal"/>
    <w:link w:val="FooterChar"/>
    <w:uiPriority w:val="99"/>
    <w:unhideWhenUsed/>
    <w:rsid w:val="00A270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0F4"/>
  </w:style>
  <w:style w:type="character" w:styleId="Hyperlink">
    <w:name w:val="Hyperlink"/>
    <w:basedOn w:val="DefaultParagraphFont"/>
    <w:uiPriority w:val="99"/>
    <w:semiHidden/>
    <w:unhideWhenUsed/>
    <w:rsid w:val="00C40D6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0D62"/>
    <w:rPr>
      <w:color w:val="954F72"/>
      <w:u w:val="single"/>
    </w:rPr>
  </w:style>
  <w:style w:type="paragraph" w:customStyle="1" w:styleId="msonormal0">
    <w:name w:val="msonormal"/>
    <w:basedOn w:val="Normal"/>
    <w:rsid w:val="00C40D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0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9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Yi-Chun Wang</dc:creator>
  <cp:keywords/>
  <dc:description/>
  <cp:lastModifiedBy>Yi-Chun Wang</cp:lastModifiedBy>
  <cp:revision>105</cp:revision>
  <dcterms:created xsi:type="dcterms:W3CDTF">2021-03-11T09:26:00Z</dcterms:created>
  <dcterms:modified xsi:type="dcterms:W3CDTF">2021-03-12T15:46:00Z</dcterms:modified>
</cp:coreProperties>
</file>