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 xml:space="preserve">Fundamentos de Bancos de Dados — T01</w:t>
      </w:r>
    </w:p>
    <w:p>
      <w:pPr>
        <w:spacing w:after="40"/>
        <w:jc w:val="center"/>
      </w:pPr>
      <w:r>
        <w:rPr>
          <w:color w:val="2E74B5"/>
          <w:sz w:val="26"/>
          <w:szCs w:val="26"/>
        </w:rPr>
        <w:t xml:space="preserve">Capítulo 6 — Exercícios de fixação (resolvidos)</w:t>
      </w:r>
    </w:p>
    <w:p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 xml:space="preserve">Prof. Calvetti</w:t>
      </w: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30"/>
          <w:szCs w:val="30"/>
        </w:rPr>
        <w:t xml:space="preserve">Exercício • Nível 1 — Reconhecimento</w:t>
      </w:r>
    </w:p>
    <w:p>
      <w:pPr>
        <w:spacing w:after="80"/>
      </w:pPr>
      <w:r>
        <w:rPr>
          <w:i/>
          <w:iCs/>
          <w:color w:val="595959"/>
          <w:sz w:val="21"/>
          <w:szCs w:val="21"/>
        </w:rPr>
        <w:t xml:space="preserve">Classifique cada item como dado, informação ou metadado e justifique em uma frase.</w:t>
      </w:r>
    </w:p>
    <w:p>
      <w:pPr>
        <w:spacing w:after="40" w:before="120"/>
      </w:pPr>
      <w:r>
        <w:rPr>
          <w:b/>
          <w:bCs/>
          <w:color w:val="1F3864"/>
          <w:sz w:val="21"/>
          <w:szCs w:val="21"/>
        </w:rPr>
        <w:t xml:space="preserve">1. "2026-08-08"</w:t>
      </w:r>
    </w:p>
    <w:p>
      <w:pPr>
        <w:spacing w:after="80"/>
      </w:pPr>
      <w:r>
        <w:rPr>
          <w:sz w:val="21"/>
          <w:szCs w:val="21"/>
        </w:rPr>
        <w:t xml:space="preserve">Classificação: Dado.</w:t>
      </w:r>
    </w:p>
    <w:p>
      <w:pPr>
        <w:spacing w:after="80"/>
      </w:pPr>
      <w:r>
        <w:rPr>
          <w:sz w:val="21"/>
          <w:szCs w:val="21"/>
        </w:rPr>
        <w:t xml:space="preserve">Justificativa: é um valor isolado, sem interpretação — sozinho não indica a que evento a data se refere (nascimento, atendimento, vencimento etc.).</w:t>
      </w:r>
    </w:p>
    <w:p>
      <w:pPr>
        <w:spacing w:after="40" w:before="120"/>
      </w:pPr>
      <w:r>
        <w:rPr>
          <w:b/>
          <w:bCs/>
          <w:color w:val="1F3864"/>
          <w:sz w:val="21"/>
          <w:szCs w:val="21"/>
        </w:rPr>
        <w:t xml:space="preserve">2. "Foram realizados 128 atendimentos no dia."</w:t>
      </w:r>
    </w:p>
    <w:p>
      <w:pPr>
        <w:spacing w:after="80"/>
      </w:pPr>
      <w:r>
        <w:rPr>
          <w:sz w:val="21"/>
          <w:szCs w:val="21"/>
        </w:rPr>
        <w:t xml:space="preserve">Classificação: Informação.</w:t>
      </w:r>
    </w:p>
    <w:p>
      <w:pPr>
        <w:spacing w:after="80"/>
      </w:pPr>
      <w:r>
        <w:rPr>
          <w:sz w:val="21"/>
          <w:szCs w:val="21"/>
        </w:rPr>
        <w:t xml:space="preserve">Justificativa: é o resultado da organização e interpretação de dados brutos (contagem de registros) em um contexto que responde a uma pergunta ("quantos atendimentos houve?").</w:t>
      </w:r>
    </w:p>
    <w:p>
      <w:pPr>
        <w:spacing w:after="40" w:before="120"/>
      </w:pPr>
      <w:r>
        <w:rPr>
          <w:b/>
          <w:bCs/>
          <w:color w:val="1F3864"/>
          <w:sz w:val="21"/>
          <w:szCs w:val="21"/>
        </w:rPr>
        <w:t xml:space="preserve">3. "data_atendimento usa o tipo DATE e não aceita nulo."</w:t>
      </w:r>
    </w:p>
    <w:p>
      <w:pPr>
        <w:spacing w:after="80"/>
      </w:pPr>
      <w:r>
        <w:rPr>
          <w:sz w:val="21"/>
          <w:szCs w:val="21"/>
        </w:rPr>
        <w:t xml:space="preserve">Classificação: Metadado.</w:t>
      </w:r>
    </w:p>
    <w:p>
      <w:pPr>
        <w:spacing w:after="80"/>
      </w:pPr>
      <w:r>
        <w:rPr>
          <w:sz w:val="21"/>
          <w:szCs w:val="21"/>
        </w:rPr>
        <w:t xml:space="preserve">Justificativa: não é o valor em si, mas uma descrição da estrutura e da regra que o dado deve obedecer (tipo e obrigatoriedade).</w:t>
      </w:r>
    </w:p>
    <w:p>
      <w:pPr>
        <w:pBdr>
          <w:bottom w:val="single" w:color="BFBFBF" w:sz="4" w:space="1"/>
        </w:pBdr>
        <w:spacing w:after="200" w:before="200"/>
      </w:pP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30"/>
          <w:szCs w:val="30"/>
        </w:rPr>
        <w:t xml:space="preserve">Exercício • Nível 2 — Interpretação</w:t>
      </w:r>
    </w:p>
    <w:p>
      <w:pPr>
        <w:spacing w:after="80"/>
      </w:pPr>
      <w:r>
        <w:rPr>
          <w:i/>
          <w:iCs/>
          <w:color w:val="595959"/>
          <w:sz w:val="21"/>
          <w:szCs w:val="21"/>
        </w:rPr>
        <w:t xml:space="preserve">Considere registros de temperatura coletados a cada minuto.</w:t>
      </w:r>
    </w:p>
    <w:p>
      <w:pPr>
        <w:spacing w:after="40" w:before="120"/>
      </w:pPr>
      <w:r>
        <w:rPr>
          <w:b/>
          <w:bCs/>
          <w:color w:val="1F3864"/>
          <w:sz w:val="21"/>
          <w:szCs w:val="21"/>
        </w:rPr>
        <w:t xml:space="preserve">Dois exemplos de dados brutos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14:03 — 24,8 °C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14:04 — 25,1 °C</w:t>
      </w:r>
    </w:p>
    <w:p>
      <w:pPr>
        <w:spacing w:after="40" w:before="120"/>
      </w:pPr>
      <w:r>
        <w:rPr>
          <w:b/>
          <w:bCs/>
          <w:color w:val="1F3864"/>
          <w:sz w:val="21"/>
          <w:szCs w:val="21"/>
        </w:rPr>
        <w:t xml:space="preserve">Transformação em informação útil</w:t>
      </w:r>
    </w:p>
    <w:p>
      <w:pPr>
        <w:spacing w:after="80"/>
      </w:pPr>
      <w:r>
        <w:rPr>
          <w:sz w:val="21"/>
          <w:szCs w:val="21"/>
        </w:rPr>
        <w:t xml:space="preserve">"A temperatura média da última hora foi de 25,4 °C, 3 °C acima do limite recomendado de 22 °C." — aqui os valores brutos foram agregados (média) e comparados a um limiar, ganhando significado para quem avalia a sala.</w:t>
      </w:r>
    </w:p>
    <w:p>
      <w:pPr>
        <w:spacing w:after="40" w:before="120"/>
      </w:pPr>
      <w:r>
        <w:rPr>
          <w:b/>
          <w:bCs/>
          <w:color w:val="1F3864"/>
          <w:sz w:val="21"/>
          <w:szCs w:val="21"/>
        </w:rPr>
        <w:t xml:space="preserve">Decisão apoiada pela informação</w:t>
      </w:r>
    </w:p>
    <w:p>
      <w:pPr>
        <w:spacing w:after="80"/>
      </w:pPr>
      <w:r>
        <w:rPr>
          <w:sz w:val="21"/>
          <w:szCs w:val="21"/>
        </w:rPr>
        <w:t xml:space="preserve">Acionar o sistema de climatização (ou abrir um chamado de manutenção) para reduzir a temperatura do ambiente antes que equipamentos sensíveis sejam afetados.</w:t>
      </w:r>
    </w:p>
    <w:p>
      <w:pPr>
        <w:pBdr>
          <w:bottom w:val="single" w:color="BFBFBF" w:sz="4" w:space="1"/>
        </w:pBdr>
        <w:spacing w:after="200" w:before="200"/>
      </w:pP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30"/>
          <w:szCs w:val="30"/>
        </w:rPr>
        <w:t xml:space="preserve">Exercício • Nível 3 — Diagnóstico</w:t>
      </w:r>
    </w:p>
    <w:p>
      <w:pPr>
        <w:spacing w:after="80"/>
      </w:pPr>
      <w:r>
        <w:rPr>
          <w:i/>
          <w:iCs/>
          <w:color w:val="595959"/>
          <w:sz w:val="21"/>
          <w:szCs w:val="21"/>
        </w:rPr>
        <w:t xml:space="preserve">Vendas e suporte mantêm cadastros separados de clientes.</w:t>
      </w:r>
    </w:p>
    <w:p>
      <w:pPr>
        <w:spacing w:after="40" w:before="120"/>
      </w:pPr>
      <w:r>
        <w:rPr>
          <w:b/>
          <w:bCs/>
          <w:color w:val="1F3864"/>
          <w:sz w:val="21"/>
          <w:szCs w:val="21"/>
        </w:rPr>
        <w:t xml:space="preserve">Redundância identificada</w:t>
      </w:r>
    </w:p>
    <w:p>
      <w:pPr>
        <w:spacing w:after="80"/>
      </w:pPr>
      <w:r>
        <w:rPr>
          <w:sz w:val="21"/>
          <w:szCs w:val="21"/>
        </w:rPr>
        <w:t xml:space="preserve">O nome, telefone e e-mail do mesmo cliente são digitados e armazenados tanto no cadastro de vendas quanto no de suporte — o mesmo fato é registrado duas vezes, sem sincronização.</w:t>
      </w:r>
    </w:p>
    <w:p>
      <w:pPr>
        <w:spacing w:after="40" w:before="120"/>
      </w:pPr>
      <w:r>
        <w:rPr>
          <w:b/>
          <w:bCs/>
          <w:color w:val="1F3864"/>
          <w:sz w:val="21"/>
          <w:szCs w:val="21"/>
        </w:rPr>
        <w:t xml:space="preserve">Inconsistência possível</w:t>
      </w:r>
    </w:p>
    <w:p>
      <w:pPr>
        <w:spacing w:after="80"/>
      </w:pPr>
      <w:r>
        <w:rPr>
          <w:sz w:val="21"/>
          <w:szCs w:val="21"/>
        </w:rPr>
        <w:t xml:space="preserve">O cliente atualiza o telefone com o time de suporte após uma mudança de número, mas vendas continua com o telefone antigo; ao tentar contatá-lo para uma renovação, vendas liga para um número que não existe mais.</w:t>
      </w:r>
    </w:p>
    <w:p>
      <w:pPr>
        <w:spacing w:after="40" w:before="120"/>
      </w:pPr>
      <w:r>
        <w:rPr>
          <w:b/>
          <w:bCs/>
          <w:color w:val="1F3864"/>
          <w:sz w:val="21"/>
          <w:szCs w:val="21"/>
        </w:rPr>
        <w:t xml:space="preserve">Impacto operacional</w:t>
      </w:r>
    </w:p>
    <w:p>
      <w:pPr>
        <w:spacing w:after="80"/>
      </w:pPr>
      <w:r>
        <w:rPr>
          <w:sz w:val="21"/>
          <w:szCs w:val="21"/>
        </w:rPr>
        <w:t xml:space="preserve">Perda de contato com o cliente, retrabalho para reconciliar os dois cadastros manualmente e risco de decisões (ex.: campanhas de venda) baseadas em informação desatualizada.</w:t>
      </w:r>
    </w:p>
    <w:p>
      <w:pPr>
        <w:spacing w:after="40" w:before="120"/>
      </w:pPr>
      <w:r>
        <w:rPr>
          <w:b/>
          <w:bCs/>
          <w:color w:val="1F3864"/>
          <w:sz w:val="21"/>
          <w:szCs w:val="21"/>
        </w:rPr>
        <w:t xml:space="preserve">Regra centralizada proposta</w:t>
      </w:r>
    </w:p>
    <w:p>
      <w:pPr>
        <w:spacing w:after="80"/>
      </w:pPr>
      <w:r>
        <w:rPr>
          <w:sz w:val="21"/>
          <w:szCs w:val="21"/>
        </w:rPr>
        <w:t xml:space="preserve">Manter um único cadastro de cliente (fonte única da verdade) em um banco de dados compartilhado, com um identificador único por cliente; vendas e suporte passam a consultar e atualizar esse mesmo registro, cada um com as permissões adequadas.</w:t>
      </w:r>
    </w:p>
    <w:p>
      <w:pPr>
        <w:pBdr>
          <w:bottom w:val="single" w:color="BFBFBF" w:sz="4" w:space="1"/>
        </w:pBdr>
        <w:spacing w:after="200" w:before="200"/>
      </w:pP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30"/>
          <w:szCs w:val="30"/>
        </w:rPr>
        <w:t xml:space="preserve">Exercício • Nível 4 — Decisão</w:t>
      </w:r>
    </w:p>
    <w:p>
      <w:pPr>
        <w:spacing w:after="80"/>
      </w:pPr>
      <w:r>
        <w:rPr>
          <w:i/>
          <w:iCs/>
          <w:color w:val="595959"/>
          <w:sz w:val="21"/>
          <w:szCs w:val="21"/>
        </w:rPr>
        <w:t xml:space="preserve">Associação com 80 membros; um único responsável atualiza mensalidades uma vez por mês.</w:t>
      </w:r>
    </w:p>
    <w:p>
      <w:pPr>
        <w:spacing w:after="40" w:before="120"/>
      </w:pPr>
      <w:r>
        <w:rPr>
          <w:b/>
          <w:bCs/>
          <w:color w:val="1F3864"/>
          <w:sz w:val="21"/>
          <w:szCs w:val="21"/>
        </w:rPr>
        <w:t xml:space="preserve">Solução inicial escolhida</w:t>
      </w:r>
    </w:p>
    <w:p>
      <w:pPr>
        <w:spacing w:after="80"/>
      </w:pPr>
      <w:r>
        <w:rPr>
          <w:sz w:val="21"/>
          <w:szCs w:val="21"/>
        </w:rPr>
        <w:t xml:space="preserve">Uma planilha é adequada neste momento.</w:t>
      </w:r>
    </w:p>
    <w:p>
      <w:pPr>
        <w:spacing w:after="40" w:before="120"/>
      </w:pPr>
      <w:r>
        <w:rPr>
          <w:b/>
          <w:bCs/>
          <w:color w:val="1F3864"/>
          <w:sz w:val="21"/>
          <w:szCs w:val="21"/>
        </w:rPr>
        <w:t xml:space="preserve">Dois critérios que sustentam a escolha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Baixa simultaneidade: apenas uma pessoa edita os dados, sem risco de concorrência ou sobrescrita de alterações.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Volume e complexidade reduzidos: 80 membros e uma atualização mensal representam baixo volume e regras simples (poucas validações e relacionamentos).</w:t>
      </w:r>
    </w:p>
    <w:p>
      <w:pPr>
        <w:spacing w:after="40" w:before="120"/>
      </w:pPr>
      <w:r>
        <w:rPr>
          <w:b/>
          <w:bCs/>
          <w:color w:val="1F3864"/>
          <w:sz w:val="21"/>
          <w:szCs w:val="21"/>
        </w:rPr>
        <w:t xml:space="preserve">Evento que justificaria migração</w:t>
      </w:r>
    </w:p>
    <w:p>
      <w:pPr>
        <w:spacing w:after="80"/>
      </w:pPr>
      <w:r>
        <w:rPr>
          <w:sz w:val="21"/>
          <w:szCs w:val="21"/>
        </w:rPr>
        <w:t xml:space="preserve">Se a associação crescer significativamente (muitos membros, múltiplas categorias de cobrança), passar a ter várias pessoas atualizando dados ao mesmo tempo, ou precisar cruzar mensalidades com outras entidades (eventos, dependentes, inadimplência) de forma confiável e auditável — sinais de que é hora de migrar para um SGBD.</w:t>
      </w:r>
    </w:p>
    <w:p>
      <w:pPr>
        <w:pBdr>
          <w:bottom w:val="single" w:color="BFBFBF" w:sz="4" w:space="1"/>
        </w:pBdr>
        <w:spacing w:after="200" w:before="200"/>
      </w:pP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30"/>
          <w:szCs w:val="30"/>
        </w:rPr>
        <w:t xml:space="preserve">Exercício • Nível 5 — Aplicação</w:t>
      </w:r>
    </w:p>
    <w:p>
      <w:pPr>
        <w:spacing w:after="80"/>
      </w:pPr>
      <w:r>
        <w:rPr>
          <w:i/>
          <w:iCs/>
          <w:color w:val="595959"/>
          <w:sz w:val="21"/>
          <w:szCs w:val="21"/>
        </w:rPr>
        <w:t xml:space="preserve">Aplicação conectada pelo Workbench ao MySQL.</w:t>
      </w:r>
    </w:p>
    <w:p>
      <w:pPr>
        <w:spacing w:after="40" w:before="120"/>
      </w:pPr>
      <w:r>
        <w:rPr>
          <w:b/>
          <w:bCs/>
          <w:color w:val="1F3864"/>
          <w:sz w:val="21"/>
          <w:szCs w:val="21"/>
        </w:rPr>
        <w:t xml:space="preserve">O que é a base de dados</w:t>
      </w:r>
    </w:p>
    <w:p>
      <w:pPr>
        <w:spacing w:after="80"/>
      </w:pPr>
      <w:r>
        <w:rPr>
          <w:sz w:val="21"/>
          <w:szCs w:val="21"/>
        </w:rPr>
        <w:t xml:space="preserve">É o conteúdo persistente em si: o conjunto estruturado de tabelas, linhas e relacionamentos que representam o estado do domínio (ex.: clientes, pedidos).</w:t>
      </w:r>
    </w:p>
    <w:p>
      <w:pPr>
        <w:spacing w:after="40" w:before="120"/>
      </w:pPr>
      <w:r>
        <w:rPr>
          <w:b/>
          <w:bCs/>
          <w:color w:val="1F3864"/>
          <w:sz w:val="21"/>
          <w:szCs w:val="21"/>
        </w:rPr>
        <w:t xml:space="preserve">O que é o SGBD</w:t>
      </w:r>
    </w:p>
    <w:p>
      <w:pPr>
        <w:spacing w:after="80"/>
      </w:pPr>
      <w:r>
        <w:rPr>
          <w:sz w:val="21"/>
          <w:szCs w:val="21"/>
        </w:rPr>
        <w:t xml:space="preserve">É o MySQL Server: o software que define, armazena, consulta, protege e recupera esses dados, controlando acesso e concorrência.</w:t>
      </w:r>
    </w:p>
    <w:p>
      <w:pPr>
        <w:spacing w:after="40" w:before="120"/>
      </w:pPr>
      <w:r>
        <w:rPr>
          <w:b/>
          <w:bCs/>
          <w:color w:val="1F3864"/>
          <w:sz w:val="21"/>
          <w:szCs w:val="21"/>
        </w:rPr>
        <w:t xml:space="preserve">Qual é o papel do Workbench</w:t>
      </w:r>
    </w:p>
    <w:p>
      <w:pPr>
        <w:spacing w:after="80"/>
      </w:pPr>
      <w:r>
        <w:rPr>
          <w:sz w:val="21"/>
          <w:szCs w:val="21"/>
        </w:rPr>
        <w:t xml:space="preserve">É a interface cliente: uma ferramenta usada para se conectar ao servidor, modelar e executar comandos SQL e administrar objetos — ele não armazena os dados, apenas envia comandos e exibe resultados.</w:t>
      </w:r>
    </w:p>
    <w:p>
      <w:pPr>
        <w:spacing w:after="40" w:before="120"/>
      </w:pPr>
      <w:r>
        <w:rPr>
          <w:b/>
          <w:bCs/>
          <w:color w:val="1F3864"/>
          <w:sz w:val="21"/>
          <w:szCs w:val="21"/>
        </w:rPr>
        <w:t xml:space="preserve">Onde o InnoDB participa</w:t>
      </w:r>
    </w:p>
    <w:p>
      <w:pPr>
        <w:spacing w:after="80"/>
      </w:pPr>
      <w:r>
        <w:rPr>
          <w:sz w:val="21"/>
          <w:szCs w:val="21"/>
        </w:rPr>
        <w:t xml:space="preserve">É o mecanismo de armazenamento usado pelo MySQL Server: fica na camada inferior, responsável por gravar fisicamente páginas de dados e índices, garantir transações (commit/rollback), integridade referencial e concorrência por linha.</w:t>
      </w:r>
    </w:p>
    <w:p>
      <w:pPr>
        <w:pBdr>
          <w:bottom w:val="single" w:color="BFBFBF" w:sz="4" w:space="1"/>
        </w:pBdr>
        <w:spacing w:after="200" w:before="200"/>
      </w:pP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30"/>
          <w:szCs w:val="30"/>
        </w:rPr>
        <w:t xml:space="preserve">Exercício • Nível 6 — Estruturação</w:t>
      </w:r>
    </w:p>
    <w:p>
      <w:pPr>
        <w:spacing w:after="80"/>
      </w:pPr>
      <w:r>
        <w:rPr>
          <w:i/>
          <w:iCs/>
          <w:color w:val="595959"/>
          <w:sz w:val="21"/>
          <w:szCs w:val="21"/>
        </w:rPr>
        <w:t xml:space="preserve">Controle de empréstimos de equipamentos.</w:t>
      </w:r>
    </w:p>
    <w:p>
      <w:pPr>
        <w:spacing w:after="40" w:before="120"/>
      </w:pPr>
      <w:r>
        <w:rPr>
          <w:b/>
          <w:bCs/>
          <w:color w:val="1F3864"/>
          <w:sz w:val="21"/>
          <w:szCs w:val="21"/>
        </w:rPr>
        <w:t xml:space="preserve">Três entidades e seus identificadores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Pessoa — identificador: id_pessoa (ou matrícula/CPF)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Equipamento — identificador: id_equipamento (ou número de patrimônio)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Empréstimo — identificador: id_emprestimo</w:t>
      </w:r>
    </w:p>
    <w:p>
      <w:pPr>
        <w:spacing w:after="40" w:before="120"/>
      </w:pPr>
      <w:r>
        <w:rPr>
          <w:b/>
          <w:bCs/>
          <w:color w:val="1F3864"/>
          <w:sz w:val="21"/>
          <w:szCs w:val="21"/>
        </w:rPr>
        <w:t xml:space="preserve">Dois relacionamentos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Um Empréstimo referencia exatamente uma Pessoa (quem retirou o item).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Um Empréstimo referencia exatamente um Equipamento (qual item foi retirado).</w:t>
      </w:r>
    </w:p>
    <w:p>
      <w:pPr>
        <w:spacing w:after="40" w:before="120"/>
      </w:pPr>
      <w:r>
        <w:rPr>
          <w:b/>
          <w:bCs/>
          <w:color w:val="1F3864"/>
          <w:sz w:val="21"/>
          <w:szCs w:val="21"/>
        </w:rPr>
        <w:t xml:space="preserve">Regra de integridade</w:t>
      </w:r>
    </w:p>
    <w:p>
      <w:pPr>
        <w:spacing w:after="80"/>
      </w:pPr>
      <w:r>
        <w:rPr>
          <w:sz w:val="21"/>
          <w:szCs w:val="21"/>
        </w:rPr>
        <w:t xml:space="preserve">Um equipamento só pode ter um empréstimo em aberto (sem data de devolução) por vez — ou seja, não é permitido criar um novo empréstimo para um equipamento cujo status já seja "emprestado".</w:t>
      </w:r>
    </w:p>
    <w:p>
      <w:pPr>
        <w:pBdr>
          <w:bottom w:val="single" w:color="BFBFBF" w:sz="4" w:space="1"/>
        </w:pBdr>
        <w:spacing w:after="200" w:before="200"/>
      </w:pP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30"/>
          <w:szCs w:val="30"/>
        </w:rPr>
        <w:t xml:space="preserve">Exercício • Nível 7 — Raciocínio técnico</w:t>
      </w:r>
    </w:p>
    <w:p>
      <w:pPr>
        <w:spacing w:after="80"/>
      </w:pPr>
      <w:r>
        <w:rPr>
          <w:i/>
          <w:iCs/>
          <w:color w:val="595959"/>
          <w:sz w:val="21"/>
          <w:szCs w:val="21"/>
        </w:rPr>
        <w:t xml:space="preserve">Um usuário executa SHOW TABLES no Workbench.</w:t>
      </w:r>
    </w:p>
    <w:p>
      <w:pPr>
        <w:spacing w:after="40" w:before="120"/>
      </w:pPr>
      <w:r>
        <w:rPr>
          <w:b/>
          <w:bCs/>
          <w:color w:val="1F3864"/>
          <w:sz w:val="21"/>
          <w:szCs w:val="21"/>
        </w:rPr>
        <w:t xml:space="preserve">Ordem do fluxo</w:t>
      </w:r>
    </w:p>
    <w:p>
      <w:pPr>
        <w:spacing w:after="80"/>
      </w:pPr>
      <w:r>
        <w:rPr>
          <w:sz w:val="21"/>
          <w:szCs w:val="21"/>
        </w:rPr>
        <w:t xml:space="preserve">Workbench → Conexão → Servidor → InnoDB → Resultado</w:t>
      </w:r>
    </w:p>
    <w:p>
      <w:pPr>
        <w:spacing w:after="40" w:before="120"/>
      </w:pPr>
      <w:r>
        <w:rPr>
          <w:b/>
          <w:bCs/>
          <w:color w:val="1F3864"/>
          <w:sz w:val="21"/>
          <w:szCs w:val="21"/>
        </w:rPr>
        <w:t xml:space="preserve">Responsabilidade do servidor</w:t>
      </w:r>
    </w:p>
    <w:p>
      <w:pPr>
        <w:spacing w:after="80"/>
      </w:pPr>
      <w:r>
        <w:rPr>
          <w:sz w:val="21"/>
          <w:szCs w:val="21"/>
        </w:rPr>
        <w:t xml:space="preserve">O MySQL Server recebe o comando enviado pela conexão, interpreta a instrução SQL, verifica as permissões do usuário autenticado, define o plano de execução e aciona o mecanismo de armazenamento (InnoDB) para obter a lista de tabelas antes de devolver o resultado ao cliente.</w:t>
      </w:r>
    </w:p>
    <w:p>
      <w:pPr>
        <w:spacing w:after="40" w:before="120"/>
      </w:pPr>
      <w:r>
        <w:rPr>
          <w:b/>
          <w:bCs/>
          <w:color w:val="1F3864"/>
          <w:sz w:val="21"/>
          <w:szCs w:val="21"/>
        </w:rPr>
        <w:t xml:space="preserve">Por que um usuário pode ver menos tabelas que outro</w:t>
      </w:r>
    </w:p>
    <w:p>
      <w:pPr>
        <w:spacing w:after="80"/>
      </w:pPr>
      <w:r>
        <w:rPr>
          <w:sz w:val="21"/>
          <w:szCs w:val="21"/>
        </w:rPr>
        <w:t xml:space="preserve">Porque o SGBD aplica controle de acesso: cada usuário tem privilégios próprios sobre bases e tabelas, definidos pelo DBA. SHOW TABLES retorna apenas os objetos aos quais o usuário autenticado tem permissão de visualização — usuários com privilégios mais restritos enxergam um subconjunto menor.</w:t>
      </w:r>
    </w:p>
    <w:p>
      <w:pPr>
        <w:pBdr>
          <w:bottom w:val="single" w:color="BFBFBF" w:sz="4" w:space="1"/>
        </w:pBdr>
        <w:spacing w:after="200" w:before="200"/>
      </w:pP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30"/>
          <w:szCs w:val="30"/>
        </w:rPr>
        <w:t xml:space="preserve">Exercício • Nível 8 — Avaliação</w:t>
      </w:r>
    </w:p>
    <w:p>
      <w:pPr>
        <w:spacing w:after="80"/>
      </w:pPr>
      <w:r>
        <w:rPr>
          <w:i/>
          <w:iCs/>
          <w:color w:val="595959"/>
          <w:sz w:val="21"/>
          <w:szCs w:val="21"/>
        </w:rPr>
        <w:t xml:space="preserve">Uma equipe pede acesso irrestrito à base de clientes para criar um relatório.</w:t>
      </w:r>
    </w:p>
    <w:p>
      <w:pPr>
        <w:spacing w:after="40" w:before="120"/>
      </w:pPr>
      <w:r>
        <w:rPr>
          <w:b/>
          <w:bCs/>
          <w:color w:val="1F3864"/>
          <w:sz w:val="21"/>
          <w:szCs w:val="21"/>
        </w:rPr>
        <w:t xml:space="preserve">Três perguntas antes de liberar o acesso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Qual é a finalidade exata do relatório e quais campos ele realmente utiliza?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Há dados sensíveis ou de identificação pessoal nas tabelas solicitadas?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 acesso precisa ser permanente ou pode ser concedido por um período determinado?</w:t>
      </w:r>
    </w:p>
    <w:p>
      <w:pPr>
        <w:spacing w:after="40" w:before="120"/>
      </w:pPr>
      <w:r>
        <w:rPr>
          <w:b/>
          <w:bCs/>
          <w:color w:val="1F3864"/>
          <w:sz w:val="21"/>
          <w:szCs w:val="21"/>
        </w:rPr>
        <w:t xml:space="preserve">Alternativa de menor privilégio</w:t>
      </w:r>
    </w:p>
    <w:p>
      <w:pPr>
        <w:spacing w:after="80"/>
      </w:pPr>
      <w:r>
        <w:rPr>
          <w:sz w:val="21"/>
          <w:szCs w:val="21"/>
        </w:rPr>
        <w:t xml:space="preserve">Criar uma view (visão) somente leitura contendo apenas os campos agregados ou não sensíveis necessários ao relatório, e conceder à equipe permissão de SELECT apenas sobre essa view — em vez de acesso irrestrito às tabelas originais.</w:t>
      </w:r>
    </w:p>
    <w:p>
      <w:pPr>
        <w:spacing w:after="40" w:before="120"/>
      </w:pPr>
      <w:r>
        <w:rPr>
          <w:b/>
          <w:bCs/>
          <w:color w:val="1F3864"/>
          <w:sz w:val="21"/>
          <w:szCs w:val="21"/>
        </w:rPr>
        <w:t xml:space="preserve">Como preservar utilidade e privacidade</w:t>
      </w:r>
    </w:p>
    <w:p>
      <w:pPr>
        <w:spacing w:after="80"/>
      </w:pPr>
      <w:r>
        <w:rPr>
          <w:sz w:val="21"/>
          <w:szCs w:val="21"/>
        </w:rPr>
        <w:t xml:space="preserve">Aplicar minimização (expor só o necessário), mascarar ou remover identificadores diretos quando possível, registrar quem acessa a view (rastreabilidade) e revisar periodicamente se o acesso concedido continua sendo necessário.</w:t>
      </w:r>
    </w:p>
    <w:p>
      <w:pPr>
        <w:pBdr>
          <w:bottom w:val="single" w:color="BFBFBF" w:sz="4" w:space="1"/>
        </w:pBdr>
        <w:spacing w:after="200" w:before="200"/>
      </w:pP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30"/>
          <w:szCs w:val="30"/>
        </w:rPr>
        <w:t xml:space="preserve">Exercício • Desafio final</w:t>
      </w:r>
    </w:p>
    <w:p>
      <w:pPr>
        <w:spacing w:after="80"/>
      </w:pPr>
      <w:r>
        <w:rPr>
          <w:i/>
          <w:iCs/>
          <w:color w:val="595959"/>
          <w:sz w:val="21"/>
          <w:szCs w:val="21"/>
        </w:rPr>
        <w:t xml:space="preserve">Uma clínica controla pacientes, consultas e pagamentos em arquivos separados.</w:t>
      </w:r>
    </w:p>
    <w:p>
      <w:pPr>
        <w:spacing w:after="40" w:before="120"/>
      </w:pPr>
      <w:r>
        <w:rPr>
          <w:b/>
          <w:bCs/>
          <w:color w:val="1F3864"/>
          <w:sz w:val="21"/>
          <w:szCs w:val="21"/>
        </w:rPr>
        <w:t xml:space="preserve">Quatro riscos diagnosticados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Redundância: dados do paciente (nome, contato) repetidos em arquivos de consultas e de pagamentos.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Inconsistência: um pagamento pode ficar associado a uma consulta cancelada em outro arquivo, sem sincronização.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Concorrência frágil: duas pessoas da recepção podem alterar o mesmo arquivo ao mesmo tempo e sobrescrever informações.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Segurança dispersa: dados sensíveis de saúde ficam protegidos apenas por permissões de pasta, sem controle granular nem trilha de auditoria.</w:t>
      </w:r>
    </w:p>
    <w:p>
      <w:pPr>
        <w:spacing w:after="40" w:before="120"/>
      </w:pPr>
      <w:r>
        <w:rPr>
          <w:b/>
          <w:bCs/>
          <w:color w:val="1F3864"/>
          <w:sz w:val="21"/>
          <w:szCs w:val="21"/>
        </w:rPr>
        <w:t xml:space="preserve">Como um SGBD reduz cada risco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Redundância → um cadastro único de paciente referenciado por chave estrangeira em consultas e pagamentos.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Inconsistência → restrições de integridade referencial garantem que só existam pagamentos ligados a consultas válidas.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Concorrência → controle transacional (commit/rollback) e bloqueios evitam sobrescritas simultâneas.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Segurança dispersa → privilégios definidos por usuário/perfil dentro do próprio SGBD, com autenticação e registro de acesso.</w:t>
      </w:r>
    </w:p>
    <w:p>
      <w:pPr>
        <w:spacing w:after="40" w:before="120"/>
      </w:pPr>
      <w:r>
        <w:rPr>
          <w:b/>
          <w:bCs/>
          <w:color w:val="1F3864"/>
          <w:sz w:val="21"/>
          <w:szCs w:val="21"/>
        </w:rPr>
        <w:t xml:space="preserve">Entidades e relacionamentos iniciais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Paciente — identificado por id_paciente.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Consulta — referencia um Paciente e possui id_consulta.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Pagamento — referencia uma Consulta (ou o Paciente) e possui id_pagamento.</w:t>
      </w:r>
    </w:p>
    <w:p>
      <w:pPr>
        <w:spacing w:after="40" w:before="120"/>
      </w:pPr>
      <w:r>
        <w:rPr>
          <w:b/>
          <w:bCs/>
          <w:color w:val="1F3864"/>
          <w:sz w:val="21"/>
          <w:szCs w:val="21"/>
        </w:rPr>
        <w:t xml:space="preserve">Dois controles de segurança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Autenticação individual e privilégios mínimos por função (recepção só edita agendamento; financeiro só acessa pagamentos).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Criptografia/mascaramento de dados sensíveis de saúde e registro (log) de quem acessou ou alterou cada prontuário.</w:t>
      </w:r>
    </w:p>
    <w:p>
      <w:pPr>
        <w:spacing w:after="40" w:before="120"/>
      </w:pPr>
      <w:r>
        <w:rPr>
          <w:b/>
          <w:bCs/>
          <w:color w:val="1F3864"/>
          <w:sz w:val="21"/>
          <w:szCs w:val="21"/>
        </w:rPr>
        <w:t xml:space="preserve">Limitação que o SGBD não resolve sozinho</w:t>
      </w:r>
    </w:p>
    <w:p>
      <w:pPr>
        <w:spacing w:after="80"/>
      </w:pPr>
      <w:r>
        <w:rPr>
          <w:sz w:val="21"/>
          <w:szCs w:val="21"/>
        </w:rPr>
        <w:t xml:space="preserve">O SGBD garante consistência técnica e controle de acesso, mas não garante, por si só, que a equipe siga boas práticas de uso (ex.: compartilhar senhas, coletar dados além do necessário, ou definir mal as regras de negócio). Governança, treinamento e políticas de privacidade continuam sendo responsabilidade das pessoas, não da tecnologia.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2026-08-18T22:05:42.904Z</dcterms:created>
  <dcterms:modified xsi:type="dcterms:W3CDTF">2026-08-18T22:05:42.916Z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