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yle21"/>
        <w:rPr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  <w:lang w:val="ru-RU"/>
        </w:rPr>
        <w:t xml:space="preserve">Пример </w:t>
      </w:r>
      <w:r>
        <w:rPr>
          <w:rFonts w:eastAsia="Times New Roman" w:cs="Times New Roman" w:ascii="Times New Roman" w:hAnsi="Times New Roman"/>
          <w:sz w:val="32"/>
          <w:szCs w:val="32"/>
          <w:lang w:val="ru-RU"/>
        </w:rPr>
        <w:t>этапов бизнес-плана</w:t>
      </w:r>
    </w:p>
    <w:tbl>
      <w:tblPr>
        <w:tblW w:w="9565" w:type="dxa"/>
        <w:jc w:val="left"/>
        <w:tblInd w:w="108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1" w:noVBand="1" w:lastRow="0" w:firstColumn="1" w:lastColumn="0" w:noHBand="0" w:val="04a0"/>
      </w:tblPr>
      <w:tblGrid>
        <w:gridCol w:w="2739"/>
        <w:gridCol w:w="1247"/>
        <w:gridCol w:w="1361"/>
        <w:gridCol w:w="1135"/>
        <w:gridCol w:w="384"/>
        <w:gridCol w:w="388"/>
        <w:gridCol w:w="383"/>
        <w:gridCol w:w="388"/>
        <w:gridCol w:w="383"/>
        <w:gridCol w:w="387"/>
        <w:gridCol w:w="383"/>
        <w:gridCol w:w="386"/>
      </w:tblGrid>
      <w:tr>
        <w:trPr>
          <w:tblHeader w:val="true"/>
          <w:trHeight w:val="284" w:hRule="atLeast"/>
        </w:trPr>
        <w:tc>
          <w:tcPr>
            <w:tcW w:w="273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Этап</w:t>
            </w:r>
          </w:p>
        </w:tc>
        <w:tc>
          <w:tcPr>
            <w:tcW w:w="124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Срок, дней</w:t>
            </w:r>
          </w:p>
        </w:tc>
        <w:tc>
          <w:tcPr>
            <w:tcW w:w="24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Исполнитель</w:t>
            </w:r>
          </w:p>
        </w:tc>
        <w:tc>
          <w:tcPr>
            <w:tcW w:w="308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Недели</w:t>
            </w:r>
          </w:p>
        </w:tc>
      </w:tr>
      <w:tr>
        <w:trPr>
          <w:tblHeader w:val="true"/>
          <w:trHeight w:val="794" w:hRule="atLeast"/>
        </w:trPr>
        <w:tc>
          <w:tcPr>
            <w:tcW w:w="273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247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Отдел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Имя сотрудника</w:t>
            </w:r>
          </w:p>
        </w:tc>
        <w:tc>
          <w:tcPr>
            <w:tcW w:w="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</w:t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</w:t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6</w:t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7</w:t>
            </w:r>
          </w:p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8</w:t>
            </w:r>
          </w:p>
        </w:tc>
      </w:tr>
      <w:tr>
        <w:trPr>
          <w:trHeight w:val="794" w:hRule="atLeast"/>
        </w:trPr>
        <w:tc>
          <w:tcPr>
            <w:tcW w:w="2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Постановка цели (идея бизнес-проекта)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Совет директоров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794" w:hRule="atLeast"/>
        </w:trPr>
        <w:tc>
          <w:tcPr>
            <w:tcW w:w="2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Маркетинговые исследования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20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Отдел маркетинга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794" w:hRule="atLeast"/>
        </w:trPr>
        <w:tc>
          <w:tcPr>
            <w:tcW w:w="2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Анализ внешней среды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10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Отдел маркетинга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794" w:hRule="atLeast"/>
        </w:trPr>
        <w:tc>
          <w:tcPr>
            <w:tcW w:w="2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Внутренний аудит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10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Отдел маркетинга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794" w:hRule="atLeast"/>
        </w:trPr>
        <w:tc>
          <w:tcPr>
            <w:tcW w:w="2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SWOT-анализ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Отдел маркетинга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794" w:hRule="atLeast"/>
        </w:trPr>
        <w:tc>
          <w:tcPr>
            <w:tcW w:w="2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Разработка маркетинговых стратегии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Отдел маркетинга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1314" w:hRule="atLeast"/>
        </w:trPr>
        <w:tc>
          <w:tcPr>
            <w:tcW w:w="2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Производственный план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10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Отдел производственного планирования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794" w:hRule="atLeast"/>
        </w:trPr>
        <w:tc>
          <w:tcPr>
            <w:tcW w:w="2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Финансовый план, расчет</w:t>
            </w:r>
          </w:p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эффективности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10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Финансовый отдел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1054" w:hRule="atLeast"/>
        </w:trPr>
        <w:tc>
          <w:tcPr>
            <w:tcW w:w="2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Разработка организационной структуры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10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Совет директоров, отдел кадров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794" w:hRule="atLeast"/>
        </w:trPr>
        <w:tc>
          <w:tcPr>
            <w:tcW w:w="2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Компоновка бизнес-плана</w:t>
            </w:r>
          </w:p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и приложений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10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Отдел маркетинга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794" w:hRule="atLeast"/>
        </w:trPr>
        <w:tc>
          <w:tcPr>
            <w:tcW w:w="2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Экспертиза бизнес-плана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7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Отдел экспертизы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094" w:hRule="atLeast"/>
        </w:trPr>
        <w:tc>
          <w:tcPr>
            <w:tcW w:w="2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Оформление и утверждение бизнес-плана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10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Совет директоров, финансовый отдел, отдел маркетинга</w:t>
            </w:r>
          </w:p>
        </w:tc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  <w:tc>
          <w:tcPr>
            <w:tcW w:w="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2F2F2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+</w:t>
            </w:r>
          </w:p>
        </w:tc>
      </w:tr>
    </w:tbl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1"/>
        <w:rPr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  <w:lang w:val="ru-RU"/>
        </w:rPr>
        <w:t xml:space="preserve">Маркетинговые стратегии компании: </w:t>
      </w:r>
    </w:p>
    <w:tbl>
      <w:tblPr>
        <w:tblW w:w="9617" w:type="dxa"/>
        <w:jc w:val="left"/>
        <w:tblInd w:w="108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1" w:noVBand="1" w:lastRow="0" w:firstColumn="1" w:lastColumn="0" w:noHBand="0" w:val="04a0"/>
      </w:tblPr>
      <w:tblGrid>
        <w:gridCol w:w="2404"/>
        <w:gridCol w:w="2404"/>
        <w:gridCol w:w="2404"/>
        <w:gridCol w:w="2404"/>
      </w:tblGrid>
      <w:tr>
        <w:trPr>
          <w:tblHeader w:val="true"/>
          <w:trHeight w:val="534" w:hRule="atLeast"/>
        </w:trPr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Стратегия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Обоснование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Требуемые действия / ресурсы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Возможная проблема</w:t>
            </w:r>
          </w:p>
        </w:tc>
      </w:tr>
      <w:tr>
        <w:trPr>
          <w:trHeight w:val="1314" w:hRule="atLeast"/>
        </w:trPr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По отношению к рынку:</w:t>
            </w:r>
          </w:p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стратегия быстрого выхода на рынок Санкт-Петербурга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Существует хорошая динамика роста рынка строительства жилья в Санкт-Петербурге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Необходимость значительных инвестиций в «раскрутку» фирмы</w:t>
            </w:r>
          </w:p>
        </w:tc>
      </w:tr>
      <w:tr>
        <w:trPr>
          <w:trHeight w:val="2354" w:hRule="atLeast"/>
        </w:trPr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Конкурентная стратегия:</w:t>
            </w:r>
          </w:p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достижение преимущества за счет соотношения цены и качества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Лучшее удовлетворение потребностей строительных компаний и населения в недорогих и качественных столярных изделиях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Необходимость дополнительных расходов на расширение ассортимента, организацию сервиса и контроль качества</w:t>
            </w:r>
          </w:p>
        </w:tc>
      </w:tr>
      <w:tr>
        <w:trPr>
          <w:trHeight w:val="794" w:hRule="atLeast"/>
        </w:trPr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Товарная стратегия: преимущественно стандартные изделия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Требования рынка массового жилья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Поиск поставшиков недорогой «столярки»</w:t>
            </w:r>
          </w:p>
        </w:tc>
      </w:tr>
      <w:tr>
        <w:trPr>
          <w:trHeight w:val="1574" w:hRule="atLeast"/>
        </w:trPr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Ценовая стратегия:</w:t>
            </w:r>
          </w:p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доступная цена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Позволит расширить рынок сбыта, достичь стабильности за счет увеличения объемов реализации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Снижение дохода на вложенный капи-тал.</w:t>
            </w:r>
          </w:p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Себестоимость изделий должна быть невысокой</w:t>
            </w:r>
          </w:p>
        </w:tc>
      </w:tr>
      <w:tr>
        <w:trPr>
          <w:trHeight w:val="3394" w:hRule="atLeast"/>
        </w:trPr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Стратегия дистрибьюции:</w:t>
            </w:r>
          </w:p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• </w:t>
            </w:r>
            <w:r>
              <w:rPr>
                <w:rFonts w:eastAsia="Times New Roman" w:cs="Times New Roman" w:ascii="Times New Roman" w:hAnsi="Times New Roman"/>
              </w:rPr>
              <w:t>прямой канал продаж на рынке строительства жилья;</w:t>
            </w:r>
          </w:p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• </w:t>
            </w:r>
            <w:r>
              <w:rPr>
                <w:rFonts w:eastAsia="Times New Roman" w:cs="Times New Roman" w:ascii="Times New Roman" w:hAnsi="Times New Roman"/>
              </w:rPr>
              <w:t>реализация через розницу для населения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Поставки строительным фирмам позволят наладить с ними долговременные отношения.</w:t>
            </w:r>
          </w:p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Реализация изделий через предприятия розничной торговли будет способствовать увеличичению объемов продаж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Возможно противодействиие со стороны конкурентов</w:t>
            </w:r>
          </w:p>
        </w:tc>
      </w:tr>
      <w:tr>
        <w:trPr>
          <w:trHeight w:val="3134" w:hRule="atLeast"/>
        </w:trPr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lang w:val="ru-RU"/>
              </w:rPr>
              <w:t>Коммуникативные стратегии</w:t>
            </w:r>
            <w:r>
              <w:rPr>
                <w:rFonts w:eastAsia="Times New Roman" w:cs="Times New Roman" w:ascii="Times New Roman" w:hAnsi="Times New Roman"/>
              </w:rPr>
              <w:t>:</w:t>
            </w:r>
          </w:p>
          <w:p>
            <w:pPr>
              <w:pStyle w:val="Style20"/>
              <w:widowControl w:val="false"/>
              <w:numPr>
                <w:ilvl w:val="0"/>
                <w:numId w:val="1"/>
              </w:numPr>
              <w:ind w:left="340" w:right="0" w:hanging="3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﻿﻿</w:t>
            </w:r>
            <w:r>
              <w:rPr>
                <w:rFonts w:eastAsia="Times New Roman" w:cs="Times New Roman" w:ascii="Times New Roman" w:hAnsi="Times New Roman"/>
                <w:lang w:val="ru-RU"/>
              </w:rPr>
              <w:t>личные продажи</w:t>
            </w:r>
          </w:p>
          <w:p>
            <w:pPr>
              <w:pStyle w:val="Style20"/>
              <w:widowControl w:val="false"/>
              <w:numPr>
                <w:ilvl w:val="0"/>
                <w:numId w:val="1"/>
              </w:numPr>
              <w:ind w:left="340" w:right="0" w:hanging="3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﻿﻿</w:t>
            </w:r>
            <w:r>
              <w:rPr>
                <w:rFonts w:eastAsia="Times New Roman" w:cs="Times New Roman" w:ascii="Times New Roman" w:hAnsi="Times New Roman"/>
              </w:rPr>
              <w:t>реклама на конечного потребителя</w:t>
            </w:r>
          </w:p>
          <w:p>
            <w:pPr>
              <w:pStyle w:val="Style20"/>
              <w:widowControl w:val="false"/>
              <w:numPr>
                <w:ilvl w:val="0"/>
                <w:numId w:val="1"/>
              </w:numPr>
              <w:ind w:left="340" w:right="0" w:hanging="34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﻿﻿</w:t>
            </w:r>
            <w:r>
              <w:rPr>
                <w:rFonts w:eastAsia="Times New Roman" w:cs="Times New Roman" w:ascii="Times New Roman" w:hAnsi="Times New Roman"/>
                <w:lang w:val="ru-RU"/>
              </w:rPr>
              <w:t>ценовое стимулирование строительных компаний и розничной торговли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Необходимы информационная реклама о новой компании, стимулирование потребителей и строительных компаний к сотрудничеству на основе индивидуального подхода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Необходимость значительных ресурсов на продвижение</w:t>
            </w:r>
          </w:p>
        </w:tc>
      </w:tr>
    </w:tbl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1"/>
        <w:rPr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  <w:lang w:val="ru-RU"/>
        </w:rPr>
        <w:t>Пример оценки привлекательности рынков сбыта:</w:t>
      </w:r>
    </w:p>
    <w:tbl>
      <w:tblPr>
        <w:tblW w:w="9617" w:type="dxa"/>
        <w:jc w:val="left"/>
        <w:tblInd w:w="108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1" w:noVBand="1" w:lastRow="0" w:firstColumn="1" w:lastColumn="0" w:noHBand="0" w:val="04a0"/>
      </w:tblPr>
      <w:tblGrid>
        <w:gridCol w:w="1029"/>
        <w:gridCol w:w="2176"/>
        <w:gridCol w:w="1603"/>
        <w:gridCol w:w="1603"/>
        <w:gridCol w:w="1602"/>
        <w:gridCol w:w="1603"/>
      </w:tblGrid>
      <w:tr>
        <w:trPr>
          <w:tblHeader w:val="true"/>
          <w:trHeight w:val="284" w:hRule="atLeast"/>
        </w:trPr>
        <w:tc>
          <w:tcPr>
            <w:tcW w:w="102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№</w:t>
            </w:r>
          </w:p>
        </w:tc>
        <w:tc>
          <w:tcPr>
            <w:tcW w:w="217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Критерий</w:t>
            </w: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Важность критерия, %</w:t>
            </w:r>
          </w:p>
        </w:tc>
        <w:tc>
          <w:tcPr>
            <w:tcW w:w="480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Оценка по пятибалльной шкале</w:t>
            </w:r>
          </w:p>
        </w:tc>
      </w:tr>
      <w:tr>
        <w:trPr>
          <w:tblHeader w:val="true"/>
          <w:trHeight w:val="284" w:hRule="atLeast"/>
        </w:trPr>
        <w:tc>
          <w:tcPr>
            <w:tcW w:w="102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17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Рынок 1</w:t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Рынок 2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Рынок 3</w:t>
            </w:r>
          </w:p>
        </w:tc>
      </w:tr>
      <w:tr>
        <w:trPr>
          <w:trHeight w:val="284" w:hRule="atLeast"/>
        </w:trPr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</w:t>
            </w:r>
          </w:p>
        </w:tc>
        <w:tc>
          <w:tcPr>
            <w:tcW w:w="2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Емкость рынка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84" w:hRule="atLeast"/>
        </w:trPr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</w:t>
            </w:r>
          </w:p>
        </w:tc>
        <w:tc>
          <w:tcPr>
            <w:tcW w:w="2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Темп роста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534" w:hRule="atLeast"/>
        </w:trPr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2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Потенциальная емкость рынка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534" w:hRule="atLeast"/>
        </w:trPr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  <w:tc>
          <w:tcPr>
            <w:tcW w:w="2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Потенциал валовой прибыли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534" w:hRule="atLeast"/>
        </w:trPr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2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Состояние конкуренции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84" w:hRule="atLeast"/>
        </w:trPr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6</w:t>
            </w:r>
          </w:p>
        </w:tc>
        <w:tc>
          <w:tcPr>
            <w:tcW w:w="2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Риски и барьеры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84" w:hRule="atLeast"/>
        </w:trPr>
        <w:tc>
          <w:tcPr>
            <w:tcW w:w="1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Итого</w:t>
            </w:r>
          </w:p>
        </w:tc>
        <w:tc>
          <w:tcPr>
            <w:tcW w:w="21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lang w:val="ru-RU"/>
        </w:rPr>
        <w:t xml:space="preserve">Индекс покупательной способности </w:t>
      </w:r>
      <w:r>
        <w:rPr>
          <w:rFonts w:eastAsia="Times New Roman" w:cs="Times New Roman" w:ascii="Times New Roman" w:hAnsi="Times New Roman"/>
        </w:rPr>
        <w:t>(ИПС):</w:t>
      </w:r>
      <w:r>
        <w:rPr>
          <w:rFonts w:eastAsia="Times New Roman" w:cs="Times New Roman" w:ascii="Times New Roman" w:hAnsi="Times New Roman"/>
          <w:lang w:val="ru-RU"/>
        </w:rPr>
        <w:t xml:space="preserve"> </w:t>
      </w:r>
    </w:p>
    <w:p>
      <w:pPr>
        <w:pStyle w:val="Style21"/>
        <w:rPr>
          <w:rFonts w:ascii="Times New Roman" w:hAnsi="Times New Roman" w:cs="Times New Roman"/>
          <w:color w:val="000000"/>
          <w:sz w:val="22"/>
        </w:rPr>
      </w:pPr>
      <w:r>
        <w:rPr/>
      </w:r>
      <m:oMath xmlns:m="http://schemas.openxmlformats.org/officeDocument/2006/math">
        <m:r>
          <m:rPr>
            <m:lit/>
            <m:nor/>
          </m:rPr>
          <w:rPr>
            <w:rFonts w:ascii="Cambria Math" w:hAnsi="Cambria Math"/>
          </w:rPr>
          <m:t xml:space="preserve">Индекс покупательской способности региона=(0,5</m:t>
        </m:r>
        <m:r>
          <w:rPr>
            <w:rFonts w:ascii="Cambria Math" w:hAnsi="Cambria Math"/>
          </w:rPr>
          <m:t xml:space="preserve">×</m:t>
        </m:r>
        <m:sSub>
          <m:e>
            <m:r>
              <m:rPr>
                <m:lit/>
                <m:nor/>
              </m:rPr>
              <w:rPr>
                <w:rFonts w:ascii="Cambria Math" w:hAnsi="Cambria Math"/>
              </w:rPr>
              <m:t xml:space="preserve">Д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i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)+(0,3</m:t>
        </m:r>
        <m:r>
          <w:rPr>
            <w:rFonts w:ascii="Cambria Math" w:hAnsi="Cambria Math"/>
          </w:rPr>
          <m:t xml:space="preserve">×</m:t>
        </m:r>
        <m:sSub>
          <m:e>
            <m:r>
              <m:rPr>
                <m:lit/>
                <m:nor/>
              </m:rPr>
              <w:rPr>
                <w:rFonts w:ascii="Cambria Math" w:hAnsi="Cambria Math"/>
              </w:rPr>
              <m:t xml:space="preserve">Р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i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)+(0,2</m:t>
        </m:r>
        <m:r>
          <w:rPr>
            <w:rFonts w:ascii="Cambria Math" w:hAnsi="Cambria Math"/>
          </w:rPr>
          <m:t xml:space="preserve">×</m:t>
        </m:r>
        <m:sSub>
          <m:e>
            <m:r>
              <m:rPr>
                <m:lit/>
                <m:nor/>
              </m:rPr>
              <w:rPr>
                <w:rFonts w:ascii="Cambria Math" w:hAnsi="Cambria Math"/>
              </w:rPr>
              <m:t xml:space="preserve">Н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i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)</m:t>
        </m:r>
      </m:oMath>
      <w:r>
        <w:rPr>
          <w:rFonts w:eastAsia="Times New Roman" w:cs="Times New Roman" w:ascii="Times New Roman" w:hAnsi="Times New Roman"/>
          <w:lang w:val="ru-RU"/>
        </w:rPr>
        <w:t xml:space="preserve">, где: </w:t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</w:rPr>
        <w:t>Д</w:t>
      </w:r>
      <w:r>
        <w:rPr>
          <w:rFonts w:eastAsia="Times New Roman" w:cs="Times New Roman" w:ascii="Times New Roman" w:hAnsi="Times New Roman"/>
          <w:vertAlign w:val="subscript"/>
          <w:lang w:val="en-US"/>
        </w:rPr>
        <w:t>i</w:t>
      </w:r>
      <w:r>
        <w:rPr>
          <w:rFonts w:eastAsia="Times New Roman" w:cs="Times New Roman" w:ascii="Times New Roman" w:hAnsi="Times New Roman"/>
        </w:rPr>
        <w:t xml:space="preserve"> </w:t>
      </w:r>
      <w:r>
        <w:rPr>
          <w:rFonts w:eastAsia="Times New Roman" w:cs="Times New Roman" w:ascii="Times New Roman" w:hAnsi="Times New Roman"/>
          <w:lang w:val="ru-RU"/>
        </w:rPr>
        <w:t>- суммарный доход жителей региона в процентах от общенационального</w:t>
      </w:r>
      <w:r>
        <w:rPr>
          <w:rFonts w:eastAsia="Times New Roman" w:cs="Times New Roman" w:ascii="Times New Roman" w:hAnsi="Times New Roman"/>
        </w:rPr>
        <w:t xml:space="preserve">; </w:t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</w:rPr>
        <w:t>Р</w:t>
      </w:r>
      <w:r>
        <w:rPr>
          <w:rFonts w:eastAsia="Times New Roman" w:cs="Times New Roman" w:ascii="Times New Roman" w:hAnsi="Times New Roman"/>
          <w:vertAlign w:val="subscript"/>
          <w:lang w:val="en-US"/>
        </w:rPr>
        <w:t>i</w:t>
      </w:r>
      <w:r>
        <w:rPr>
          <w:rFonts w:eastAsia="Times New Roman" w:cs="Times New Roman" w:ascii="Times New Roman" w:hAnsi="Times New Roman"/>
          <w:lang w:val="ru-RU"/>
        </w:rPr>
        <w:t xml:space="preserve"> - обьем розничных продаж в регионе в процентах от общенационального</w:t>
      </w:r>
      <w:r>
        <w:rPr>
          <w:rFonts w:eastAsia="Times New Roman" w:cs="Times New Roman" w:ascii="Times New Roman" w:hAnsi="Times New Roman"/>
        </w:rPr>
        <w:t xml:space="preserve">; </w:t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</w:rPr>
        <w:t>Н</w:t>
      </w:r>
      <w:r>
        <w:rPr>
          <w:rFonts w:eastAsia="Times New Roman" w:cs="Times New Roman" w:ascii="Times New Roman" w:hAnsi="Times New Roman"/>
          <w:vertAlign w:val="subscript"/>
          <w:lang w:val="en-US"/>
        </w:rPr>
        <w:t>i</w:t>
      </w:r>
      <w:r>
        <w:rPr>
          <w:rFonts w:eastAsia="Times New Roman" w:cs="Times New Roman" w:ascii="Times New Roman" w:hAnsi="Times New Roman"/>
          <w:lang w:val="ru-RU"/>
        </w:rPr>
        <w:t xml:space="preserve"> - общее число жителей региона в процентах от общей численности населения страны</w:t>
      </w:r>
      <w:r>
        <w:rPr>
          <w:rFonts w:eastAsia="Times New Roman" w:cs="Times New Roman" w:ascii="Times New Roman" w:hAnsi="Times New Roman"/>
          <w:lang w:val="en-US"/>
        </w:rPr>
        <w:t xml:space="preserve">. </w:t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3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</w:rPr>
        <w:t>Подраздел «Конкуренция»:</w:t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lang w:val="ru-RU"/>
        </w:rPr>
        <w:t xml:space="preserve">Пример: </w:t>
      </w:r>
    </w:p>
    <w:tbl>
      <w:tblPr>
        <w:tblW w:w="9617" w:type="dxa"/>
        <w:jc w:val="left"/>
        <w:tblInd w:w="108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1" w:noVBand="1" w:lastRow="0" w:firstColumn="1" w:lastColumn="0" w:noHBand="0" w:val="04a0"/>
      </w:tblPr>
      <w:tblGrid>
        <w:gridCol w:w="1602"/>
        <w:gridCol w:w="1603"/>
        <w:gridCol w:w="1603"/>
        <w:gridCol w:w="1603"/>
        <w:gridCol w:w="1602"/>
        <w:gridCol w:w="1603"/>
      </w:tblGrid>
      <w:tr>
        <w:trPr>
          <w:tblHeader w:val="true"/>
          <w:trHeight w:val="284" w:hRule="atLeast"/>
        </w:trPr>
        <w:tc>
          <w:tcPr>
            <w:tcW w:w="160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№</w:t>
            </w: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Ключевой фактор успеха</w:t>
            </w: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Важность</w:t>
            </w: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Фирма</w:t>
            </w:r>
          </w:p>
        </w:tc>
        <w:tc>
          <w:tcPr>
            <w:tcW w:w="320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Конкуренты</w:t>
            </w:r>
          </w:p>
        </w:tc>
      </w:tr>
      <w:tr>
        <w:trPr>
          <w:tblHeader w:val="true"/>
          <w:trHeight w:val="310" w:hRule="atLeast"/>
        </w:trPr>
        <w:tc>
          <w:tcPr>
            <w:tcW w:w="1602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Конкурент 1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Конкурент 2</w:t>
            </w:r>
          </w:p>
        </w:tc>
      </w:tr>
      <w:tr>
        <w:trPr>
          <w:trHeight w:val="284" w:hRule="atLeast"/>
        </w:trPr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Доля рынка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</w:tr>
      <w:tr>
        <w:trPr>
          <w:trHeight w:val="794" w:hRule="atLeast"/>
        </w:trPr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Скорость роста компании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</w:tr>
      <w:tr>
        <w:trPr>
          <w:trHeight w:val="794" w:hRule="atLeast"/>
        </w:trPr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Восприятие торговой марки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</w:tr>
      <w:tr>
        <w:trPr>
          <w:trHeight w:val="794" w:hRule="atLeast"/>
        </w:trPr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Конкурентоспособность товаров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</w:tr>
      <w:tr>
        <w:trPr>
          <w:trHeight w:val="534" w:hRule="atLeast"/>
        </w:trPr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Уровень технологий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</w:tr>
      <w:tr>
        <w:trPr>
          <w:trHeight w:val="794" w:hRule="atLeast"/>
        </w:trPr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6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Эффективная система сбыта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</w:tr>
      <w:tr>
        <w:trPr>
          <w:trHeight w:val="1054" w:hRule="atLeast"/>
        </w:trPr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7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Рентабельность продукции и сбыта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</w:tr>
      <w:tr>
        <w:trPr>
          <w:trHeight w:val="794" w:hRule="atLeast"/>
        </w:trPr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8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Маркетинговая активность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</w:tr>
      <w:tr>
        <w:trPr>
          <w:trHeight w:val="534" w:hRule="atLeast"/>
        </w:trPr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9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Квалификация персонала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</w:tr>
      <w:tr>
        <w:trPr>
          <w:trHeight w:val="534" w:hRule="atLeast"/>
        </w:trPr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10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Доступность ресурсов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</w:tr>
      <w:tr>
        <w:trPr>
          <w:trHeight w:val="794" w:hRule="atLeast"/>
        </w:trPr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11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Эффективность управления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</w:tr>
      <w:tr>
        <w:trPr>
          <w:trHeight w:val="794" w:hRule="atLeast"/>
        </w:trPr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12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Качество обслуживания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</w:tr>
      <w:tr>
        <w:trPr>
          <w:trHeight w:val="284" w:hRule="atLeast"/>
        </w:trPr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24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Итого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24"/>
              <w:widowControl w:val="false"/>
              <w:rPr>
                <w:rFonts w:ascii="Times New Roman" w:hAnsi="Times New Roman" w:cs="Times New Roman"/>
              </w:rPr>
            </w:pPr>
            <w:r>
              <w:rPr/>
              <w:fldChar w:fldCharType="begin"/>
            </w:r>
            <w:r>
              <w:rPr/>
              <w:instrText> = SUM(C3:C14)</w:instrText>
            </w:r>
            <w:r>
              <w:rPr/>
              <w:fldChar w:fldCharType="separate"/>
            </w:r>
            <w:r>
              <w:rPr/>
              <w:t>49</w:t>
            </w:r>
            <w:r>
              <w:rPr/>
              <w:fldChar w:fldCharType="end"/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24"/>
              <w:widowControl w:val="false"/>
              <w:rPr>
                <w:rFonts w:ascii="Times New Roman" w:hAnsi="Times New Roman" w:cs="Times New Roman"/>
              </w:rPr>
            </w:pPr>
            <w:r>
              <w:rPr/>
              <w:fldChar w:fldCharType="begin"/>
            </w:r>
            <w:r>
              <w:rPr/>
              <w:instrText> = ROUND(AVERAGE(D3:D14),2)</w:instrText>
            </w:r>
            <w:r>
              <w:rPr/>
              <w:fldChar w:fldCharType="separate"/>
            </w:r>
            <w:r>
              <w:rPr/>
              <w:t>4,33</w:t>
            </w:r>
            <w:r>
              <w:rPr/>
              <w:fldChar w:fldCharType="end"/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24"/>
              <w:widowControl w:val="false"/>
              <w:rPr>
                <w:rFonts w:ascii="Times New Roman" w:hAnsi="Times New Roman" w:cs="Times New Roman"/>
              </w:rPr>
            </w:pPr>
            <w:r>
              <w:rPr/>
              <w:fldChar w:fldCharType="begin"/>
            </w:r>
            <w:r>
              <w:rPr/>
              <w:instrText> = ROUND(AVERAGE(E3:E14),2)</w:instrText>
            </w:r>
            <w:r>
              <w:rPr/>
              <w:fldChar w:fldCharType="separate"/>
            </w:r>
            <w:r>
              <w:rPr/>
              <w:t>4,25</w:t>
            </w:r>
            <w:r>
              <w:rPr/>
              <w:fldChar w:fldCharType="end"/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24"/>
              <w:widowControl w:val="false"/>
              <w:rPr>
                <w:rFonts w:ascii="Times New Roman" w:hAnsi="Times New Roman" w:cs="Times New Roman"/>
              </w:rPr>
            </w:pPr>
            <w:r>
              <w:rPr/>
              <w:fldChar w:fldCharType="begin"/>
            </w:r>
            <w:r>
              <w:rPr/>
              <w:instrText> = ROUND(AVERAGE(F3,F4,F5,F6,F7,F8,F9,F10,F11,F12,F13,F14),2)</w:instrText>
            </w:r>
            <w:r>
              <w:rPr/>
              <w:fldChar w:fldCharType="separate"/>
            </w:r>
            <w:r>
              <w:rPr/>
              <w:t>** Ошибочное выражение **</w:t>
            </w:r>
            <w:r>
              <w:rPr/>
              <w:fldChar w:fldCharType="end"/>
            </w:r>
          </w:p>
        </w:tc>
      </w:tr>
    </w:tbl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lang w:val="ru-RU"/>
        </w:rPr>
        <w:t>Расчётная формула оценки конкурентоспособности компании (</w:t>
      </w:r>
      <w:r>
        <w:rPr>
          <w:rFonts w:eastAsia="Times New Roman" w:cs="Times New Roman" w:ascii="Times New Roman" w:hAnsi="Times New Roman"/>
          <w:lang w:val="en-US"/>
        </w:rPr>
        <w:t>j)</w:t>
      </w:r>
      <w:r>
        <w:rPr>
          <w:rFonts w:eastAsia="Times New Roman" w:cs="Times New Roman" w:ascii="Times New Roman" w:hAnsi="Times New Roman"/>
          <w:lang w:val="ru-RU"/>
        </w:rPr>
        <w:t xml:space="preserve">: </w:t>
      </w:r>
    </w:p>
    <w:p>
      <w:pPr>
        <w:pStyle w:val="Style21"/>
        <w:rPr>
          <w:rFonts w:ascii="Times New Roman" w:hAnsi="Times New Roman" w:cs="Times New Roman"/>
          <w:color w:val="000000"/>
          <w:sz w:val="22"/>
        </w:rPr>
      </w:pPr>
      <w:r>
        <w:rPr/>
      </w:r>
      <m:oMath xmlns:m="http://schemas.openxmlformats.org/officeDocument/2006/math">
        <m:sSub>
          <m:e>
            <m:r>
              <m:rPr>
                <m:lit/>
                <m:nor/>
              </m:rPr>
              <w:rPr>
                <w:rFonts w:ascii="Cambria Math" w:hAnsi="Cambria Math"/>
              </w:rPr>
              <m:t xml:space="preserve">S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j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∑</m:t>
            </m:r>
            <m:sSub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W</m:t>
                </m:r>
              </m:e>
              <m: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i</m:t>
                </m:r>
              </m:sub>
            </m:sSub>
            <m:r>
              <w:rPr>
                <w:rFonts w:ascii="Cambria Math" w:hAnsi="Cambria Math"/>
              </w:rPr>
              <m:t xml:space="preserve">×</m:t>
            </m:r>
            <m:sSub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B</m:t>
                </m:r>
              </m:e>
              <m: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ij</m:t>
                </m:r>
              </m:sub>
            </m:sSub>
          </m:num>
          <m:den>
            <m:r>
              <w:rPr>
                <w:rFonts w:ascii="Cambria Math" w:hAnsi="Cambria Math"/>
              </w:rPr>
              <m:t xml:space="preserve">∑</m:t>
            </m:r>
            <m:sSub>
              <m:e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W</m:t>
                </m:r>
              </m:e>
              <m:sub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i</m:t>
                </m:r>
              </m:sub>
            </m:sSub>
          </m:den>
        </m:f>
      </m:oMath>
      <w:r>
        <w:rPr>
          <w:rFonts w:eastAsia="Times New Roman" w:cs="Times New Roman" w:ascii="Times New Roman" w:hAnsi="Times New Roman"/>
          <w:lang w:val="en-US"/>
        </w:rPr>
        <w:t>,</w:t>
      </w:r>
      <w:r>
        <w:rPr>
          <w:rFonts w:eastAsia="Times New Roman" w:cs="Times New Roman" w:ascii="Times New Roman" w:hAnsi="Times New Roman"/>
          <w:lang w:val="ru-RU"/>
        </w:rPr>
        <w:t xml:space="preserve"> где: </w:t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lang w:val="en-US"/>
        </w:rPr>
        <w:t>B</w:t>
      </w:r>
      <w:r>
        <w:rPr>
          <w:rFonts w:eastAsia="Times New Roman" w:cs="Times New Roman" w:ascii="Times New Roman" w:hAnsi="Times New Roman"/>
          <w:vertAlign w:val="subscript"/>
          <w:lang w:val="en-US"/>
        </w:rPr>
        <w:t>ij</w:t>
      </w:r>
      <w:r>
        <w:rPr>
          <w:rFonts w:eastAsia="Times New Roman" w:cs="Times New Roman" w:ascii="Times New Roman" w:hAnsi="Times New Roman"/>
          <w:lang w:val="en-US"/>
        </w:rPr>
        <w:t xml:space="preserve"> – </w:t>
      </w:r>
      <w:r>
        <w:rPr>
          <w:rFonts w:eastAsia="Times New Roman" w:cs="Times New Roman" w:ascii="Times New Roman" w:hAnsi="Times New Roman"/>
          <w:lang w:val="ru-RU"/>
        </w:rPr>
        <w:t xml:space="preserve">значение экспертной оценки </w:t>
      </w:r>
      <w:r>
        <w:rPr>
          <w:rFonts w:eastAsia="Times New Roman" w:cs="Times New Roman" w:ascii="Times New Roman" w:hAnsi="Times New Roman"/>
          <w:lang w:val="en-US"/>
        </w:rPr>
        <w:t>i-</w:t>
      </w:r>
      <w:r>
        <w:rPr>
          <w:rFonts w:eastAsia="Times New Roman" w:cs="Times New Roman" w:ascii="Times New Roman" w:hAnsi="Times New Roman"/>
          <w:lang w:val="ru-RU"/>
        </w:rPr>
        <w:t xml:space="preserve">ключевого фактора успеха от 0 до 5 баллов. </w:t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1"/>
        <w:rPr>
          <w:rFonts w:ascii="Times New Roman" w:hAnsi="Times New Roman" w:cs="Times New Roman"/>
        </w:rPr>
      </w:pPr>
      <w:r>
        <w:rPr/>
      </w:r>
    </w:p>
    <w:p>
      <w:pPr>
        <w:pStyle w:val="Style23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</w:rPr>
        <w:t>Подраздел «Ценовая политика»:</w:t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lang w:val="ru-RU"/>
        </w:rPr>
        <w:t>Зоны благоприятного и неблагоприятного</w:t>
      </w:r>
      <w:r>
        <w:rPr>
          <w:rFonts w:eastAsia="Times New Roman" w:cs="Times New Roman" w:ascii="Times New Roman" w:hAnsi="Times New Roman"/>
        </w:rPr>
        <w:t xml:space="preserve"> позиционирования</w:t>
      </w:r>
      <w:r>
        <w:rPr>
          <w:rFonts w:eastAsia="Times New Roman" w:cs="Times New Roman" w:ascii="Times New Roman" w:hAnsi="Times New Roman"/>
          <w:lang w:val="ru-RU"/>
        </w:rPr>
        <w:t xml:space="preserve">: </w:t>
      </w:r>
    </w:p>
    <w:tbl>
      <w:tblPr>
        <w:tblW w:w="9617" w:type="dxa"/>
        <w:jc w:val="left"/>
        <w:tblInd w:w="108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1" w:noVBand="1" w:lastRow="0" w:firstColumn="1" w:lastColumn="0" w:noHBand="0" w:val="04a0"/>
      </w:tblPr>
      <w:tblGrid>
        <w:gridCol w:w="2404"/>
        <w:gridCol w:w="2404"/>
        <w:gridCol w:w="2404"/>
        <w:gridCol w:w="2404"/>
      </w:tblGrid>
      <w:tr>
        <w:trPr>
          <w:tblHeader w:val="true"/>
          <w:trHeight w:val="284" w:hRule="atLeast"/>
        </w:trPr>
        <w:tc>
          <w:tcPr>
            <w:tcW w:w="240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Цена</w:t>
            </w:r>
          </w:p>
        </w:tc>
        <w:tc>
          <w:tcPr>
            <w:tcW w:w="721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Качество</w:t>
            </w:r>
          </w:p>
        </w:tc>
      </w:tr>
      <w:tr>
        <w:trPr>
          <w:tblHeader w:val="true"/>
          <w:trHeight w:val="534" w:hRule="atLeast"/>
        </w:trPr>
        <w:tc>
          <w:tcPr>
            <w:tcW w:w="2404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Невысокое качество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Среднее качество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Высокое качество</w:t>
            </w:r>
          </w:p>
        </w:tc>
      </w:tr>
      <w:tr>
        <w:trPr>
          <w:trHeight w:val="794" w:hRule="atLeast"/>
        </w:trPr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Высокая цена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Зона</w:t>
            </w:r>
          </w:p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неблагоприятного позиционирования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Зона допустимого</w:t>
            </w:r>
          </w:p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позиционирования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Стратегия высоких цен</w:t>
            </w:r>
          </w:p>
        </w:tc>
      </w:tr>
      <w:tr>
        <w:trPr>
          <w:trHeight w:val="534" w:hRule="atLeast"/>
        </w:trPr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Средняя цена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Зона допустимого</w:t>
            </w:r>
          </w:p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позиционирования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Стратегия средних цен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Зона благоприятного позиционирования</w:t>
            </w:r>
          </w:p>
        </w:tc>
      </w:tr>
      <w:tr>
        <w:trPr>
          <w:trHeight w:val="794" w:hRule="atLeast"/>
        </w:trPr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Невысокая цена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Стратегия низких цен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Зона благоприятного позиционирования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Зона</w:t>
            </w:r>
          </w:p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неблагоприятного позиционирования</w:t>
            </w:r>
          </w:p>
        </w:tc>
      </w:tr>
    </w:tbl>
    <w:p>
      <w:pPr>
        <w:pStyle w:val="Style23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</w:rPr>
        <w:t>Подраздел «Каналы продаж продукции»:</w:t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lang w:val="ru-RU"/>
        </w:rPr>
        <w:t>Пример:</w:t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lang w:val="ru-RU"/>
        </w:rPr>
        <w:t>1. Количественный анализ:</w:t>
      </w:r>
    </w:p>
    <w:tbl>
      <w:tblPr>
        <w:tblW w:w="9617" w:type="dxa"/>
        <w:jc w:val="left"/>
        <w:tblInd w:w="108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1" w:noVBand="1" w:lastRow="0" w:firstColumn="1" w:lastColumn="0" w:noHBand="0" w:val="04a0"/>
      </w:tblPr>
      <w:tblGrid>
        <w:gridCol w:w="1373"/>
        <w:gridCol w:w="1374"/>
        <w:gridCol w:w="1374"/>
        <w:gridCol w:w="1374"/>
        <w:gridCol w:w="1374"/>
        <w:gridCol w:w="1374"/>
        <w:gridCol w:w="1373"/>
      </w:tblGrid>
      <w:tr>
        <w:trPr>
          <w:tblHeader w:val="true"/>
          <w:trHeight w:val="274" w:hRule="atLeast"/>
        </w:trPr>
        <w:tc>
          <w:tcPr>
            <w:tcW w:w="137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Прогнозируемые доходы и расходы</w:t>
            </w:r>
          </w:p>
        </w:tc>
        <w:tc>
          <w:tcPr>
            <w:tcW w:w="13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Прямые продажи</w:t>
            </w:r>
          </w:p>
        </w:tc>
        <w:tc>
          <w:tcPr>
            <w:tcW w:w="13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Продажа через розничные предприятия</w:t>
            </w:r>
          </w:p>
        </w:tc>
        <w:tc>
          <w:tcPr>
            <w:tcW w:w="13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Продажа через оптовые компании</w:t>
            </w:r>
          </w:p>
        </w:tc>
        <w:tc>
          <w:tcPr>
            <w:tcW w:w="412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Комбинированные продажи</w:t>
            </w:r>
          </w:p>
        </w:tc>
      </w:tr>
      <w:tr>
        <w:trPr>
          <w:tblHeader w:val="true"/>
          <w:trHeight w:val="1100" w:hRule="atLeast"/>
        </w:trPr>
        <w:tc>
          <w:tcPr>
            <w:tcW w:w="137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Выход на розницу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Оптовые компании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Всего</w:t>
            </w:r>
          </w:p>
        </w:tc>
      </w:tr>
      <w:tr>
        <w:trPr>
          <w:trHeight w:val="794" w:hRule="atLeast"/>
        </w:trPr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Выручка от реализации, руб.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3 000 000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3 000 000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3 000 000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1 900 000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1 100 000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3 000 000</w:t>
            </w:r>
          </w:p>
        </w:tc>
      </w:tr>
      <w:tr>
        <w:trPr>
          <w:trHeight w:val="534" w:hRule="atLeast"/>
        </w:trPr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Транспорт, руб.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90 000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90 000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57 000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57 000</w:t>
            </w:r>
          </w:p>
        </w:tc>
      </w:tr>
      <w:tr>
        <w:trPr>
          <w:trHeight w:val="534" w:hRule="atLeast"/>
        </w:trPr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Хранение, руб.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30 000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30 000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30 000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19 000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11 000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30 000</w:t>
            </w:r>
          </w:p>
        </w:tc>
      </w:tr>
      <w:tr>
        <w:trPr>
          <w:trHeight w:val="534" w:hRule="atLeast"/>
        </w:trPr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Страховой запас, руб.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900 000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300 000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900 000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190 000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330 000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520 000</w:t>
            </w:r>
          </w:p>
        </w:tc>
      </w:tr>
      <w:tr>
        <w:trPr>
          <w:trHeight w:val="1574" w:hRule="atLeast"/>
        </w:trPr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Обработка и комплектация заказов, руб.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30 000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30 000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3 000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19 000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1 100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20 100</w:t>
            </w:r>
          </w:p>
        </w:tc>
      </w:tr>
      <w:tr>
        <w:trPr>
          <w:trHeight w:val="794" w:hRule="atLeast"/>
        </w:trPr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Численность персонала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3 000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45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7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12</w:t>
            </w:r>
          </w:p>
        </w:tc>
      </w:tr>
      <w:tr>
        <w:trPr>
          <w:trHeight w:val="794" w:hRule="atLeast"/>
        </w:trPr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Средняя зарплата, руб.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1 200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1 200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1 200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1 200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1 200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1 200</w:t>
            </w:r>
          </w:p>
        </w:tc>
      </w:tr>
      <w:tr>
        <w:trPr>
          <w:trHeight w:val="1054" w:hRule="atLeast"/>
        </w:trPr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Расходы на персонал, руб.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3 600 000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54 000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12 000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8 400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6 000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14 400</w:t>
            </w:r>
          </w:p>
        </w:tc>
      </w:tr>
      <w:tr>
        <w:trPr>
          <w:trHeight w:val="1054" w:hRule="atLeast"/>
        </w:trPr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Расходы на продвижение, руб.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5 000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5 000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5 000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3 000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2 000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5 000</w:t>
            </w:r>
          </w:p>
        </w:tc>
      </w:tr>
      <w:tr>
        <w:trPr>
          <w:trHeight w:val="794" w:hRule="atLeast"/>
        </w:trPr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Всего расходов, руб.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4 655 000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509 000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950 000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296 400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350 100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646 500</w:t>
            </w:r>
          </w:p>
        </w:tc>
      </w:tr>
      <w:tr>
        <w:trPr>
          <w:trHeight w:val="794" w:hRule="atLeast"/>
        </w:trPr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Прибыль операционная, руб.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1 655 000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2 491 000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2 050 000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1 603 600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749 900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2 353 500</w:t>
            </w:r>
          </w:p>
        </w:tc>
      </w:tr>
      <w:tr>
        <w:trPr>
          <w:trHeight w:val="794" w:hRule="atLeast"/>
        </w:trPr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Рентабельность продаж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-0,4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4,9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2,2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5,4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2,1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3,6</w:t>
            </w:r>
          </w:p>
        </w:tc>
      </w:tr>
    </w:tbl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lang w:val="ru-RU"/>
        </w:rPr>
        <w:t>2. Качественный анализ:</w:t>
      </w:r>
    </w:p>
    <w:tbl>
      <w:tblPr>
        <w:tblW w:w="9617" w:type="dxa"/>
        <w:jc w:val="left"/>
        <w:tblInd w:w="108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1" w:noVBand="1" w:lastRow="0" w:firstColumn="1" w:lastColumn="0" w:noHBand="0" w:val="04a0"/>
      </w:tblPr>
      <w:tblGrid>
        <w:gridCol w:w="2404"/>
        <w:gridCol w:w="2404"/>
        <w:gridCol w:w="2404"/>
        <w:gridCol w:w="2404"/>
      </w:tblGrid>
      <w:tr>
        <w:trPr>
          <w:tblHeader w:val="true"/>
          <w:trHeight w:val="534" w:hRule="atLeast"/>
        </w:trPr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Непрямые каналы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Характеристика посредников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Условия сотрудничества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Требования к системе продаж</w:t>
            </w:r>
          </w:p>
        </w:tc>
      </w:tr>
      <w:tr>
        <w:trPr>
          <w:trHeight w:val="3394" w:hRule="atLeast"/>
        </w:trPr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Реализация через предприятия розничной торговли:</w:t>
            </w:r>
          </w:p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﻿﻿</w:t>
            </w:r>
            <w:r>
              <w:rPr>
                <w:rFonts w:eastAsia="Times New Roman" w:cs="Times New Roman" w:ascii="Times New Roman" w:hAnsi="Times New Roman"/>
              </w:rPr>
              <w:t>розничная сеть А</w:t>
            </w:r>
          </w:p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﻿﻿</w:t>
            </w:r>
            <w:r>
              <w:rPr>
                <w:rFonts w:eastAsia="Times New Roman" w:cs="Times New Roman" w:ascii="Times New Roman" w:hAnsi="Times New Roman"/>
              </w:rPr>
              <w:t>розничная сеть Б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Отмечается интенсивный рост числа сетевых ретейлов.</w:t>
            </w:r>
          </w:p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Можно реализовать большие объемы товаров.</w:t>
            </w:r>
          </w:p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Со стороны ритейлеров высокие требования к качеству продукции, цене и к условиям поставок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Сотрудничество возможно на основе предложения низких цен.</w:t>
            </w:r>
          </w:p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Имеются договоры о сотрудничестве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Необходимо построить четкую систему логистики и приема заказов.</w:t>
            </w:r>
          </w:p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Должна быть высокая скорость выполнения заказов</w:t>
            </w:r>
          </w:p>
        </w:tc>
      </w:tr>
      <w:tr>
        <w:trPr>
          <w:trHeight w:val="1574" w:hRule="atLeast"/>
        </w:trPr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Сбыт через оптовые компании:</w:t>
            </w:r>
          </w:p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﻿﻿</w:t>
            </w:r>
            <w:r>
              <w:rPr>
                <w:rFonts w:eastAsia="Times New Roman" w:cs="Times New Roman" w:ascii="Times New Roman" w:hAnsi="Times New Roman"/>
              </w:rPr>
              <w:t>компания X</w:t>
            </w:r>
          </w:p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﻿﻿</w:t>
            </w:r>
            <w:r>
              <w:rPr>
                <w:rFonts w:eastAsia="Times New Roman" w:cs="Times New Roman" w:ascii="Times New Roman" w:hAnsi="Times New Roman"/>
              </w:rPr>
              <w:t>компания У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Можно реализовать 37% продукции через оптовые компании, работащие в регионах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Имеются дилерские договоры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Необходимо иметь систему приема заказов через Интернет и большие объемы товаров на складе</w:t>
            </w:r>
          </w:p>
        </w:tc>
      </w:tr>
    </w:tbl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3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Подраздел </w:t>
      </w:r>
      <w:r>
        <w:rPr>
          <w:rFonts w:eastAsia="Times New Roman" w:cs="Times New Roman" w:ascii="Times New Roman" w:hAnsi="Times New Roman"/>
          <w:lang w:val="fr-FR"/>
        </w:rPr>
        <w:t>«</w:t>
      </w:r>
      <w:r>
        <w:rPr>
          <w:rFonts w:eastAsia="Times New Roman" w:cs="Times New Roman" w:ascii="Times New Roman" w:hAnsi="Times New Roman"/>
        </w:rPr>
        <w:t>Месторасположение предприятия (точки сбыта)</w:t>
      </w:r>
      <w:r>
        <w:rPr>
          <w:rFonts w:eastAsia="Times New Roman" w:cs="Times New Roman" w:ascii="Times New Roman" w:hAnsi="Times New Roman"/>
          <w:lang w:val="en-US"/>
        </w:rPr>
        <w:t>»</w:t>
      </w:r>
      <w:r>
        <w:rPr>
          <w:rFonts w:eastAsia="Times New Roman" w:cs="Times New Roman" w:ascii="Times New Roman" w:hAnsi="Times New Roman"/>
        </w:rPr>
        <w:t xml:space="preserve">: </w:t>
      </w:r>
    </w:p>
    <w:p>
      <w:pPr>
        <w:pStyle w:val="Style21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6120130" cy="2940050"/>
            <wp:effectExtent l="0" t="0" r="0" b="0"/>
            <wp:docPr id="1" name="Изображение6" descr="Снимок экрана 2024-01-24 в 11.58.59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6" descr="Снимок экрана 2024-01-24 в 11.58.59 AM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lang w:val="ru-RU"/>
        </w:rPr>
        <w:t xml:space="preserve">Показатели предпочтений при выборе супермаркета для посещения: </w:t>
      </w:r>
    </w:p>
    <w:tbl>
      <w:tblPr>
        <w:tblW w:w="9617" w:type="dxa"/>
        <w:jc w:val="left"/>
        <w:tblInd w:w="108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1" w:noVBand="1" w:lastRow="0" w:firstColumn="1" w:lastColumn="0" w:noHBand="0" w:val="04a0"/>
      </w:tblPr>
      <w:tblGrid>
        <w:gridCol w:w="1373"/>
        <w:gridCol w:w="1374"/>
        <w:gridCol w:w="1374"/>
        <w:gridCol w:w="1374"/>
        <w:gridCol w:w="1374"/>
        <w:gridCol w:w="1374"/>
        <w:gridCol w:w="1373"/>
      </w:tblGrid>
      <w:tr>
        <w:trPr>
          <w:tblHeader w:val="true"/>
          <w:trHeight w:val="284" w:hRule="atLeast"/>
        </w:trPr>
        <w:tc>
          <w:tcPr>
            <w:tcW w:w="137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Жилые микрорайоны</w:t>
            </w:r>
          </w:p>
        </w:tc>
        <w:tc>
          <w:tcPr>
            <w:tcW w:w="412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Показатели предпочтения</w:t>
            </w:r>
          </w:p>
        </w:tc>
        <w:tc>
          <w:tcPr>
            <w:tcW w:w="412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Показатели предпочтения</w:t>
            </w:r>
          </w:p>
        </w:tc>
      </w:tr>
      <w:tr>
        <w:trPr>
          <w:tblHeader w:val="true"/>
          <w:trHeight w:val="284" w:hRule="atLeast"/>
        </w:trPr>
        <w:tc>
          <w:tcPr>
            <w:tcW w:w="137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12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Примем: 𝛂 = 1: 𝜷 = 1</w:t>
            </w:r>
          </w:p>
        </w:tc>
        <w:tc>
          <w:tcPr>
            <w:tcW w:w="412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Примем: 𝛂 = 1: 𝜷 = 0,5</w:t>
            </w:r>
          </w:p>
        </w:tc>
      </w:tr>
      <w:tr>
        <w:trPr>
          <w:tblHeader w:val="true"/>
          <w:trHeight w:val="284" w:hRule="atLeast"/>
        </w:trPr>
        <w:tc>
          <w:tcPr>
            <w:tcW w:w="137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"О’кей"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"Ашан"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"Лента"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"О’кей"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"Ашан"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"Лента"</w:t>
            </w:r>
          </w:p>
        </w:tc>
      </w:tr>
      <w:tr>
        <w:trPr>
          <w:trHeight w:val="284" w:hRule="atLeast"/>
        </w:trPr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0,89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1,85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0,73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1,99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2,62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1,71</w:t>
            </w:r>
          </w:p>
        </w:tc>
      </w:tr>
      <w:tr>
        <w:trPr>
          <w:trHeight w:val="284" w:hRule="atLeast"/>
        </w:trPr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1,78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0,67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2,81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1,58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2,83</w:t>
            </w:r>
          </w:p>
        </w:tc>
      </w:tr>
      <w:tr>
        <w:trPr>
          <w:trHeight w:val="284" w:hRule="atLeast"/>
        </w:trPr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4,45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1,23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1,33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4,45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2,14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2,31</w:t>
            </w:r>
          </w:p>
        </w:tc>
      </w:tr>
    </w:tbl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lang w:val="ru-RU"/>
        </w:rPr>
        <w:t>Выводы</w:t>
      </w:r>
      <w:r>
        <w:rPr>
          <w:rFonts w:eastAsia="Times New Roman" w:cs="Times New Roman" w:ascii="Times New Roman" w:hAnsi="Times New Roman"/>
        </w:rPr>
        <w:t>:</w:t>
      </w:r>
    </w:p>
    <w:p>
      <w:pPr>
        <w:pStyle w:val="Style21"/>
        <w:numPr>
          <w:ilvl w:val="0"/>
          <w:numId w:val="6"/>
        </w:numPr>
        <w:ind w:left="340" w:right="0" w:hanging="340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lang w:val="ru-RU"/>
        </w:rPr>
        <w:t>Д</w:t>
      </w:r>
      <w:r>
        <w:rPr>
          <w:rFonts w:eastAsia="Times New Roman" w:cs="Times New Roman" w:ascii="Times New Roman" w:hAnsi="Times New Roman"/>
        </w:rPr>
        <w:t xml:space="preserve">ля жителей микрорайона </w:t>
      </w:r>
      <w:r>
        <w:rPr>
          <w:rFonts w:eastAsia="Times New Roman" w:cs="Times New Roman" w:ascii="Times New Roman" w:hAnsi="Times New Roman"/>
          <w:lang w:val="ru-RU"/>
        </w:rPr>
        <w:t xml:space="preserve">1 предпочтительность посещения магазина «Ашан» в </w:t>
      </w:r>
      <w:r>
        <w:rPr>
          <w:rFonts w:eastAsia="Times New Roman" w:cs="Times New Roman" w:ascii="Times New Roman" w:hAnsi="Times New Roman"/>
        </w:rPr>
        <w:t xml:space="preserve">2 </w:t>
      </w:r>
      <w:r>
        <w:rPr>
          <w:rFonts w:eastAsia="Times New Roman" w:cs="Times New Roman" w:ascii="Times New Roman" w:hAnsi="Times New Roman"/>
          <w:lang w:val="ru-RU"/>
        </w:rPr>
        <w:t>раза выше</w:t>
      </w:r>
      <w:r>
        <w:rPr>
          <w:rFonts w:eastAsia="Times New Roman" w:cs="Times New Roman" w:ascii="Times New Roman" w:hAnsi="Times New Roman"/>
        </w:rPr>
        <w:t xml:space="preserve">, </w:t>
      </w:r>
      <w:r>
        <w:rPr>
          <w:rFonts w:eastAsia="Times New Roman" w:cs="Times New Roman" w:ascii="Times New Roman" w:hAnsi="Times New Roman"/>
          <w:lang w:val="ru-RU"/>
        </w:rPr>
        <w:t>чем «О</w:t>
      </w:r>
      <w:r>
        <w:rPr>
          <w:rFonts w:eastAsia="Times New Roman" w:cs="Times New Roman" w:ascii="Times New Roman" w:hAnsi="Times New Roman"/>
        </w:rPr>
        <w:t>'</w:t>
      </w:r>
      <w:r>
        <w:rPr>
          <w:rFonts w:eastAsia="Times New Roman" w:cs="Times New Roman" w:ascii="Times New Roman" w:hAnsi="Times New Roman"/>
          <w:lang w:val="ru-RU"/>
        </w:rPr>
        <w:t>Кей»</w:t>
      </w:r>
      <w:r>
        <w:rPr>
          <w:rFonts w:eastAsia="Times New Roman" w:cs="Times New Roman" w:ascii="Times New Roman" w:hAnsi="Times New Roman"/>
        </w:rPr>
        <w:t xml:space="preserve">, и в 2,5 </w:t>
      </w:r>
      <w:r>
        <w:rPr>
          <w:rFonts w:eastAsia="Times New Roman" w:cs="Times New Roman" w:ascii="Times New Roman" w:hAnsi="Times New Roman"/>
          <w:lang w:val="ru-RU"/>
        </w:rPr>
        <w:t>раза выше</w:t>
      </w:r>
      <w:r>
        <w:rPr>
          <w:rFonts w:eastAsia="Times New Roman" w:cs="Times New Roman" w:ascii="Times New Roman" w:hAnsi="Times New Roman"/>
        </w:rPr>
        <w:t xml:space="preserve">, </w:t>
      </w:r>
      <w:r>
        <w:rPr>
          <w:rFonts w:eastAsia="Times New Roman" w:cs="Times New Roman" w:ascii="Times New Roman" w:hAnsi="Times New Roman"/>
          <w:lang w:val="ru-RU"/>
        </w:rPr>
        <w:t>чем «Лента»</w:t>
      </w:r>
      <w:r>
        <w:rPr>
          <w:rFonts w:eastAsia="Times New Roman" w:cs="Times New Roman" w:ascii="Times New Roman" w:hAnsi="Times New Roman"/>
        </w:rPr>
        <w:t>;</w:t>
      </w:r>
    </w:p>
    <w:p>
      <w:pPr>
        <w:pStyle w:val="Style21"/>
        <w:numPr>
          <w:ilvl w:val="0"/>
          <w:numId w:val="2"/>
        </w:numPr>
        <w:ind w:left="340" w:right="0" w:hanging="340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lang w:val="ru-RU"/>
        </w:rPr>
        <w:t>Д</w:t>
      </w:r>
      <w:r>
        <w:rPr>
          <w:rFonts w:eastAsia="Times New Roman" w:cs="Times New Roman" w:ascii="Times New Roman" w:hAnsi="Times New Roman"/>
        </w:rPr>
        <w:t xml:space="preserve">ля жителей микрорайона 2 </w:t>
      </w:r>
      <w:r>
        <w:rPr>
          <w:rFonts w:eastAsia="Times New Roman" w:cs="Times New Roman" w:ascii="Times New Roman" w:hAnsi="Times New Roman"/>
          <w:lang w:val="ru-RU"/>
        </w:rPr>
        <w:t>наиболее предпочтительна «Лента», но многие проживающие в этом районе выберут «О</w:t>
      </w:r>
      <w:r>
        <w:rPr>
          <w:rFonts w:eastAsia="Times New Roman" w:cs="Times New Roman" w:ascii="Times New Roman" w:hAnsi="Times New Roman"/>
        </w:rPr>
        <w:t>'</w:t>
      </w:r>
      <w:r>
        <w:rPr>
          <w:rFonts w:eastAsia="Times New Roman" w:cs="Times New Roman" w:ascii="Times New Roman" w:hAnsi="Times New Roman"/>
          <w:lang w:val="ru-RU"/>
        </w:rPr>
        <w:t>Кей» и совсем немного – «Ашан»</w:t>
      </w:r>
      <w:r>
        <w:rPr>
          <w:rFonts w:eastAsia="Times New Roman" w:cs="Times New Roman" w:ascii="Times New Roman" w:hAnsi="Times New Roman"/>
        </w:rPr>
        <w:t>:</w:t>
      </w:r>
    </w:p>
    <w:p>
      <w:pPr>
        <w:pStyle w:val="Style21"/>
        <w:numPr>
          <w:ilvl w:val="0"/>
          <w:numId w:val="2"/>
        </w:numPr>
        <w:ind w:left="340" w:right="0" w:hanging="340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lang w:val="ru-RU"/>
        </w:rPr>
        <w:t>Ж</w:t>
      </w:r>
      <w:r>
        <w:rPr>
          <w:rFonts w:eastAsia="Times New Roman" w:cs="Times New Roman" w:ascii="Times New Roman" w:hAnsi="Times New Roman"/>
        </w:rPr>
        <w:t xml:space="preserve">ители микрорайона ,3 </w:t>
      </w:r>
      <w:r>
        <w:rPr>
          <w:rFonts w:eastAsia="Times New Roman" w:cs="Times New Roman" w:ascii="Times New Roman" w:hAnsi="Times New Roman"/>
          <w:lang w:val="ru-RU"/>
        </w:rPr>
        <w:t xml:space="preserve">живущие между магазинами «Ашан» </w:t>
      </w:r>
      <w:r>
        <w:rPr>
          <w:rFonts w:eastAsia="Times New Roman" w:cs="Times New Roman" w:ascii="Times New Roman" w:hAnsi="Times New Roman"/>
          <w:lang w:val="fr-FR"/>
        </w:rPr>
        <w:t>и «О</w:t>
      </w:r>
      <w:r>
        <w:rPr>
          <w:rFonts w:eastAsia="Times New Roman" w:cs="Times New Roman" w:ascii="Times New Roman" w:hAnsi="Times New Roman"/>
        </w:rPr>
        <w:t>'</w:t>
      </w:r>
      <w:r>
        <w:rPr>
          <w:rFonts w:eastAsia="Times New Roman" w:cs="Times New Roman" w:ascii="Times New Roman" w:hAnsi="Times New Roman"/>
          <w:lang w:val="ru-RU"/>
        </w:rPr>
        <w:t>Кей»</w:t>
      </w:r>
      <w:r>
        <w:rPr>
          <w:rFonts w:eastAsia="Times New Roman" w:cs="Times New Roman" w:ascii="Times New Roman" w:hAnsi="Times New Roman"/>
        </w:rPr>
        <w:t xml:space="preserve">, </w:t>
      </w:r>
      <w:r>
        <w:rPr>
          <w:rFonts w:eastAsia="Times New Roman" w:cs="Times New Roman" w:ascii="Times New Roman" w:hAnsi="Times New Roman"/>
          <w:lang w:val="ru-RU"/>
        </w:rPr>
        <w:t xml:space="preserve">предпочтут последний </w:t>
      </w:r>
      <w:r>
        <w:rPr>
          <w:rFonts w:eastAsia="Times New Roman" w:cs="Times New Roman" w:ascii="Times New Roman" w:hAnsi="Times New Roman"/>
        </w:rPr>
        <w:t>(</w:t>
      </w:r>
      <w:r>
        <w:rPr>
          <w:rFonts w:eastAsia="Times New Roman" w:cs="Times New Roman" w:ascii="Times New Roman" w:hAnsi="Times New Roman"/>
          <w:lang w:val="ru-RU"/>
        </w:rPr>
        <w:t xml:space="preserve">соотношение </w:t>
      </w:r>
      <w:r>
        <w:rPr>
          <w:rFonts w:eastAsia="Times New Roman" w:cs="Times New Roman" w:ascii="Times New Roman" w:hAnsi="Times New Roman"/>
        </w:rPr>
        <w:t>3,6 раза) и даже</w:t>
      </w:r>
      <w:r>
        <w:rPr>
          <w:rFonts w:eastAsia="Times New Roman" w:cs="Times New Roman" w:ascii="Times New Roman" w:hAnsi="Times New Roman"/>
          <w:lang w:val="ru-RU"/>
        </w:rPr>
        <w:t xml:space="preserve"> посетят «Ленту»</w:t>
      </w:r>
      <w:r>
        <w:rPr>
          <w:rFonts w:eastAsia="Times New Roman" w:cs="Times New Roman" w:ascii="Times New Roman" w:hAnsi="Times New Roman"/>
        </w:rPr>
        <w:t>;</w:t>
      </w:r>
    </w:p>
    <w:p>
      <w:pPr>
        <w:pStyle w:val="Style21"/>
        <w:numPr>
          <w:ilvl w:val="0"/>
          <w:numId w:val="2"/>
        </w:numPr>
        <w:ind w:left="340" w:right="0" w:hanging="340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lang w:val="ru-RU"/>
        </w:rPr>
        <w:t xml:space="preserve">При выборе месторасположения предприятие должно учитывать </w:t>
      </w:r>
      <w:r>
        <w:rPr>
          <w:rFonts w:eastAsia="Times New Roman" w:cs="Times New Roman" w:ascii="Times New Roman" w:hAnsi="Times New Roman"/>
        </w:rPr>
        <w:t>наличи</w:t>
      </w:r>
      <w:r>
        <w:rPr>
          <w:rFonts w:eastAsia="Times New Roman" w:cs="Times New Roman" w:ascii="Times New Roman" w:hAnsi="Times New Roman"/>
          <w:lang w:val="ru-RU"/>
        </w:rPr>
        <w:t>е конкурентов</w:t>
      </w:r>
      <w:r>
        <w:rPr>
          <w:rFonts w:eastAsia="Times New Roman" w:cs="Times New Roman" w:ascii="Times New Roman" w:hAnsi="Times New Roman"/>
        </w:rPr>
        <w:t>.</w:t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lang w:val="ru-RU"/>
        </w:rPr>
        <w:t>Оценка места расположения предприятия включает также понятие доступности</w:t>
      </w:r>
      <w:r>
        <w:rPr>
          <w:rFonts w:eastAsia="Times New Roman" w:cs="Times New Roman" w:ascii="Times New Roman" w:hAnsi="Times New Roman"/>
        </w:rPr>
        <w:t>:</w:t>
      </w:r>
    </w:p>
    <w:p>
      <w:pPr>
        <w:pStyle w:val="Style21"/>
        <w:numPr>
          <w:ilvl w:val="0"/>
          <w:numId w:val="7"/>
        </w:numPr>
        <w:ind w:left="340" w:right="0" w:hanging="340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lang w:val="ru-RU"/>
        </w:rPr>
        <w:t xml:space="preserve">Наличие инфраструктуры; </w:t>
      </w:r>
    </w:p>
    <w:p>
      <w:pPr>
        <w:pStyle w:val="Style21"/>
        <w:numPr>
          <w:ilvl w:val="0"/>
          <w:numId w:val="2"/>
        </w:numPr>
        <w:ind w:left="340" w:right="0" w:hanging="340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lang w:val="ru-RU"/>
        </w:rPr>
        <w:t xml:space="preserve">Возможность организации подъезда автомобилей и организации парковки; </w:t>
      </w:r>
    </w:p>
    <w:p>
      <w:pPr>
        <w:pStyle w:val="Style21"/>
        <w:numPr>
          <w:ilvl w:val="0"/>
          <w:numId w:val="2"/>
        </w:numPr>
        <w:ind w:left="340" w:right="0" w:hanging="340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lang w:val="ru-RU"/>
        </w:rPr>
        <w:t xml:space="preserve">Наличие общественного транспорта; </w:t>
      </w:r>
    </w:p>
    <w:p>
      <w:pPr>
        <w:pStyle w:val="Style21"/>
        <w:numPr>
          <w:ilvl w:val="0"/>
          <w:numId w:val="2"/>
        </w:numPr>
        <w:ind w:left="340" w:right="0" w:hanging="340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lang w:val="ru-RU"/>
        </w:rPr>
        <w:t xml:space="preserve">Окружающая среда: окружающие предприятия, районы, природные условия. </w:t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1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6120130" cy="5798820"/>
            <wp:effectExtent l="0" t="0" r="0" b="0"/>
            <wp:docPr id="2" name="Изображение7" descr="Снимок экрана 2024-01-24 в 5.15.33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7" descr="Снимок экрана 2024-01-24 в 5.15.33 PM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79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3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</w:rPr>
        <w:t>Подраздел «Прогноз плана по продажам и выручки от реализации»:</w:t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</w:rPr>
        <w:t>Прогноз</w:t>
      </w:r>
      <w:r>
        <w:rPr>
          <w:rFonts w:eastAsia="Times New Roman" w:cs="Times New Roman" w:ascii="Times New Roman" w:hAnsi="Times New Roman"/>
          <w:lang w:val="ru-RU"/>
        </w:rPr>
        <w:t xml:space="preserve"> </w:t>
      </w:r>
      <w:r>
        <w:rPr>
          <w:rFonts w:eastAsia="Times New Roman" w:cs="Times New Roman" w:ascii="Times New Roman" w:hAnsi="Times New Roman"/>
        </w:rPr>
        <w:t>плана</w:t>
      </w:r>
      <w:r>
        <w:rPr>
          <w:rFonts w:eastAsia="Times New Roman" w:cs="Times New Roman" w:ascii="Times New Roman" w:hAnsi="Times New Roman"/>
          <w:lang w:val="ru-RU"/>
        </w:rPr>
        <w:t xml:space="preserve"> </w:t>
      </w:r>
      <w:r>
        <w:rPr>
          <w:rFonts w:eastAsia="Times New Roman" w:cs="Times New Roman" w:ascii="Times New Roman" w:hAnsi="Times New Roman"/>
        </w:rPr>
        <w:t>по</w:t>
      </w:r>
      <w:r>
        <w:rPr>
          <w:rFonts w:eastAsia="Times New Roman" w:cs="Times New Roman" w:ascii="Times New Roman" w:hAnsi="Times New Roman"/>
          <w:lang w:val="ru-RU"/>
        </w:rPr>
        <w:t xml:space="preserve"> </w:t>
      </w:r>
      <w:r>
        <w:rPr>
          <w:rFonts w:eastAsia="Times New Roman" w:cs="Times New Roman" w:ascii="Times New Roman" w:hAnsi="Times New Roman"/>
        </w:rPr>
        <w:t>продажам</w:t>
      </w:r>
      <w:r>
        <w:rPr>
          <w:rFonts w:eastAsia="Times New Roman" w:cs="Times New Roman" w:ascii="Times New Roman" w:hAnsi="Times New Roman"/>
          <w:lang w:val="ru-RU"/>
        </w:rPr>
        <w:t xml:space="preserve"> вероятностным </w:t>
      </w:r>
      <w:r>
        <w:rPr>
          <w:rFonts w:eastAsia="Times New Roman" w:cs="Times New Roman" w:ascii="Times New Roman" w:hAnsi="Times New Roman"/>
        </w:rPr>
        <w:t>методом</w:t>
      </w:r>
      <w:r>
        <w:rPr>
          <w:rFonts w:eastAsia="Times New Roman" w:cs="Times New Roman" w:ascii="Times New Roman" w:hAnsi="Times New Roman"/>
          <w:lang w:val="ru-RU"/>
        </w:rPr>
        <w:t>:</w:t>
      </w:r>
    </w:p>
    <w:tbl>
      <w:tblPr>
        <w:tblW w:w="9617" w:type="dxa"/>
        <w:jc w:val="left"/>
        <w:tblInd w:w="108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1" w:noVBand="1" w:lastRow="0" w:firstColumn="1" w:lastColumn="0" w:noHBand="0" w:val="04a0"/>
      </w:tblPr>
      <w:tblGrid>
        <w:gridCol w:w="1602"/>
        <w:gridCol w:w="1603"/>
        <w:gridCol w:w="1603"/>
        <w:gridCol w:w="1603"/>
        <w:gridCol w:w="1602"/>
        <w:gridCol w:w="1603"/>
      </w:tblGrid>
      <w:tr>
        <w:trPr>
          <w:tblHeader w:val="true"/>
          <w:trHeight w:val="1314" w:hRule="atLeast"/>
        </w:trPr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Товар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Текущий объём продаж, руб.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Возможный дополнительный объём продаж, руб.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Вероятность осуществления продаж, %</w:t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Ожидаемый реальный дополнительный объём продаж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Общая сумма ожидаемого объёма продаж</w:t>
            </w:r>
          </w:p>
        </w:tc>
      </w:tr>
      <w:tr>
        <w:trPr>
          <w:trHeight w:val="284" w:hRule="atLeast"/>
        </w:trPr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3*4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2+5</w:t>
            </w:r>
          </w:p>
        </w:tc>
      </w:tr>
      <w:tr>
        <w:trPr>
          <w:trHeight w:val="284" w:hRule="atLeast"/>
        </w:trPr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84" w:hRule="atLeast"/>
        </w:trPr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84" w:hRule="atLeast"/>
        </w:trPr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84" w:hRule="atLeast"/>
        </w:trPr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24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Всего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lang w:val="ru-RU"/>
        </w:rPr>
        <w:t xml:space="preserve">Сценарный подход прогнозирования: </w:t>
      </w:r>
    </w:p>
    <w:tbl>
      <w:tblPr>
        <w:tblW w:w="9617" w:type="dxa"/>
        <w:jc w:val="left"/>
        <w:tblInd w:w="108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1" w:noVBand="1" w:lastRow="0" w:firstColumn="1" w:lastColumn="0" w:noHBand="0" w:val="04a0"/>
      </w:tblPr>
      <w:tblGrid>
        <w:gridCol w:w="1602"/>
        <w:gridCol w:w="1603"/>
        <w:gridCol w:w="1603"/>
        <w:gridCol w:w="1603"/>
        <w:gridCol w:w="1602"/>
        <w:gridCol w:w="1603"/>
      </w:tblGrid>
      <w:tr>
        <w:trPr>
          <w:tblHeader w:val="true"/>
          <w:trHeight w:val="284" w:hRule="atLeast"/>
        </w:trPr>
        <w:tc>
          <w:tcPr>
            <w:tcW w:w="160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Сценарий</w:t>
            </w:r>
          </w:p>
        </w:tc>
        <w:tc>
          <w:tcPr>
            <w:tcW w:w="6411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Объем реализации по кварталам, единиц</w:t>
            </w:r>
          </w:p>
        </w:tc>
        <w:tc>
          <w:tcPr>
            <w:tcW w:w="160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Всего за год, единиц</w:t>
            </w:r>
          </w:p>
        </w:tc>
      </w:tr>
      <w:tr>
        <w:trPr>
          <w:tblHeader w:val="true"/>
          <w:trHeight w:val="284" w:hRule="atLeast"/>
        </w:trPr>
        <w:tc>
          <w:tcPr>
            <w:tcW w:w="1602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 квартал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 квартал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 квартал</w:t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 квартал</w:t>
            </w:r>
          </w:p>
        </w:tc>
        <w:tc>
          <w:tcPr>
            <w:tcW w:w="1603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534" w:hRule="atLeast"/>
        </w:trPr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Оптимистический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534" w:hRule="atLeast"/>
        </w:trPr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Пессимистический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539" w:hRule="atLeast"/>
        </w:trPr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Реалистический (𝛼 = 0,3)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539" w:hRule="atLeast"/>
        </w:trPr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Реалистический (𝛼 = 0,5)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lang w:val="ru-RU"/>
        </w:rPr>
        <w:t xml:space="preserve">Составляется на основе прогнозов, составленных ранее. </w:t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lang w:val="ru-RU"/>
        </w:rPr>
        <w:t xml:space="preserve">Пример формы: </w:t>
      </w:r>
    </w:p>
    <w:tbl>
      <w:tblPr>
        <w:tblW w:w="9550" w:type="dxa"/>
        <w:jc w:val="left"/>
        <w:tblInd w:w="108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1" w:noVBand="1" w:lastRow="0" w:firstColumn="1" w:lastColumn="0" w:noHBand="0" w:val="04a0"/>
      </w:tblPr>
      <w:tblGrid>
        <w:gridCol w:w="1576"/>
        <w:gridCol w:w="469"/>
        <w:gridCol w:w="470"/>
        <w:gridCol w:w="470"/>
        <w:gridCol w:w="469"/>
        <w:gridCol w:w="469"/>
        <w:gridCol w:w="469"/>
        <w:gridCol w:w="468"/>
        <w:gridCol w:w="469"/>
        <w:gridCol w:w="469"/>
        <w:gridCol w:w="469"/>
        <w:gridCol w:w="470"/>
        <w:gridCol w:w="470"/>
        <w:gridCol w:w="469"/>
        <w:gridCol w:w="469"/>
        <w:gridCol w:w="470"/>
        <w:gridCol w:w="468"/>
        <w:gridCol w:w="464"/>
      </w:tblGrid>
      <w:tr>
        <w:trPr>
          <w:tblHeader w:val="true"/>
          <w:trHeight w:val="534" w:hRule="atLeast"/>
        </w:trPr>
        <w:tc>
          <w:tcPr>
            <w:tcW w:w="157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Показатель</w:t>
            </w:r>
          </w:p>
        </w:tc>
        <w:tc>
          <w:tcPr>
            <w:tcW w:w="5631" w:type="dxa"/>
            <w:gridSpan w:val="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 год, по месяцам</w:t>
            </w:r>
          </w:p>
        </w:tc>
        <w:tc>
          <w:tcPr>
            <w:tcW w:w="187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 год, по кварталам</w:t>
            </w:r>
          </w:p>
        </w:tc>
        <w:tc>
          <w:tcPr>
            <w:tcW w:w="46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 год</w:t>
            </w:r>
          </w:p>
        </w:tc>
      </w:tr>
      <w:tr>
        <w:trPr>
          <w:tblHeader w:val="true"/>
          <w:trHeight w:val="580" w:hRule="atLeast"/>
        </w:trPr>
        <w:tc>
          <w:tcPr>
            <w:tcW w:w="1576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6</w:t>
            </w: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7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8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9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10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11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12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</w:t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  <w:tc>
          <w:tcPr>
            <w:tcW w:w="464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354" w:hRule="atLeast"/>
        </w:trPr>
        <w:tc>
          <w:tcPr>
            <w:tcW w:w="1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Продажи V</w:t>
            </w:r>
            <w:r>
              <w:rPr>
                <w:rFonts w:eastAsia="Times New Roman" w:cs="Times New Roman" w:ascii="Times New Roman" w:hAnsi="Times New Roman"/>
                <w:vertAlign w:val="subscript"/>
              </w:rPr>
              <w:t>p</w:t>
            </w:r>
            <w:r>
              <w:rPr>
                <w:rFonts w:eastAsia="Times New Roman" w:cs="Times New Roman" w:ascii="Times New Roman" w:hAnsi="Times New Roman"/>
              </w:rPr>
              <w:t xml:space="preserve"> (в физическом измерении), ед.изм.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614" w:hRule="atLeast"/>
        </w:trPr>
        <w:tc>
          <w:tcPr>
            <w:tcW w:w="1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lang w:val="ru-RU"/>
              </w:rPr>
              <w:t>Отпускная цена</w:t>
            </w:r>
            <w:r>
              <w:rPr>
                <w:rFonts w:eastAsia="Times New Roman" w:cs="Times New Roman" w:ascii="Times New Roman" w:hAnsi="Times New Roman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lang w:val="ru-RU"/>
              </w:rPr>
              <w:t>(</w:t>
            </w:r>
            <w:r>
              <w:rPr>
                <w:rFonts w:eastAsia="Times New Roman" w:cs="Times New Roman" w:ascii="Times New Roman" w:hAnsi="Times New Roman"/>
              </w:rPr>
              <w:t>Ц</w:t>
            </w:r>
            <w:r>
              <w:rPr>
                <w:rFonts w:eastAsia="Times New Roman" w:cs="Times New Roman" w:ascii="Times New Roman" w:hAnsi="Times New Roman"/>
                <w:vertAlign w:val="subscript"/>
              </w:rPr>
              <w:t>р</w:t>
            </w:r>
            <w:r>
              <w:rPr>
                <w:rFonts w:eastAsia="Times New Roman" w:cs="Times New Roman" w:ascii="Times New Roman" w:hAnsi="Times New Roman"/>
                <w:vertAlign w:val="subscript"/>
                <w:lang w:val="ru-RU"/>
              </w:rPr>
              <w:t>)</w:t>
            </w:r>
            <w:r>
              <w:rPr>
                <w:rFonts w:eastAsia="Times New Roman" w:cs="Times New Roman" w:ascii="Times New Roman" w:hAnsi="Times New Roman"/>
                <w:lang w:val="ru-RU"/>
              </w:rPr>
              <w:t xml:space="preserve"> за единицу</w:t>
            </w:r>
            <w:r>
              <w:rPr>
                <w:rFonts w:eastAsia="Times New Roman" w:cs="Times New Roman" w:ascii="Times New Roman" w:hAnsi="Times New Roman"/>
              </w:rPr>
              <w:t>, руб.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094" w:hRule="atLeast"/>
        </w:trPr>
        <w:tc>
          <w:tcPr>
            <w:tcW w:w="1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lang w:val="ru-RU"/>
              </w:rPr>
              <w:t>Выручка от реализации планируемого объёма продукции</w:t>
            </w:r>
            <w:r>
              <w:rPr>
                <w:rFonts w:eastAsia="Times New Roman" w:cs="Times New Roman" w:ascii="Times New Roman" w:hAnsi="Times New Roman"/>
              </w:rPr>
              <w:t xml:space="preserve"> В</w:t>
            </w:r>
            <w:r>
              <w:rPr>
                <w:rFonts w:eastAsia="Times New Roman" w:cs="Times New Roman" w:ascii="Times New Roman" w:hAnsi="Times New Roman"/>
                <w:vertAlign w:val="subscript"/>
              </w:rPr>
              <w:t>р</w:t>
            </w:r>
            <w:r>
              <w:rPr>
                <w:rFonts w:eastAsia="Times New Roman" w:cs="Times New Roman" w:ascii="Times New Roman" w:hAnsi="Times New Roman"/>
              </w:rPr>
              <w:t>, руб.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3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</w:rPr>
        <w:t>Подраздел «Программа продвижения на рынок»:</w:t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lang w:val="ru-RU"/>
        </w:rPr>
        <w:t xml:space="preserve">Пример экспертной оценки двух возможных для использования рекламных каналов: </w:t>
      </w:r>
    </w:p>
    <w:tbl>
      <w:tblPr>
        <w:tblW w:w="9617" w:type="dxa"/>
        <w:jc w:val="left"/>
        <w:tblInd w:w="108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1" w:noVBand="1" w:lastRow="0" w:firstColumn="1" w:lastColumn="0" w:noHBand="0" w:val="04a0"/>
      </w:tblPr>
      <w:tblGrid>
        <w:gridCol w:w="798"/>
        <w:gridCol w:w="1949"/>
        <w:gridCol w:w="1374"/>
        <w:gridCol w:w="1374"/>
        <w:gridCol w:w="1374"/>
        <w:gridCol w:w="1374"/>
        <w:gridCol w:w="1373"/>
      </w:tblGrid>
      <w:tr>
        <w:trPr>
          <w:tblHeader w:val="true"/>
          <w:trHeight w:val="534" w:hRule="atLeast"/>
        </w:trPr>
        <w:tc>
          <w:tcPr>
            <w:tcW w:w="79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№</w:t>
            </w:r>
          </w:p>
        </w:tc>
        <w:tc>
          <w:tcPr>
            <w:tcW w:w="194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Комплексные показатели</w:t>
            </w:r>
          </w:p>
        </w:tc>
        <w:tc>
          <w:tcPr>
            <w:tcW w:w="13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Вес показателя, %</w:t>
            </w:r>
          </w:p>
        </w:tc>
        <w:tc>
          <w:tcPr>
            <w:tcW w:w="13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Критерий</w:t>
            </w:r>
          </w:p>
        </w:tc>
        <w:tc>
          <w:tcPr>
            <w:tcW w:w="13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Максимальная оценка, %</w:t>
            </w:r>
          </w:p>
        </w:tc>
        <w:tc>
          <w:tcPr>
            <w:tcW w:w="274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Стратегический выбор</w:t>
            </w:r>
          </w:p>
        </w:tc>
      </w:tr>
      <w:tr>
        <w:trPr>
          <w:tblHeader w:val="true"/>
          <w:trHeight w:val="1054" w:hRule="atLeast"/>
        </w:trPr>
        <w:tc>
          <w:tcPr>
            <w:tcW w:w="798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94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Стратегия 1: печатное издание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Стратегия 1: телевидение</w:t>
            </w:r>
          </w:p>
        </w:tc>
      </w:tr>
      <w:tr>
        <w:trPr>
          <w:trHeight w:val="534" w:hRule="atLeast"/>
        </w:trPr>
        <w:tc>
          <w:tcPr>
            <w:tcW w:w="79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</w:t>
            </w:r>
          </w:p>
        </w:tc>
        <w:tc>
          <w:tcPr>
            <w:tcW w:w="194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Степень охвата</w:t>
            </w:r>
          </w:p>
        </w:tc>
        <w:tc>
          <w:tcPr>
            <w:tcW w:w="13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Тираж (охват)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20</w:t>
            </w:r>
          </w:p>
        </w:tc>
      </w:tr>
      <w:tr>
        <w:trPr>
          <w:trHeight w:val="534" w:hRule="atLeast"/>
        </w:trPr>
        <w:tc>
          <w:tcPr>
            <w:tcW w:w="798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94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Степень передачи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0</w:t>
            </w:r>
          </w:p>
        </w:tc>
      </w:tr>
      <w:tr>
        <w:trPr>
          <w:trHeight w:val="794" w:hRule="atLeast"/>
        </w:trPr>
        <w:tc>
          <w:tcPr>
            <w:tcW w:w="798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94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Доля полезной аудитории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</w:tr>
      <w:tr>
        <w:trPr>
          <w:trHeight w:val="1054" w:hRule="atLeast"/>
        </w:trPr>
        <w:tc>
          <w:tcPr>
            <w:tcW w:w="798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94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Доля постоянной аудитории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</w:tr>
      <w:tr>
        <w:trPr>
          <w:trHeight w:val="284" w:hRule="atLeast"/>
        </w:trPr>
        <w:tc>
          <w:tcPr>
            <w:tcW w:w="798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94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Всего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/>
              <w:fldChar w:fldCharType="begin"/>
            </w:r>
            <w:r>
              <w:rPr/>
              <w:instrText> = SUM(E3:E6)</w:instrText>
            </w:r>
            <w:r>
              <w:rPr/>
              <w:fldChar w:fldCharType="separate"/>
            </w:r>
            <w:r>
              <w:rPr/>
              <w:t>40</w:t>
            </w:r>
            <w:r>
              <w:rPr/>
              <w:fldChar w:fldCharType="end"/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/>
              <w:fldChar w:fldCharType="begin"/>
            </w:r>
            <w:r>
              <w:rPr/>
              <w:instrText> = SUM(F3:F6)</w:instrText>
            </w:r>
            <w:r>
              <w:rPr/>
              <w:fldChar w:fldCharType="separate"/>
            </w:r>
            <w:r>
              <w:rPr/>
              <w:t>30</w:t>
            </w:r>
            <w:r>
              <w:rPr/>
              <w:fldChar w:fldCharType="end"/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/>
              <w:fldChar w:fldCharType="begin"/>
            </w:r>
            <w:r>
              <w:rPr/>
              <w:instrText> = SUM(G3:G6)</w:instrText>
            </w:r>
            <w:r>
              <w:rPr/>
              <w:fldChar w:fldCharType="separate"/>
            </w:r>
            <w:r>
              <w:rPr/>
              <w:t>30</w:t>
            </w:r>
            <w:r>
              <w:rPr/>
              <w:fldChar w:fldCharType="end"/>
            </w:r>
          </w:p>
        </w:tc>
      </w:tr>
      <w:tr>
        <w:trPr>
          <w:trHeight w:val="534" w:hRule="atLeast"/>
        </w:trPr>
        <w:tc>
          <w:tcPr>
            <w:tcW w:w="79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</w:t>
            </w:r>
          </w:p>
        </w:tc>
        <w:tc>
          <w:tcPr>
            <w:tcW w:w="194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Сила воздействия</w:t>
            </w:r>
          </w:p>
        </w:tc>
        <w:tc>
          <w:tcPr>
            <w:tcW w:w="13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Частота выхода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</w:tr>
      <w:tr>
        <w:trPr>
          <w:trHeight w:val="284" w:hRule="atLeast"/>
        </w:trPr>
        <w:tc>
          <w:tcPr>
            <w:tcW w:w="798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94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Цветность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10</w:t>
            </w:r>
          </w:p>
        </w:tc>
      </w:tr>
      <w:tr>
        <w:trPr>
          <w:trHeight w:val="794" w:hRule="atLeast"/>
        </w:trPr>
        <w:tc>
          <w:tcPr>
            <w:tcW w:w="798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94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Качество изображения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</w:tr>
      <w:tr>
        <w:trPr>
          <w:trHeight w:val="1054" w:hRule="atLeast"/>
        </w:trPr>
        <w:tc>
          <w:tcPr>
            <w:tcW w:w="798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94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Популярность издания/передачи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</w:tr>
      <w:tr>
        <w:trPr>
          <w:trHeight w:val="284" w:hRule="atLeast"/>
        </w:trPr>
        <w:tc>
          <w:tcPr>
            <w:tcW w:w="798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94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Всего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/>
              <w:fldChar w:fldCharType="begin"/>
            </w:r>
            <w:r>
              <w:rPr/>
              <w:instrText> = SUM(E8:E11)</w:instrText>
            </w:r>
            <w:r>
              <w:rPr/>
              <w:fldChar w:fldCharType="separate"/>
            </w:r>
            <w:r>
              <w:rPr/>
              <w:t>30</w:t>
            </w:r>
            <w:r>
              <w:rPr/>
              <w:fldChar w:fldCharType="end"/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/>
              <w:fldChar w:fldCharType="begin"/>
            </w:r>
            <w:r>
              <w:rPr/>
              <w:instrText> = SUM(F8:F11)</w:instrText>
            </w:r>
            <w:r>
              <w:rPr/>
              <w:fldChar w:fldCharType="separate"/>
            </w:r>
            <w:r>
              <w:rPr/>
              <w:t>23</w:t>
            </w:r>
            <w:r>
              <w:rPr/>
              <w:fldChar w:fldCharType="end"/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/>
              <w:fldChar w:fldCharType="begin"/>
            </w:r>
            <w:r>
              <w:rPr/>
              <w:instrText> = SUM(G8:G11)</w:instrText>
            </w:r>
            <w:r>
              <w:rPr/>
              <w:fldChar w:fldCharType="separate"/>
            </w:r>
            <w:r>
              <w:rPr/>
              <w:t>25</w:t>
            </w:r>
            <w:r>
              <w:rPr/>
              <w:fldChar w:fldCharType="end"/>
            </w:r>
          </w:p>
        </w:tc>
      </w:tr>
      <w:tr>
        <w:trPr>
          <w:trHeight w:val="1054" w:hRule="atLeast"/>
        </w:trPr>
        <w:tc>
          <w:tcPr>
            <w:tcW w:w="79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194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Стоимость рекламы</w:t>
            </w:r>
          </w:p>
        </w:tc>
        <w:tc>
          <w:tcPr>
            <w:tcW w:w="137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Общие расходы на рекламу, долл.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</w:t>
            </w:r>
          </w:p>
        </w:tc>
      </w:tr>
      <w:tr>
        <w:trPr>
          <w:trHeight w:val="1314" w:hRule="atLeast"/>
        </w:trPr>
        <w:tc>
          <w:tcPr>
            <w:tcW w:w="798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94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Относительные расходы, руб./кв. см, долл./1 с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1314" w:hRule="atLeast"/>
        </w:trPr>
        <w:tc>
          <w:tcPr>
            <w:tcW w:w="798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94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Относительные расходы на 1000 чел., руб.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10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10</w:t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10</w:t>
            </w:r>
          </w:p>
        </w:tc>
      </w:tr>
      <w:tr>
        <w:trPr>
          <w:trHeight w:val="284" w:hRule="atLeast"/>
        </w:trPr>
        <w:tc>
          <w:tcPr>
            <w:tcW w:w="798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949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vMerge w:val="continue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Всего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/>
              <w:fldChar w:fldCharType="begin"/>
            </w:r>
            <w:r>
              <w:rPr/>
              <w:instrText> = SUM(E13:E15)</w:instrText>
            </w:r>
            <w:r>
              <w:rPr/>
              <w:fldChar w:fldCharType="separate"/>
            </w:r>
            <w:r>
              <w:rPr/>
              <w:t>30</w:t>
            </w:r>
            <w:r>
              <w:rPr/>
              <w:fldChar w:fldCharType="end"/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/>
              <w:fldChar w:fldCharType="begin"/>
            </w:r>
            <w:r>
              <w:rPr/>
              <w:instrText> = SUM(F13:F15)</w:instrText>
            </w:r>
            <w:r>
              <w:rPr/>
              <w:fldChar w:fldCharType="separate"/>
            </w:r>
            <w:r>
              <w:rPr/>
              <w:t>20</w:t>
            </w:r>
            <w:r>
              <w:rPr/>
              <w:fldChar w:fldCharType="end"/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/>
              <w:fldChar w:fldCharType="begin"/>
            </w:r>
            <w:r>
              <w:rPr/>
              <w:instrText> = SUM(G13:G15)</w:instrText>
            </w:r>
            <w:r>
              <w:rPr/>
              <w:fldChar w:fldCharType="separate"/>
            </w:r>
            <w:r>
              <w:rPr/>
              <w:t>12</w:t>
            </w:r>
            <w:r>
              <w:rPr/>
              <w:fldChar w:fldCharType="end"/>
            </w:r>
          </w:p>
        </w:tc>
      </w:tr>
      <w:tr>
        <w:trPr>
          <w:trHeight w:val="284" w:hRule="atLeast"/>
        </w:trPr>
        <w:tc>
          <w:tcPr>
            <w:tcW w:w="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9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Всего</w:t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3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/>
              <w:fldChar w:fldCharType="begin"/>
            </w:r>
            <w:r>
              <w:rPr/>
              <w:instrText> = F7+F12+F16</w:instrText>
            </w:r>
            <w:r>
              <w:rPr/>
              <w:fldChar w:fldCharType="separate"/>
            </w:r>
            <w:r>
              <w:rPr/>
              <w:t>73</w:t>
            </w:r>
            <w:r>
              <w:rPr/>
              <w:fldChar w:fldCharType="end"/>
            </w:r>
          </w:p>
        </w:tc>
        <w:tc>
          <w:tcPr>
            <w:tcW w:w="13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/>
              <w:fldChar w:fldCharType="begin"/>
            </w:r>
            <w:r>
              <w:rPr/>
              <w:instrText> = G7+G12+G16</w:instrText>
            </w:r>
            <w:r>
              <w:rPr/>
              <w:fldChar w:fldCharType="separate"/>
            </w:r>
            <w:r>
              <w:rPr/>
              <w:t>67</w:t>
            </w:r>
            <w:r>
              <w:rPr/>
              <w:fldChar w:fldCharType="end"/>
            </w:r>
          </w:p>
        </w:tc>
      </w:tr>
    </w:tbl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lang w:val="ru-RU"/>
        </w:rPr>
        <w:t>Затем составляется план мероприятий по продвижению:</w:t>
      </w:r>
    </w:p>
    <w:tbl>
      <w:tblPr>
        <w:tblW w:w="9617" w:type="dxa"/>
        <w:jc w:val="left"/>
        <w:tblInd w:w="108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1" w:noVBand="1" w:lastRow="0" w:firstColumn="1" w:lastColumn="0" w:noHBand="0" w:val="04a0"/>
      </w:tblPr>
      <w:tblGrid>
        <w:gridCol w:w="691"/>
        <w:gridCol w:w="2514"/>
        <w:gridCol w:w="1603"/>
        <w:gridCol w:w="1603"/>
        <w:gridCol w:w="1602"/>
        <w:gridCol w:w="1603"/>
      </w:tblGrid>
      <w:tr>
        <w:trPr>
          <w:tblHeader w:val="true"/>
          <w:trHeight w:val="794" w:hRule="atLeast"/>
        </w:trPr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№</w:t>
            </w:r>
          </w:p>
        </w:tc>
        <w:tc>
          <w:tcPr>
            <w:tcW w:w="2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Мероприятие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Целевая аудитория и охват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Рекламные каналы</w:t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Сроки и периодичность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Расходы на продвижение, руб.</w:t>
            </w:r>
          </w:p>
        </w:tc>
      </w:tr>
      <w:tr>
        <w:trPr>
          <w:trHeight w:val="794" w:hRule="atLeast"/>
        </w:trPr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</w:t>
            </w:r>
          </w:p>
        </w:tc>
        <w:tc>
          <w:tcPr>
            <w:tcW w:w="2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Изготовление представительских материалов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31.07.2025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30 000</w:t>
            </w:r>
          </w:p>
        </w:tc>
      </w:tr>
      <w:tr>
        <w:trPr>
          <w:trHeight w:val="534" w:hRule="atLeast"/>
        </w:trPr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</w:t>
            </w:r>
          </w:p>
        </w:tc>
        <w:tc>
          <w:tcPr>
            <w:tcW w:w="2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Проведение рекламной кампании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1574" w:hRule="atLeast"/>
        </w:trPr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2.1</w:t>
            </w:r>
          </w:p>
        </w:tc>
        <w:tc>
          <w:tcPr>
            <w:tcW w:w="2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Сбытовая реклама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Предприятия (охват не менее 30%)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Специализированные журналы, выставочные стенды, Интернет</w:t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 раз в месяц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200 000</w:t>
            </w:r>
          </w:p>
        </w:tc>
      </w:tr>
      <w:tr>
        <w:trPr>
          <w:trHeight w:val="794" w:hRule="atLeast"/>
        </w:trPr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Население (охват не менее 40%)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Интернет, радио, газеты</w:t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Не менее 5 контактов на человека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450 000</w:t>
            </w:r>
          </w:p>
        </w:tc>
      </w:tr>
      <w:tr>
        <w:trPr>
          <w:trHeight w:val="3134" w:hRule="atLeast"/>
        </w:trPr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2.2</w:t>
            </w:r>
          </w:p>
        </w:tc>
        <w:tc>
          <w:tcPr>
            <w:tcW w:w="2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Имиджевая реклама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Охват не менее 40% целевой аудитории (население, администрация города, руководители банков, страховых кампаний и пр.)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Реклама на ТВ, спонсорство</w:t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Не менее 2 контактов на человека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1 500 000</w:t>
            </w:r>
          </w:p>
        </w:tc>
      </w:tr>
      <w:tr>
        <w:trPr>
          <w:trHeight w:val="1054" w:hRule="atLeast"/>
        </w:trPr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2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Участие в выставках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Представители предприятий отраслей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Реклама на стендах, проспекты</w:t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 период участия в выставках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300 000</w:t>
            </w:r>
          </w:p>
        </w:tc>
      </w:tr>
      <w:tr>
        <w:trPr>
          <w:trHeight w:val="284" w:hRule="atLeast"/>
        </w:trPr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  <w:tc>
          <w:tcPr>
            <w:tcW w:w="2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…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84" w:hRule="atLeast"/>
        </w:trPr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24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Всего</w:t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24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…</w:t>
            </w:r>
          </w:p>
        </w:tc>
      </w:tr>
    </w:tbl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5"/>
        <w:rPr>
          <w:rFonts w:ascii="Times New Roman" w:hAnsi="Times New Roman" w:cs="Times New Roman"/>
        </w:rPr>
      </w:pPr>
      <w:bookmarkStart w:id="0" w:name="_Toc118"/>
      <w:r>
        <w:rPr>
          <w:rFonts w:eastAsia="Times New Roman" w:cs="Times New Roman" w:ascii="Times New Roman" w:hAnsi="Times New Roman"/>
          <w:lang w:val="ru-RU"/>
        </w:rPr>
        <w:t>5. Организационный план</w:t>
      </w:r>
      <w:r>
        <w:rPr>
          <w:rFonts w:eastAsia="Times New Roman" w:cs="Times New Roman" w:ascii="Times New Roman" w:hAnsi="Times New Roman"/>
        </w:rPr>
        <w:t xml:space="preserve">: </w:t>
      </w:r>
      <w:r>
        <w:rPr>
          <w:rFonts w:eastAsia="Times New Roman" w:cs="Times New Roman" w:ascii="Times New Roman" w:hAnsi="Times New Roman"/>
          <w:lang w:val="ru-RU"/>
        </w:rPr>
        <w:t>команда управления проектом</w:t>
      </w:r>
      <w:r>
        <w:rPr>
          <w:rFonts w:eastAsia="Times New Roman" w:cs="Times New Roman" w:ascii="Times New Roman" w:hAnsi="Times New Roman"/>
        </w:rPr>
        <w:t xml:space="preserve">, </w:t>
      </w:r>
      <w:r>
        <w:rPr>
          <w:rFonts w:eastAsia="Times New Roman" w:cs="Times New Roman" w:ascii="Times New Roman" w:hAnsi="Times New Roman"/>
          <w:lang w:val="ru-RU"/>
        </w:rPr>
        <w:t>партнеры по реализации проекта</w:t>
      </w:r>
      <w:r>
        <w:rPr>
          <w:rFonts w:eastAsia="Times New Roman" w:cs="Times New Roman" w:ascii="Times New Roman" w:hAnsi="Times New Roman"/>
        </w:rPr>
        <w:t>, организационная структура и график реализации проекта.</w:t>
      </w:r>
      <w:bookmarkEnd w:id="0"/>
    </w:p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lang w:val="ru-RU"/>
        </w:rPr>
        <w:t xml:space="preserve">Общая структура бизнес-процессов: </w:t>
      </w:r>
    </w:p>
    <w:p>
      <w:pPr>
        <w:pStyle w:val="Style21"/>
        <w:rPr>
          <w:rFonts w:ascii="Times New Roman" w:hAnsi="Times New Roman" w:cs="Times New Roman"/>
        </w:rPr>
      </w:pPr>
      <w:r>
        <w:rPr/>
        <w:drawing>
          <wp:inline distT="0" distB="0" distL="0" distR="0">
            <wp:extent cx="4733925" cy="1644015"/>
            <wp:effectExtent l="0" t="0" r="0" b="0"/>
            <wp:docPr id="3" name="Изображение8" descr="вставленный-фильм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8" descr="вставленный-фильм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23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3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7. Эффективность проекта: </w:t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lang w:val="ru-RU"/>
        </w:rPr>
        <w:t>Рассчитываются показатели эффективности проекта</w:t>
      </w:r>
      <w:r>
        <w:rPr>
          <w:rFonts w:eastAsia="Times New Roman" w:cs="Times New Roman" w:ascii="Times New Roman" w:hAnsi="Times New Roman"/>
        </w:rPr>
        <w:t xml:space="preserve">: </w:t>
      </w:r>
      <w:r>
        <w:rPr>
          <w:rFonts w:eastAsia="Times New Roman" w:cs="Times New Roman" w:ascii="Times New Roman" w:hAnsi="Times New Roman"/>
          <w:lang w:val="ru-RU"/>
        </w:rPr>
        <w:t>срок окупаемости</w:t>
      </w:r>
      <w:r>
        <w:rPr>
          <w:rFonts w:eastAsia="Times New Roman" w:cs="Times New Roman" w:ascii="Times New Roman" w:hAnsi="Times New Roman"/>
        </w:rPr>
        <w:t xml:space="preserve">, </w:t>
      </w:r>
      <w:r>
        <w:rPr>
          <w:rFonts w:eastAsia="Times New Roman" w:cs="Times New Roman" w:ascii="Times New Roman" w:hAnsi="Times New Roman"/>
          <w:lang w:val="ru-RU"/>
        </w:rPr>
        <w:t xml:space="preserve">чистый приведенный доход </w:t>
      </w:r>
      <w:r>
        <w:rPr>
          <w:rFonts w:eastAsia="Times New Roman" w:cs="Times New Roman" w:ascii="Times New Roman" w:hAnsi="Times New Roman"/>
        </w:rPr>
        <w:t xml:space="preserve">(NPV) </w:t>
      </w:r>
      <w:r>
        <w:rPr>
          <w:rFonts w:eastAsia="Times New Roman" w:cs="Times New Roman" w:ascii="Times New Roman" w:hAnsi="Times New Roman"/>
          <w:lang w:val="ru-RU"/>
        </w:rPr>
        <w:t>с учетом дисконтирования поступлений и выплат</w:t>
      </w:r>
      <w:r>
        <w:rPr>
          <w:rFonts w:eastAsia="Times New Roman" w:cs="Times New Roman" w:ascii="Times New Roman" w:hAnsi="Times New Roman"/>
        </w:rPr>
        <w:t xml:space="preserve">, </w:t>
      </w:r>
      <w:r>
        <w:rPr>
          <w:rFonts w:eastAsia="Times New Roman" w:cs="Times New Roman" w:ascii="Times New Roman" w:hAnsi="Times New Roman"/>
          <w:lang w:val="ru-RU"/>
        </w:rPr>
        <w:t xml:space="preserve">индекс прибыльности </w:t>
      </w:r>
      <w:r>
        <w:rPr>
          <w:rFonts w:eastAsia="Times New Roman" w:cs="Times New Roman" w:ascii="Times New Roman" w:hAnsi="Times New Roman"/>
        </w:rPr>
        <w:t xml:space="preserve">(PI) - </w:t>
      </w:r>
      <w:r>
        <w:rPr>
          <w:rFonts w:eastAsia="Times New Roman" w:cs="Times New Roman" w:ascii="Times New Roman" w:hAnsi="Times New Roman"/>
          <w:lang w:val="ru-RU"/>
        </w:rPr>
        <w:t>соотношение дисконтированных поступлений к дисконтированным расходам и т</w:t>
      </w:r>
      <w:r>
        <w:rPr>
          <w:rFonts w:eastAsia="Times New Roman" w:cs="Times New Roman" w:ascii="Times New Roman" w:hAnsi="Times New Roman"/>
        </w:rPr>
        <w:t>.д.</w:t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637" w:type="dxa"/>
        <w:jc w:val="left"/>
        <w:tblInd w:w="108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1" w:noVBand="1" w:lastRow="0" w:firstColumn="1" w:lastColumn="0" w:noHBand="0" w:val="04a0"/>
      </w:tblPr>
      <w:tblGrid>
        <w:gridCol w:w="1900"/>
        <w:gridCol w:w="7736"/>
      </w:tblGrid>
      <w:tr>
        <w:trPr>
          <w:tblHeader w:val="true"/>
          <w:trHeight w:val="800" w:hRule="atLeast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Показатель</w:t>
            </w:r>
          </w:p>
        </w:tc>
        <w:tc>
          <w:tcPr>
            <w:tcW w:w="7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Назначение</w:t>
            </w:r>
          </w:p>
        </w:tc>
      </w:tr>
      <w:tr>
        <w:trPr>
          <w:trHeight w:val="1834" w:hRule="atLeast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Простая норма прибыли</w:t>
            </w:r>
          </w:p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ROI</w:t>
            </w:r>
          </w:p>
        </w:tc>
        <w:tc>
          <w:tcPr>
            <w:tcW w:w="7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Показывает какая часть инвестиционных затрат возвращается в виде прибыли в течение года</w:t>
            </w:r>
          </w:p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Показатель, аналогичный показателю рентабельности капитала, однако ее основное отличие состоит в том, что простая норма прибыли (ROI - Return on Investments) рассчитывается как отношение годовой чистой прибыли (Рг) к общему объему инвестиционных затрат (I)</w:t>
            </w:r>
          </w:p>
        </w:tc>
      </w:tr>
      <w:tr>
        <w:trPr>
          <w:trHeight w:val="1314" w:hRule="atLeast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Чистый дисконтируемый доход</w:t>
              <w:br/>
              <w:t>NPV</w:t>
            </w:r>
          </w:p>
        </w:tc>
        <w:tc>
          <w:tcPr>
            <w:tcW w:w="7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Чистый поток денежных средств за время жизни проекта, приведеный в сопоставимый вид в соответствии с фактором времени. </w:t>
            </w:r>
          </w:p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Разность между инвестиционными затратами и дисконтированными поступлениями от инвестиционных вложений. </w:t>
            </w:r>
          </w:p>
        </w:tc>
      </w:tr>
      <w:tr>
        <w:trPr>
          <w:trHeight w:val="2354" w:hRule="atLeast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Внутренняя норма доходности</w:t>
              <w:br/>
              <w:t>IRR</w:t>
            </w:r>
          </w:p>
        </w:tc>
        <w:tc>
          <w:tcPr>
            <w:tcW w:w="7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Процент фактической нормы прибыли</w:t>
            </w:r>
          </w:p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Характеризует нижний гарантированный уровень прибыльности инвестиционного проекта и максимальную ставку платы за привлекаемые источники финансирования, при которой проект остается безубыточным.</w:t>
            </w:r>
          </w:p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Определяет максимальную ставку платы за привлеченные источники финансирования, при котором проект остается безубыточным. </w:t>
            </w:r>
          </w:p>
        </w:tc>
      </w:tr>
      <w:tr>
        <w:trPr>
          <w:trHeight w:val="2094" w:hRule="atLeast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Модифицированная внутренняя норма доходности</w:t>
              <w:br/>
              <w:t>MIRR</w:t>
            </w:r>
          </w:p>
        </w:tc>
        <w:tc>
          <w:tcPr>
            <w:tcW w:w="7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Ставка дисконтирования, уравнивающая приведенную термальную стоимость проекта и при веденную стоимость инвестиций. Термальная стоимость – наращение критерия стоимости денежных потоков, при условии их реинвестирования по цене капитала.</w:t>
            </w:r>
          </w:p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Ставка дисконта, уравнивающая приведенную стоимость инвестиций и будущую стоимость денежных потоков, при допущении, что они будут реинвестированы по цене капитала.</w:t>
            </w:r>
          </w:p>
        </w:tc>
      </w:tr>
      <w:tr>
        <w:trPr>
          <w:trHeight w:val="800" w:hRule="atLeast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Индекс рентабельности</w:t>
              <w:br/>
              <w:t>PI</w:t>
            </w:r>
          </w:p>
        </w:tc>
        <w:tc>
          <w:tcPr>
            <w:tcW w:w="7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Характеризует доход на единицу затрат.</w:t>
            </w:r>
          </w:p>
        </w:tc>
      </w:tr>
      <w:tr>
        <w:trPr>
          <w:trHeight w:val="800" w:hRule="atLeast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Срок окупаемости (быстрый метод)</w:t>
            </w:r>
          </w:p>
        </w:tc>
        <w:tc>
          <w:tcPr>
            <w:tcW w:w="7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Период времени, по истечении которого проект начинает приносить доход.</w:t>
            </w:r>
          </w:p>
        </w:tc>
      </w:tr>
      <w:tr>
        <w:trPr>
          <w:trHeight w:val="1054" w:hRule="atLeast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Дисконтированный срок окупаемости</w:t>
              <w:br/>
              <w:t>DPP</w:t>
            </w:r>
          </w:p>
        </w:tc>
        <w:tc>
          <w:tcPr>
            <w:tcW w:w="7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Определение точного периода окупаемости посредством учёта временного аспекта. </w:t>
            </w:r>
          </w:p>
        </w:tc>
      </w:tr>
      <w:tr>
        <w:trPr>
          <w:trHeight w:val="1054" w:hRule="atLeast"/>
        </w:trPr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Коэффициент эффективности инвестиций</w:t>
              <w:br/>
              <w:t>ARR</w:t>
            </w:r>
          </w:p>
        </w:tc>
        <w:tc>
          <w:tcPr>
            <w:tcW w:w="77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Отражает отношение чистой прибыли к инвестиционной сумме. </w:t>
            </w:r>
          </w:p>
        </w:tc>
      </w:tr>
    </w:tbl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3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</w:rPr>
        <w:t>8. Риски и гарантии: показываются предпринимательские риски проекта и возможные форс-мажорные обстоятельства его реализации.</w:t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lang w:val="ru-RU"/>
        </w:rPr>
        <w:t>Уровни рисков и возможные финансовые потери</w:t>
      </w:r>
      <w:r>
        <w:rPr>
          <w:rFonts w:eastAsia="Times New Roman" w:cs="Times New Roman" w:ascii="Times New Roman" w:hAnsi="Times New Roman"/>
        </w:rPr>
        <w:t>:</w:t>
      </w:r>
    </w:p>
    <w:tbl>
      <w:tblPr>
        <w:tblW w:w="9617" w:type="dxa"/>
        <w:jc w:val="left"/>
        <w:tblInd w:w="108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1" w:noVBand="1" w:lastRow="0" w:firstColumn="1" w:lastColumn="0" w:noHBand="0" w:val="04a0"/>
      </w:tblPr>
      <w:tblGrid>
        <w:gridCol w:w="4808"/>
        <w:gridCol w:w="4808"/>
      </w:tblGrid>
      <w:tr>
        <w:trPr>
          <w:tblHeader w:val="true"/>
          <w:trHeight w:val="284" w:hRule="atLeast"/>
        </w:trPr>
        <w:tc>
          <w:tcPr>
            <w:tcW w:w="4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Зона рисков</w:t>
            </w:r>
          </w:p>
        </w:tc>
        <w:tc>
          <w:tcPr>
            <w:tcW w:w="4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Возможные потери</w:t>
            </w:r>
          </w:p>
        </w:tc>
      </w:tr>
      <w:tr>
        <w:trPr>
          <w:trHeight w:val="284" w:hRule="atLeast"/>
        </w:trPr>
        <w:tc>
          <w:tcPr>
            <w:tcW w:w="4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Безрисковая зона</w:t>
            </w:r>
          </w:p>
        </w:tc>
        <w:tc>
          <w:tcPr>
            <w:tcW w:w="4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84" w:hRule="atLeast"/>
        </w:trPr>
        <w:tc>
          <w:tcPr>
            <w:tcW w:w="4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Зона допустимого риска</w:t>
            </w:r>
          </w:p>
        </w:tc>
        <w:tc>
          <w:tcPr>
            <w:tcW w:w="4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Потеря прибыли</w:t>
            </w:r>
          </w:p>
        </w:tc>
      </w:tr>
      <w:tr>
        <w:trPr>
          <w:trHeight w:val="284" w:hRule="atLeast"/>
        </w:trPr>
        <w:tc>
          <w:tcPr>
            <w:tcW w:w="4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Зона критического риска</w:t>
            </w:r>
          </w:p>
        </w:tc>
        <w:tc>
          <w:tcPr>
            <w:tcW w:w="4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Потеря выручки</w:t>
            </w:r>
          </w:p>
        </w:tc>
      </w:tr>
      <w:tr>
        <w:trPr>
          <w:trHeight w:val="284" w:hRule="atLeast"/>
        </w:trPr>
        <w:tc>
          <w:tcPr>
            <w:tcW w:w="4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Зона катастрофического риска</w:t>
            </w:r>
          </w:p>
        </w:tc>
        <w:tc>
          <w:tcPr>
            <w:tcW w:w="4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Style20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Потеря выручки и имущества</w:t>
            </w:r>
          </w:p>
        </w:tc>
      </w:tr>
    </w:tbl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617" w:type="dxa"/>
        <w:jc w:val="left"/>
        <w:tblInd w:w="108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firstRow="1" w:noVBand="1" w:lastRow="0" w:firstColumn="1" w:lastColumn="0" w:noHBand="0" w:val="04a0"/>
      </w:tblPr>
      <w:tblGrid>
        <w:gridCol w:w="2404"/>
        <w:gridCol w:w="2404"/>
        <w:gridCol w:w="2404"/>
        <w:gridCol w:w="2404"/>
      </w:tblGrid>
      <w:tr>
        <w:trPr>
          <w:tblHeader w:val="true"/>
          <w:trHeight w:val="794" w:hRule="atLeast"/>
        </w:trPr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Риск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Вероятность возникновения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Как избежать</w:t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8D8D8" w:val="clear"/>
            <w:vAlign w:val="center"/>
          </w:tcPr>
          <w:p>
            <w:pPr>
              <w:pStyle w:val="Style19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Как действовать в случае наступления</w:t>
            </w:r>
          </w:p>
        </w:tc>
      </w:tr>
      <w:tr>
        <w:trPr>
          <w:trHeight w:val="284" w:hRule="atLeast"/>
        </w:trPr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1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2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yle21"/>
        <w:bidi w:val="0"/>
        <w:jc w:val="left"/>
        <w:rPr>
          <w:rFonts w:ascii="Times New Roman" w:hAnsi="Times New Roman" w:cs="Times New Roman"/>
        </w:rPr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Helvetica Neue">
    <w:charset w:val="cc"/>
    <w:family w:val="roman"/>
    <w:pitch w:val="variable"/>
  </w:font>
  <w:font w:name="Helvetica Neue Light">
    <w:charset w:val="cc"/>
    <w:family w:val="roman"/>
    <w:pitch w:val="variable"/>
  </w:font>
  <w:font w:name="Times New Roman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624" w:hanging="34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907" w:hanging="34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1191" w:hanging="34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1474" w:hanging="34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1757" w:hanging="34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041" w:hanging="34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2324" w:hanging="34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2608" w:hanging="34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624" w:hanging="34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907" w:hanging="34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1191" w:hanging="34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1474" w:hanging="34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1757" w:hanging="34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041" w:hanging="34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2324" w:hanging="34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2608" w:hanging="34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624" w:hanging="34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907" w:hanging="34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1191" w:hanging="34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1474" w:hanging="34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1757" w:hanging="34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041" w:hanging="34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2324" w:hanging="34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2608" w:hanging="34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624" w:hanging="34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907" w:hanging="34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1191" w:hanging="34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1474" w:hanging="34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1757" w:hanging="34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041" w:hanging="34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2324" w:hanging="34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2608" w:hanging="34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pacing w:val="0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Style19">
    <w:name w:val="Заголовок таблицы - тёмный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="0" w:after="0"/>
      <w:ind w:left="0" w:right="0" w:hanging="0"/>
      <w:jc w:val="center"/>
    </w:pPr>
    <w:rPr>
      <w:rFonts w:ascii="Helvetica Neue" w:hAnsi="Helvetica Neue" w:eastAsia="Helvetica Neue" w:cs="Helvetica Neue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kern w:val="0"/>
      <w:position w:val="0"/>
      <w:sz w:val="22"/>
      <w:sz w:val="22"/>
      <w:szCs w:val="22"/>
      <w:u w:val="none"/>
      <w:shd w:fill="auto" w:val="clear"/>
      <w:vertAlign w:val="baseline"/>
      <w:lang w:val="ru-RU" w:eastAsia="zh-CN" w:bidi="hi-IN"/>
      <w14:textOutline>
        <w14:noFill/>
      </w14:textOutline>
      <w14:textFill>
        <w14:solidFill>
          <w14:srgbClr w14:val="000000"/>
        </w14:solidFill>
      </w14:textFill>
    </w:rPr>
  </w:style>
  <w:style w:type="paragraph" w:styleId="Style20">
    <w:name w:val="Текст таблицы по центру - тёмный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="0" w:after="0"/>
      <w:ind w:left="0" w:right="0" w:hanging="0"/>
      <w:jc w:val="center"/>
    </w:pPr>
    <w:rPr>
      <w:rFonts w:ascii="Helvetica Neue Light" w:hAnsi="Helvetica Neue Light" w:eastAsia="Helvetica Neue Light" w:cs="Helvetica Neue Light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kern w:val="0"/>
      <w:position w:val="0"/>
      <w:sz w:val="22"/>
      <w:sz w:val="22"/>
      <w:szCs w:val="22"/>
      <w:u w:val="none"/>
      <w:shd w:fill="auto" w:val="clear"/>
      <w:vertAlign w:val="baseline"/>
      <w:lang w:val="ru-RU" w:eastAsia="zh-CN" w:bidi="hi-IN"/>
      <w14:textOutline>
        <w14:noFill/>
      </w14:textOutline>
      <w14:textFill>
        <w14:solidFill>
          <w14:srgbClr w14:val="000000"/>
        </w14:solidFill>
      </w14:textFill>
    </w:rPr>
  </w:style>
  <w:style w:type="paragraph" w:styleId="Style21">
    <w:name w:val="Текст - тёмный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="0" w:after="0"/>
      <w:ind w:left="0" w:right="0" w:hanging="0"/>
      <w:jc w:val="left"/>
    </w:pPr>
    <w:rPr>
      <w:rFonts w:ascii="Helvetica Neue Light" w:hAnsi="Helvetica Neue Light" w:eastAsia="Helvetica Neue Light" w:cs="Helvetica Neue Light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kern w:val="0"/>
      <w:position w:val="0"/>
      <w:sz w:val="22"/>
      <w:sz w:val="22"/>
      <w:szCs w:val="22"/>
      <w:u w:val="none"/>
      <w:shd w:fill="auto" w:val="clear"/>
      <w:vertAlign w:val="baseline"/>
      <w:lang w:val="ru-RU" w:eastAsia="zh-CN" w:bidi="hi-IN"/>
      <w14:textOutline>
        <w14:noFill/>
      </w14:textOutline>
      <w14:textFill>
        <w14:solidFill>
          <w14:srgbClr w14:val="000000"/>
        </w14:solidFill>
      </w14:textFill>
    </w:rPr>
  </w:style>
  <w:style w:type="paragraph" w:styleId="Style22">
    <w:name w:val="Подзаголовок - тёмный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="0" w:after="0"/>
      <w:ind w:left="0" w:right="0" w:hanging="0"/>
      <w:jc w:val="left"/>
      <w:outlineLvl w:val="1"/>
    </w:pPr>
    <w:rPr>
      <w:rFonts w:ascii="Helvetica Neue" w:hAnsi="Helvetica Neue" w:eastAsia="Helvetica Neue" w:cs="Helvetica Neue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kern w:val="0"/>
      <w:position w:val="0"/>
      <w:sz w:val="22"/>
      <w:sz w:val="22"/>
      <w:szCs w:val="22"/>
      <w:u w:val="none"/>
      <w:shd w:fill="auto" w:val="clear"/>
      <w:vertAlign w:val="baseline"/>
      <w:lang w:val="ru-RU" w:eastAsia="zh-CN" w:bidi="hi-IN"/>
      <w14:textOutline>
        <w14:noFill/>
      </w14:textOutline>
      <w14:textFill>
        <w14:solidFill>
          <w14:srgbClr w14:val="000000"/>
        </w14:solidFill>
      </w14:textFill>
    </w:rPr>
  </w:style>
  <w:style w:type="paragraph" w:styleId="Style23">
    <w:name w:val="Подзаголовок третьего уровня - тёмный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="0" w:after="0"/>
      <w:ind w:left="0" w:right="0" w:hanging="0"/>
      <w:jc w:val="left"/>
    </w:pPr>
    <w:rPr>
      <w:rFonts w:ascii="Helvetica Neue" w:hAnsi="Helvetica Neue" w:eastAsia="Arial Unicode MS" w:cs="Arial Unicode MS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kern w:val="0"/>
      <w:position w:val="0"/>
      <w:sz w:val="22"/>
      <w:sz w:val="22"/>
      <w:szCs w:val="22"/>
      <w:u w:val="none"/>
      <w:shd w:fill="auto" w:val="clear"/>
      <w:vertAlign w:val="baseline"/>
      <w:lang w:val="ru-RU" w:eastAsia="zh-CN" w:bidi="hi-IN"/>
      <w14:textOutline>
        <w14:noFill/>
      </w14:textOutline>
      <w14:textFill>
        <w14:solidFill>
          <w14:srgbClr w14:val="000000"/>
        </w14:solidFill>
      </w14:textFill>
    </w:rPr>
  </w:style>
  <w:style w:type="paragraph" w:styleId="Style24">
    <w:name w:val="Текст строки итогов таблицы - тёмный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="0" w:after="0"/>
      <w:ind w:left="0" w:right="0" w:hanging="0"/>
      <w:jc w:val="center"/>
    </w:pPr>
    <w:rPr>
      <w:rFonts w:ascii="Helvetica Neue" w:hAnsi="Helvetica Neue" w:eastAsia="Helvetica Neue" w:cs="Helvetica Neue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kern w:val="0"/>
      <w:position w:val="0"/>
      <w:sz w:val="22"/>
      <w:sz w:val="22"/>
      <w:szCs w:val="22"/>
      <w:u w:val="none"/>
      <w:shd w:fill="auto" w:val="clear"/>
      <w:vertAlign w:val="baseline"/>
      <w:lang w:val="ru-RU" w:eastAsia="zh-CN" w:bidi="hi-IN"/>
      <w14:textOutline>
        <w14:noFill/>
      </w14:textOutline>
      <w14:textFill>
        <w14:solidFill>
          <w14:srgbClr w14:val="000000"/>
        </w14:solidFill>
      </w14:textFill>
    </w:rPr>
  </w:style>
  <w:style w:type="paragraph" w:styleId="Style25">
    <w:name w:val="Подзаголовок второго уровня - тёмный"/>
    <w:qFormat/>
    <w:pPr>
      <w:keepNext w:val="false"/>
      <w:keepLines w:val="false"/>
      <w:pageBreakBefore w:val="false"/>
      <w:widowControl/>
      <w:shd w:val="clear" w:color="auto" w:fill="auto"/>
      <w:suppressAutoHyphens w:val="true"/>
      <w:bidi w:val="0"/>
      <w:spacing w:lineRule="auto" w:line="240" w:before="0" w:after="0"/>
      <w:ind w:left="0" w:right="0" w:hanging="0"/>
      <w:jc w:val="left"/>
      <w:outlineLvl w:val="2"/>
    </w:pPr>
    <w:rPr>
      <w:rFonts w:ascii="Helvetica Neue" w:hAnsi="Helvetica Neue" w:eastAsia="Helvetica Neue" w:cs="Helvetica Neue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kern w:val="0"/>
      <w:position w:val="0"/>
      <w:sz w:val="22"/>
      <w:sz w:val="22"/>
      <w:szCs w:val="22"/>
      <w:u w:val="none"/>
      <w:shd w:fill="auto" w:val="clear"/>
      <w:vertAlign w:val="baseline"/>
      <w:lang w:val="ru-RU" w:eastAsia="zh-CN" w:bidi="hi-IN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LibreOffice/7.1.5.2$Windows_X86_64 LibreOffice_project/85f04e9f809797b8199d13c421bd8a2b025d52b5</Application>
  <AppVersion>15.0000</AppVersion>
  <Pages>13</Pages>
  <Words>1756</Words>
  <Characters>10620</Characters>
  <CharactersWithSpaces>11771</CharactersWithSpaces>
  <Paragraphs>614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2024-04-03T21:08:22Z</dcterms:created>
  <dc:creator/>
  <dc:description/>
  <dc:language>ru-RU</dc:language>
  <cp:lastModifiedBy/>
  <dcterms:modified xsi:type="dcterms:W3CDTF">2024-04-03T22:35:21Z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