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1"/>
        <w:rPr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val="ru-RU"/>
        </w:rPr>
        <w:t xml:space="preserve">Пример </w:t>
      </w:r>
      <w:r>
        <w:rPr>
          <w:rFonts w:eastAsia="Times New Roman" w:cs="Times New Roman" w:ascii="Times New Roman" w:hAnsi="Times New Roman"/>
          <w:sz w:val="32"/>
          <w:szCs w:val="32"/>
          <w:lang w:val="ru-RU"/>
        </w:rPr>
        <w:t>этапов бизнес-плана</w:t>
      </w:r>
    </w:p>
    <w:tbl>
      <w:tblPr>
        <w:tblW w:w="9565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739"/>
        <w:gridCol w:w="1247"/>
        <w:gridCol w:w="1361"/>
        <w:gridCol w:w="1135"/>
        <w:gridCol w:w="384"/>
        <w:gridCol w:w="388"/>
        <w:gridCol w:w="383"/>
        <w:gridCol w:w="388"/>
        <w:gridCol w:w="383"/>
        <w:gridCol w:w="387"/>
        <w:gridCol w:w="383"/>
        <w:gridCol w:w="386"/>
      </w:tblGrid>
      <w:tr>
        <w:trPr>
          <w:tblHeader w:val="true"/>
          <w:trHeight w:val="284" w:hRule="atLeast"/>
        </w:trPr>
        <w:tc>
          <w:tcPr>
            <w:tcW w:w="27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Этап</w:t>
            </w:r>
          </w:p>
        </w:tc>
        <w:tc>
          <w:tcPr>
            <w:tcW w:w="12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Срок, дней</w:t>
            </w:r>
          </w:p>
        </w:tc>
        <w:tc>
          <w:tcPr>
            <w:tcW w:w="24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Исполнитель</w:t>
            </w:r>
          </w:p>
        </w:tc>
        <w:tc>
          <w:tcPr>
            <w:tcW w:w="308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Недели</w:t>
            </w:r>
          </w:p>
        </w:tc>
      </w:tr>
      <w:tr>
        <w:trPr>
          <w:tblHeader w:val="true"/>
          <w:trHeight w:val="794" w:hRule="atLeast"/>
        </w:trPr>
        <w:tc>
          <w:tcPr>
            <w:tcW w:w="273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247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Имя сотрудника</w:t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Постановка цели (идея бизнес-проекта)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Совет директоров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Маркетинговые исследования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Анализ внешней среды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Внутренний аудит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SWOT-анализ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маркетинговых стратегии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31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Производственный план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производственного планирования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Финансовый план, расчет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эффективности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Финансовый отдел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05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организационной структуры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Совет директоров, отдел кадров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Компоновка бизнес-плана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 приложений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Экспертиза бизнес-плана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экспертизы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Оформление и утверждение бизнес-плана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Совет директоров, финансовый отдел, 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val="ru-RU"/>
        </w:rPr>
        <w:t xml:space="preserve">Маркетинговые стратегии компании: 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404"/>
        <w:gridCol w:w="2404"/>
        <w:gridCol w:w="2404"/>
        <w:gridCol w:w="2404"/>
      </w:tblGrid>
      <w:tr>
        <w:trPr>
          <w:tblHeader w:val="true"/>
          <w:trHeight w:val="53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Обоснование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Требуемые действия / ресурсы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Возможная проблема</w:t>
            </w:r>
          </w:p>
        </w:tc>
      </w:tr>
      <w:tr>
        <w:trPr>
          <w:trHeight w:val="131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 отношению к рынку: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 быстрого выхода на рынок Санкт-Петербурга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Существует хорошая динамика роста рынка строительства жилья в Санкт-Петербурге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Необходимость значительных инвестиций в «раскрутку» фирмы</w:t>
            </w:r>
          </w:p>
        </w:tc>
      </w:tr>
      <w:tr>
        <w:trPr>
          <w:trHeight w:val="235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Конкурентная стратегия: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достижение преимущества за счет соотношения цены и качества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Лучшее удовлетворение потребностей строительных компаний и населения в недорогих и качественных столярных изделиях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Необходимость дополнительных расходов на расширение ассортимента, организацию сервиса и контроль качества</w:t>
            </w:r>
          </w:p>
        </w:tc>
      </w:tr>
      <w:tr>
        <w:trPr>
          <w:trHeight w:val="79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Товарная стратегия: преимущественно стандартные изделия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Требования рынка массового жилья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поставшиков недорогой «столярки»</w:t>
            </w:r>
          </w:p>
        </w:tc>
      </w:tr>
      <w:tr>
        <w:trPr>
          <w:trHeight w:val="157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Ценовая стратегия: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доступная цена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Позволит расширить рынок сбыта, достичь стабильности за счет увеличения объемов реализации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Снижение дохода на вложенный капи-тал.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Себестоимость изделий должна быть невысокой</w:t>
            </w:r>
          </w:p>
        </w:tc>
      </w:tr>
      <w:tr>
        <w:trPr>
          <w:trHeight w:val="339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 дистрибьюции: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• </w:t>
            </w:r>
            <w:r>
              <w:rPr>
                <w:rFonts w:eastAsia="Times New Roman" w:cs="Times New Roman" w:ascii="Times New Roman" w:hAnsi="Times New Roman"/>
              </w:rPr>
              <w:t>прямой канал продаж на рынке строительства жилья;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• </w:t>
            </w:r>
            <w:r>
              <w:rPr>
                <w:rFonts w:eastAsia="Times New Roman" w:cs="Times New Roman" w:ascii="Times New Roman" w:hAnsi="Times New Roman"/>
              </w:rPr>
              <w:t>реализация через розницу для населения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Поставки строительным фирмам позволят наладить с ними долговременные отношения.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 изделий через предприятия розничной торговли будет способствовать увеличичению объемов продаж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Возможно противодействиие со стороны конкурентов</w:t>
            </w:r>
          </w:p>
        </w:tc>
      </w:tr>
      <w:tr>
        <w:trPr>
          <w:trHeight w:val="313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Коммуникативные стратегии</w:t>
            </w:r>
            <w:r>
              <w:rPr>
                <w:rFonts w:eastAsia="Times New Roman" w:cs="Times New Roman" w:ascii="Times New Roman" w:hAnsi="Times New Roman"/>
              </w:rPr>
              <w:t>:</w:t>
            </w:r>
          </w:p>
          <w:p>
            <w:pPr>
              <w:pStyle w:val="Style20"/>
              <w:widowControl w:val="false"/>
              <w:numPr>
                <w:ilvl w:val="0"/>
                <w:numId w:val="1"/>
              </w:numPr>
              <w:ind w:left="340" w:right="0" w:hanging="3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  <w:lang w:val="ru-RU"/>
              </w:rPr>
              <w:t>личные продажи</w:t>
            </w:r>
          </w:p>
          <w:p>
            <w:pPr>
              <w:pStyle w:val="Style20"/>
              <w:widowControl w:val="false"/>
              <w:numPr>
                <w:ilvl w:val="0"/>
                <w:numId w:val="1"/>
              </w:numPr>
              <w:ind w:left="340" w:right="0" w:hanging="3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</w:rPr>
              <w:t>реклама на конечного потребителя</w:t>
            </w:r>
          </w:p>
          <w:p>
            <w:pPr>
              <w:pStyle w:val="Style20"/>
              <w:widowControl w:val="false"/>
              <w:numPr>
                <w:ilvl w:val="0"/>
                <w:numId w:val="1"/>
              </w:numPr>
              <w:ind w:left="340" w:right="0" w:hanging="3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  <w:lang w:val="ru-RU"/>
              </w:rPr>
              <w:t>ценовое стимулирование строительных компаний и розничной торговли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Необходимы информационная реклама о новой компании, стимулирование потребителей и строительных компаний к сотрудничеству на основе индивидуального подхода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Необходимость значительных ресурсов на продвижение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val="ru-RU"/>
        </w:rPr>
        <w:t>Пример оценки привлекательности рынков сбыта: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029"/>
        <w:gridCol w:w="2176"/>
        <w:gridCol w:w="1603"/>
        <w:gridCol w:w="1603"/>
        <w:gridCol w:w="1602"/>
        <w:gridCol w:w="1603"/>
      </w:tblGrid>
      <w:tr>
        <w:trPr>
          <w:tblHeader w:val="true"/>
          <w:trHeight w:val="284" w:hRule="atLeast"/>
        </w:trPr>
        <w:tc>
          <w:tcPr>
            <w:tcW w:w="102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№</w:t>
            </w:r>
          </w:p>
        </w:tc>
        <w:tc>
          <w:tcPr>
            <w:tcW w:w="21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Критерий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Важность критерия, %</w:t>
            </w:r>
          </w:p>
        </w:tc>
        <w:tc>
          <w:tcPr>
            <w:tcW w:w="480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Оценка по пятибалльной шкале</w:t>
            </w:r>
          </w:p>
        </w:tc>
      </w:tr>
      <w:tr>
        <w:trPr>
          <w:tblHeader w:val="true"/>
          <w:trHeight w:val="284" w:hRule="atLeast"/>
        </w:trPr>
        <w:tc>
          <w:tcPr>
            <w:tcW w:w="102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Рынок 1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Рынок 2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Рынок 3</w:t>
            </w:r>
          </w:p>
        </w:tc>
      </w:tr>
      <w:tr>
        <w:trPr>
          <w:trHeight w:val="28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Емкость рынка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Темп роста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Потенциальная емкость рынка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Потенциал валовой прибыли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Состояние конкуренции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Риски и барьеры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Итого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Индекс покупательной способности </w:t>
      </w:r>
      <w:r>
        <w:rPr>
          <w:rFonts w:eastAsia="Times New Roman" w:cs="Times New Roman" w:ascii="Times New Roman" w:hAnsi="Times New Roman"/>
        </w:rPr>
        <w:t>(ИПС):</w:t>
      </w:r>
      <w:r>
        <w:rPr>
          <w:rFonts w:eastAsia="Times New Roman" w:cs="Times New Roman" w:ascii="Times New Roman" w:hAnsi="Times New Roman"/>
          <w:lang w:val="ru-RU"/>
        </w:rPr>
        <w:t xml:space="preserve"> </w:t>
      </w:r>
    </w:p>
    <w:p>
      <w:pPr>
        <w:pStyle w:val="Style21"/>
        <w:rPr>
          <w:rFonts w:ascii="Times New Roman" w:hAnsi="Times New Roman" w:cs="Times New Roman"/>
          <w:color w:val="000000"/>
          <w:sz w:val="22"/>
        </w:rPr>
      </w:pP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Индекс покупательской способности региона=(0,5</m:t>
        </m:r>
        <m:r>
          <w:rPr>
            <w:rFonts w:ascii="Cambria Math" w:hAnsi="Cambria Math"/>
          </w:rPr>
          <m:t xml:space="preserve">×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Д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)+(0,3</m:t>
        </m:r>
        <m:r>
          <w:rPr>
            <w:rFonts w:ascii="Cambria Math" w:hAnsi="Cambria Math"/>
          </w:rPr>
          <m:t xml:space="preserve">×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Р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)+(0,2</m:t>
        </m:r>
        <m:r>
          <w:rPr>
            <w:rFonts w:ascii="Cambria Math" w:hAnsi="Cambria Math"/>
          </w:rPr>
          <m:t xml:space="preserve">×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Н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)</m:t>
        </m:r>
      </m:oMath>
      <w:r>
        <w:rPr>
          <w:rFonts w:eastAsia="Times New Roman" w:cs="Times New Roman" w:ascii="Times New Roman" w:hAnsi="Times New Roman"/>
          <w:lang w:val="ru-RU"/>
        </w:rPr>
        <w:t xml:space="preserve">, где: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Д</w:t>
      </w:r>
      <w:r>
        <w:rPr>
          <w:rFonts w:eastAsia="Times New Roman" w:cs="Times New Roman" w:ascii="Times New Roman" w:hAnsi="Times New Roman"/>
          <w:vertAlign w:val="subscript"/>
          <w:lang w:val="en-US"/>
        </w:rPr>
        <w:t>i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ru-RU"/>
        </w:rPr>
        <w:t>- суммарный доход жителей региона в процентах от общенационального</w:t>
      </w:r>
      <w:r>
        <w:rPr>
          <w:rFonts w:eastAsia="Times New Roman" w:cs="Times New Roman" w:ascii="Times New Roman" w:hAnsi="Times New Roman"/>
        </w:rPr>
        <w:t xml:space="preserve">;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Р</w:t>
      </w:r>
      <w:r>
        <w:rPr>
          <w:rFonts w:eastAsia="Times New Roman" w:cs="Times New Roman" w:ascii="Times New Roman" w:hAnsi="Times New Roman"/>
          <w:vertAlign w:val="subscript"/>
          <w:lang w:val="en-US"/>
        </w:rPr>
        <w:t>i</w:t>
      </w:r>
      <w:r>
        <w:rPr>
          <w:rFonts w:eastAsia="Times New Roman" w:cs="Times New Roman" w:ascii="Times New Roman" w:hAnsi="Times New Roman"/>
          <w:lang w:val="ru-RU"/>
        </w:rPr>
        <w:t xml:space="preserve"> - обьем розничных продаж в регионе в процентах от общенационального</w:t>
      </w:r>
      <w:r>
        <w:rPr>
          <w:rFonts w:eastAsia="Times New Roman" w:cs="Times New Roman" w:ascii="Times New Roman" w:hAnsi="Times New Roman"/>
        </w:rPr>
        <w:t xml:space="preserve">;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Н</w:t>
      </w:r>
      <w:r>
        <w:rPr>
          <w:rFonts w:eastAsia="Times New Roman" w:cs="Times New Roman" w:ascii="Times New Roman" w:hAnsi="Times New Roman"/>
          <w:vertAlign w:val="subscript"/>
          <w:lang w:val="en-US"/>
        </w:rPr>
        <w:t>i</w:t>
      </w:r>
      <w:r>
        <w:rPr>
          <w:rFonts w:eastAsia="Times New Roman" w:cs="Times New Roman" w:ascii="Times New Roman" w:hAnsi="Times New Roman"/>
          <w:lang w:val="ru-RU"/>
        </w:rPr>
        <w:t xml:space="preserve"> - общее число жителей региона в процентах от общей численности населения страны</w:t>
      </w:r>
      <w:r>
        <w:rPr>
          <w:rFonts w:eastAsia="Times New Roman" w:cs="Times New Roman" w:ascii="Times New Roman" w:hAnsi="Times New Roman"/>
          <w:lang w:val="en-US"/>
        </w:rPr>
        <w:t xml:space="preserve">.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bidi w:val="0"/>
        <w:jc w:val="left"/>
        <w:rPr>
          <w:rFonts w:ascii="Times New Roman" w:hAnsi="Times New Roman" w:cs="Times New Roman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Helvetica Neue">
    <w:charset w:val="cc"/>
    <w:family w:val="roman"/>
    <w:pitch w:val="variable"/>
  </w:font>
  <w:font w:name="Helvetica Neue Light"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6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90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19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47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175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04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3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2608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Заголовок таблицы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center"/>
    </w:pPr>
    <w:rPr>
      <w:rFonts w:ascii="Helvetica Neue" w:hAnsi="Helvetica Neue" w:eastAsia="Helvetica Neue" w:cs="Helvetica Neu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0">
    <w:name w:val="Текст таблицы по центру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center"/>
    </w:pPr>
    <w:rPr>
      <w:rFonts w:ascii="Helvetica Neue Light" w:hAnsi="Helvetica Neue Light" w:eastAsia="Helvetica Neue Light" w:cs="Helvetica Neue Light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1">
    <w:name w:val="Текст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left"/>
    </w:pPr>
    <w:rPr>
      <w:rFonts w:ascii="Helvetica Neue Light" w:hAnsi="Helvetica Neue Light" w:eastAsia="Helvetica Neue Light" w:cs="Helvetica Neue Light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LibreOffice/7.1.5.2$Windows_X86_64 LibreOffice_project/85f04e9f809797b8199d13c421bd8a2b025d52b5</Application>
  <AppVersion>15.0000</AppVersion>
  <Pages>3</Pages>
  <Words>394</Words>
  <Characters>2614</Characters>
  <CharactersWithSpaces>2872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2024-04-03T21:08:22Z</dcterms:created>
  <dc:creator/>
  <dc:description/>
  <dc:language>ru-RU</dc:language>
  <cp:lastModifiedBy/>
  <dcterms:modified xsi:type="dcterms:W3CDTF">2024-04-03T22:15:56Z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