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2i8guxbgvot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este período se consolidó la transición técnica hacia la versión funcional del sistema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EcoLearn / EcoScan Chile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). Se cerró exitosamente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1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 un pipeline funcional de inferencia visual y se avanzó en el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Sprint 2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 la persistencia relacional en base de datos y la arquitectura cliente-servidor. A la fecha, se cumplieron los siguientes objetivos específicos: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Entrenamiento preliminar y ajuste fino (fine-tuning, 50 épocas) del modelo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YOLO11n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sobre tres clases prioritarias (Plástico, Cartón y Aluminio);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Construcción del backend asíncrono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main.py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con endpoints de inferencia (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/predict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y de datos (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/db/...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);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Diseño, script DDL y carga de datos de la base de datos relacional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MySQL 8.0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ecoscan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) con 14 tablas normalizadas y registro transaccional de inferencias;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Desarrollo de la interfaz cliente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React 18 + Vite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conectada a la API local;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5)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Formalización de la especificación técnica mediante un documento ERS de 100 requisitos y 14 diagramas de proceso en estándar BPMN v4. 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Objetivo General Ajustado: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Desarrollar una solución web asistida por visión computacional (YOLO11n), persistencia relacional (MySQL 8.0) y arquitectura desacoplada (FastAPI + React 18) para la orientación ciudadana en la clasificación, reciclaje y reutilización de residuos prioritarios bajo el marco de la Ley REP (Ley N° 20.920).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Ajustes en Específicos: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adopta la arquitectura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YOLO11n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sustitución de YOLOv8 para optimizar métricas de detección y tiempos de respuesta en CPU.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valida la persistencia relacional operativa sobre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MySQL 8.0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(14 tablas) para resolver la entrega del 50%, planificando la extensión espacial (PostGIS/Docker) para la fase de escalamiento.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ratifican las 3 clases iniciales con evidencia empírica: Plástico, Cartón y Aluminio.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formaliza una metodología dual: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1) Marco Ágil Scrum: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Gobierno del proyecto mediante Jira Software estructurado en 4 Sprints (94 Story Points), con ceremonias semanales y control visual de avance.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2) Metodología CRISP-DM: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Conducción estricta de las fases de ingeniería de datos e IA (Comprensión del Negocio, Comprensión de Datos, Preparación en Roboflow, Modelado YOLO11n, Evaluación y Despliegue en API).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presentan y adjuntan las siguientes evidencias técnicas auditables: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1)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Informe de Pruebas de Software y Modelo de Visión (09-10-2026): Certifica 8/8 pruebas de humo en OK, latencia de inferencia promedio de 112 ms (P95 de 131 ms), y exactitud global del 90% (27 de 30 fotos reales clasificadas con éxito).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2)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Evidencia de Persistencia Relacional: Capturas de MySQL Workbench validando las 14 tablas activas y 30 registros guardados en la tabla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inferencia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3)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Repositorio Git: Estructura con control de versiones, ramas por funcionalidad, archivo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.gitignore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técnico con instrucciones de ejecución.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4)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Tablero Jira Software: Trazabilidad de tickets del Sprint 1 cerrados (Done) y Sprint 2 en progreso con sus Story Points.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5)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Especificación ERS y BPMN: Documento de 100 requisitos estructurados y modelos BPMN v4. 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74765850"/>
        <w:tag w:val="goog_rdk_0"/>
      </w:sdtPr>
      <w:sdtContent>
        <w:tbl>
          <w:tblPr>
            <w:tblStyle w:val="Table3"/>
            <w:tblpPr w:leftFromText="180" w:rightFromText="180" w:topFromText="180" w:bottomFromText="180" w:vertAnchor="text" w:horzAnchor="text" w:tblpX="-575.9999999999997" w:tblpY="0"/>
            <w:tblW w:w="9498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498"/>
            <w:tblGridChange w:id="0">
              <w:tblGrid>
                <w:gridCol w:w="9498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2">
                <w:pPr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23">
                <w:pPr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1244074"/>
        <w:tag w:val="goog_rdk_1"/>
      </w:sdtPr>
      <w:sdtContent>
        <w:tbl>
          <w:tblPr>
            <w:tblStyle w:val="Table4"/>
            <w:tblpPr w:leftFromText="180" w:rightFromText="180" w:topFromText="0" w:bottomFromText="0" w:vertAnchor="page" w:horzAnchor="margin" w:tblpX="-711" w:tblpY="4515"/>
            <w:tblW w:w="979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35"/>
            <w:gridCol w:w="1080"/>
            <w:gridCol w:w="1125"/>
            <w:gridCol w:w="990"/>
            <w:gridCol w:w="1290"/>
            <w:gridCol w:w="1470"/>
            <w:gridCol w:w="1110"/>
            <w:gridCol w:w="1395"/>
            <w:tblGridChange w:id="0">
              <w:tblGrid>
                <w:gridCol w:w="1335"/>
                <w:gridCol w:w="1080"/>
                <w:gridCol w:w="1125"/>
                <w:gridCol w:w="990"/>
                <w:gridCol w:w="1290"/>
                <w:gridCol w:w="1470"/>
                <w:gridCol w:w="1110"/>
                <w:gridCol w:w="1395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D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205" w:hRule="atLeast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jc w:val="both"/>
                  <w:rPr>
                    <w:b w:val="1"/>
                    <w:b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Inteligencia Artificial y Minería de Datos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Curación, etiquetado y balanceo del dataset en Roboflow (Fase CRISP-DM 2 y 3). 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jc w:val="both"/>
                  <w:rPr>
                    <w:b w:val="1"/>
                    <w:b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Roboflow Suite, imágenes de residuos locales, Python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jc w:val="both"/>
                  <w:rPr>
                    <w:b w:val="1"/>
                    <w:b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semanas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Williams Chañillao 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Herramienta de aumentación asistida.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Desbalance inicial en latas de aluminio 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jc w:val="both"/>
                  <w:rPr>
                    <w:i w:val="1"/>
                    <w:iCs w:val="1"/>
                    <w:color w:val="548dd4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ejecutó oversampling y limpieza en 485 archivos de etiquetas </w:t>
                </w:r>
              </w:p>
            </w:tc>
          </w:tr>
          <w:tr>
            <w:trPr>
              <w:cantSplit w:val="0"/>
              <w:trHeight w:val="2160" w:hRule="atLeast"/>
              <w:tblHeader w:val="0"/>
            </w:trPr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Inteligencia Artificial y Software 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Entrenamiento y ajuste fino (fine-tuning) del modelo de visión 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Ultralytics, Google Colab (GPU), 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yolo11n.pt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Emanuel Mejías 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Convergencia rápida en 50 épocas.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Falsas alarmas en fondos de cartón texturizado 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Migración técnica desde YOLOv8n hacia YOLO11n para mejorar precisión </w:t>
                </w:r>
              </w:p>
            </w:tc>
          </w:tr>
          <w:tr>
            <w:trPr>
              <w:cantSplit w:val="0"/>
              <w:trHeight w:val="2355" w:hRule="atLeast"/>
              <w:tblHeader w:val="0"/>
            </w:trPr>
            <w:tc>
              <w:tcPr/>
              <w:p w:rsidR="00000000" w:rsidDel="00000000" w:rsidP="00000000" w:rsidRDefault="00000000" w:rsidRPr="00000000" w14:paraId="0000004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de Software y Backend 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Construcción de API REST asíncrona y endpoints de inferencia/datos 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Python 3.11, FastAPI, Uvicorn, PyMySQL 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semanas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Emanuel Mejías 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Swagger UI automático (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/docs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).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Excepción HTTP 500 ante archivos no imagen 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preparó middleware de captura para responder HTTP 400 controlado 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Modelado de Datos y Persistencia 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Diseño relacional, ejecución DDL y carga de catálogos en base de datos 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MySQL Server 8.0, MySQL Workbench, SQL DDL/DML 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Bruno Díaz 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Normalización en 3FN.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Adecuación sintáctica desde PostgreSQL hacia MySQL 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Implementación operativa en MySQL 8.0 con 14 tablas para la demo funcional </w:t>
                </w:r>
              </w:p>
            </w:tc>
          </w:tr>
          <w:tr>
            <w:trPr>
              <w:cantSplit w:val="0"/>
              <w:trHeight w:val="2130" w:hRule="atLeast"/>
              <w:tblHeader w:val="0"/>
            </w:trPr>
            <w:tc>
              <w:tcPr/>
              <w:p w:rsidR="00000000" w:rsidDel="00000000" w:rsidP="00000000" w:rsidRDefault="00000000" w:rsidRPr="00000000" w14:paraId="0000005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Aseguramiento de Calidad (QA) y Testing 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Ejecución de pruebas de humo, latencia y validación empírica con 30 fotos 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Script 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probar_modelo.py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, Postman, terminal PowerShell 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Bruno Díaz · Emanuel Mejías 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Script automatizado de evaluación.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Conversión de formatos HEIC de iPhone a JPG 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Automatización de la bandera 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--guardar-bd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para registro histórico </w:t>
                </w:r>
              </w:p>
            </w:tc>
          </w:tr>
          <w:tr>
            <w:trPr>
              <w:cantSplit w:val="0"/>
              <w:trHeight w:val="2085" w:hRule="atLeast"/>
              <w:tblHeader w:val="0"/>
            </w:trPr>
            <w:tc>
              <w:tcPr/>
              <w:p w:rsidR="00000000" w:rsidDel="00000000" w:rsidP="00000000" w:rsidRDefault="00000000" w:rsidRPr="00000000" w14:paraId="0000005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Gestión y Modelado de Procesos 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Modelado BPMN v4 y Especificación de Requisitos de Software (ERS) 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Bizagi / Draw.io, Word (Estándar IEEE 830) 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Williams Chañillao 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Facilitador: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Flujos de interacción bien definidos.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Alta granularidad al mapear 14 procesos 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Formalización de 100 requisitos estructurados (60 RF y 40 RNF) </w:t>
                </w:r>
              </w:p>
            </w:tc>
          </w:tr>
          <w:tr>
            <w:trPr>
              <w:cantSplit w:val="0"/>
              <w:trHeight w:val="1695" w:hRule="atLeast"/>
              <w:tblHeader w:val="0"/>
            </w:trPr>
            <w:tc>
              <w:tcPr/>
              <w:p w:rsidR="00000000" w:rsidDel="00000000" w:rsidP="00000000" w:rsidRDefault="00000000" w:rsidRPr="00000000" w14:paraId="0000006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Arquitectura e Infraestructura 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Contenerización con Docker y Docker Compose 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Docker Desktop, 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docker-compose.yml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, Dockerfile 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2 semanas 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Bruno Díaz 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Dificultad: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Consumo de recursos de virtualización en máquinas locales de desarrollo 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preparación para encapsular el entorno antes de la entrega final 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Facilitadores: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automatización de pruebas mediante el script probar_modelo.py, que permitió ejecutar 8 pruebas de humo en menos de 35 ms y evaluar 30 imágenes reales en solo 3 minutos.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adopción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Roboflow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que aceleró sustancialmente la anotación de cajas delimitadoras y la aumentación sintética de datos.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separación desacoplada entre frontend (React) y backend (FastAPI), permitiendo desarrollar y depurar las rutas de base de datos (/db/...) independientemente de la inferencia.</w:t>
            </w:r>
          </w:p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Factores Dificultadores y Acciones Tomadas: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Discrepancia en formatos de imagen: Fotografías tomadas con dispositivos iPhone se generaron en formato HEIC incompatible con OpenCV/YOLO.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programó el script utilitario convertir_heic.py para estandarizar el set de prueba en formato JPG.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Caso límite en la API (Error 500): Al subir archivos binarios que no corresponden a imágenes, FastAPI generaba una excepción no capturada (HTTP 500).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diseñó el bloque de validación con try/except en main.py para devolver un código HTTP 400 con mensaje semántico al usuario.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Falsas alarmas en cartón texturizado: Dos fotografías de cartón arrojaron detecciones secundarias erróneas de plástico con baja confianza (0.41 y 0.32).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Acción: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calibrará el umbral mínimo de confianza (confidence threshold) a 0.50 en el endpoint para filtrar ruido de fondo.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76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Migración del modelo de visión de YOLOv8 a YOLO11n: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ajustó la arquitectura base hacia la versión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YOLO11 Nano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Ultralytics. Este cambio mejoró la velocidad de inferencia en CPU (latencia promedio de 112 ms y P95 de 131 ms) manteniendo un tamaño de pesos liviano (best.pt).</w:t>
            </w:r>
          </w:p>
          <w:p w:rsidR="00000000" w:rsidDel="00000000" w:rsidP="00000000" w:rsidRDefault="00000000" w:rsidRPr="00000000" w14:paraId="0000007E">
            <w:pPr>
              <w:spacing w:line="276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operativa en MySQL 8.0 para la Fase 2: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 el fin de asegurar una demostración funcional estable con persistencia transaccional real, se implementó el esquema de 14 tablas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MySQL 8.0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con Workbench, postergando la orquestación geoespacial con PostGIS/Docker para el hito del Sprint 3.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Sustitución de PoC en Streamlit por Frontend React nativo: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Al contar con la interfaz web en React 18 ya conectada al backend FastAPI (/predict y /db/...), se priorizó la validación sobre la aplicación cliente final, dejando Streamlit como alternativa secundaria de laboratorio.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76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Dockerización completa del entorno: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 encuentra en estado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curso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 El motivo del retraso fue priorizar la estabilización del pipeline de inferencia y la carga de datos en MySQL para el informe de pruebas.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Estrategia de mitigación: Bruno Díaz integrará el Dockerfile y el archivo docker-compose.yml durante las dos primeras semanas del Sprint 3 para encapsular los servicios ya verificados localmente.</w:t>
            </w:r>
          </w:p>
          <w:p w:rsidR="00000000" w:rsidDel="00000000" w:rsidP="00000000" w:rsidRDefault="00000000" w:rsidRPr="00000000" w14:paraId="00000085">
            <w:pPr>
              <w:spacing w:line="276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Elevación del indicador mAP@50 del modelo: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Las métricas actuales en el set de validación se sitúan en 0.562 y se tiene como meta alcanzar un valor </w:t>
            </w:r>
            <m:oMath>
              <m:r>
                <m:t>≥</m:t>
              </m:r>
              <m:r>
                <w:rPr>
                  <w:i w:val="1"/>
                  <w:iCs w:val="1"/>
                  <w:color w:val="548dd4"/>
                  <w:sz w:val="20"/>
                  <w:szCs w:val="20"/>
                </w:rPr>
                <m:t xml:space="preserve">0.65</m:t>
              </m:r>
            </m:oMath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Estrategia de mitigación: Williams Chañillao incorporará un lote adicional de imágenes de fondo neutro y se ejecutará entrenamiento con Test-Time Augmentation (TTA) durante el siguiente ciclo de CRISP-DM.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D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8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Z06yVy2Tw30db5mmoIBxpUfdpQ==">CgMxLjAaHwoBMBIaChgICVIUChJ0YWJsZS5mNmkxbjc5em9nYWsaHwoBMRIaChgICVIUChJ0YWJsZS5tcTJ5eGVhMXp0Ym8yDmguMmk4Z3V4Ymd2b3RiOAByITEwOHl3Z3ZnbzRxVk1YU3dpTFdUd0ZNbDctSHRuSXpFdQ==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