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Plataforma Web de Asistencia Pedagógica, Clasificación Visual e Inclusión de Gestores de Residuos bajo la Ley REP (EcoLearn / EcoScan Chile).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3"/>
              </w:numPr>
              <w:spacing w:after="0" w:afterAutospacing="0" w:line="276"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Desarrollo de Software y Arquitectura de Sistemas Web (React 18 + Vite, FastAPI).</w:t>
            </w:r>
          </w:p>
          <w:p w:rsidR="00000000" w:rsidDel="00000000" w:rsidP="00000000" w:rsidRDefault="00000000" w:rsidRPr="00000000" w14:paraId="00000012">
            <w:pPr>
              <w:numPr>
                <w:ilvl w:val="0"/>
                <w:numId w:val="3"/>
              </w:numPr>
              <w:spacing w:after="0" w:afterAutospacing="0" w:line="276"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Inteligencia Artificial Aplicada y Minería de Datos (Visión Computacional bajo metodología CRISP-DM con YOLO11n).</w:t>
            </w:r>
          </w:p>
          <w:p w:rsidR="00000000" w:rsidDel="00000000" w:rsidP="00000000" w:rsidRDefault="00000000" w:rsidRPr="00000000" w14:paraId="00000013">
            <w:pPr>
              <w:numPr>
                <w:ilvl w:val="0"/>
                <w:numId w:val="3"/>
              </w:numPr>
              <w:spacing w:after="0" w:afterAutospacing="0" w:line="276"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Ingeniería de Datos, Modelado Relacional y Persistencia Transaccional (MySQL 8.0 con 14 tablas normalizadas).</w:t>
            </w:r>
          </w:p>
          <w:p w:rsidR="00000000" w:rsidDel="00000000" w:rsidP="00000000" w:rsidRDefault="00000000" w:rsidRPr="00000000" w14:paraId="00000014">
            <w:pPr>
              <w:numPr>
                <w:ilvl w:val="0"/>
                <w:numId w:val="3"/>
              </w:numPr>
              <w:spacing w:line="276"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Gestión Ágil de Proyectos Informáticos y Aseguramiento de Calidad (Scrum en Jira, BPMN y Testing en múltiples niveles).</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spacing w:line="276" w:lineRule="auto"/>
              <w:rPr>
                <w:i w:val="1"/>
                <w:iCs w:val="1"/>
                <w:color w:val="548dd4"/>
                <w:sz w:val="20"/>
                <w:szCs w:val="20"/>
              </w:rPr>
            </w:pPr>
            <w:r w:rsidDel="00000000" w:rsidR="00000000" w:rsidRPr="00000000">
              <w:rPr>
                <w:b w:val="1"/>
                <w:bCs w:val="1"/>
                <w:i w:val="1"/>
                <w:iCs w:val="1"/>
                <w:color w:val="548dd4"/>
                <w:sz w:val="20"/>
                <w:szCs w:val="20"/>
                <w:rtl w:val="0"/>
              </w:rPr>
              <w:t xml:space="preserve">Software:</w:t>
            </w:r>
            <w:r w:rsidDel="00000000" w:rsidR="00000000" w:rsidRPr="00000000">
              <w:rPr>
                <w:i w:val="1"/>
                <w:iCs w:val="1"/>
                <w:color w:val="548dd4"/>
                <w:sz w:val="20"/>
                <w:szCs w:val="20"/>
                <w:rtl w:val="0"/>
              </w:rPr>
              <w:t xml:space="preserve"> Construir aplicaciones web desacopladas integrando interfaces cliente reactivas con microservicios REST asíncronos y consumo de modelos de machine learning.</w:t>
            </w:r>
          </w:p>
          <w:p w:rsidR="00000000" w:rsidDel="00000000" w:rsidP="00000000" w:rsidRDefault="00000000" w:rsidRPr="00000000" w14:paraId="00000018">
            <w:pPr>
              <w:spacing w:line="276" w:lineRule="auto"/>
              <w:rPr>
                <w:i w:val="1"/>
                <w:iCs w:val="1"/>
                <w:color w:val="548dd4"/>
                <w:sz w:val="20"/>
                <w:szCs w:val="20"/>
              </w:rPr>
            </w:pPr>
            <w:r w:rsidDel="00000000" w:rsidR="00000000" w:rsidRPr="00000000">
              <w:rPr>
                <w:b w:val="1"/>
                <w:bCs w:val="1"/>
                <w:i w:val="1"/>
                <w:iCs w:val="1"/>
                <w:color w:val="548dd4"/>
                <w:sz w:val="20"/>
                <w:szCs w:val="20"/>
                <w:rtl w:val="0"/>
              </w:rPr>
              <w:t xml:space="preserve">Datos e Inteligencia Artificial:</w:t>
            </w:r>
            <w:r w:rsidDel="00000000" w:rsidR="00000000" w:rsidRPr="00000000">
              <w:rPr>
                <w:i w:val="1"/>
                <w:iCs w:val="1"/>
                <w:color w:val="548dd4"/>
                <w:sz w:val="20"/>
                <w:szCs w:val="20"/>
                <w:rtl w:val="0"/>
              </w:rPr>
              <w:t xml:space="preserve"> Aplicar el ciclo metodológico formal CRISP-DM para la curación de datasets, entrenamiento, optimización mediante fine-tuning de redes neuronales convolucionales y evaluación de métricas de desempeño.</w:t>
            </w:r>
          </w:p>
          <w:p w:rsidR="00000000" w:rsidDel="00000000" w:rsidP="00000000" w:rsidRDefault="00000000" w:rsidRPr="00000000" w14:paraId="00000019">
            <w:pPr>
              <w:spacing w:line="276" w:lineRule="auto"/>
              <w:rPr>
                <w:i w:val="1"/>
                <w:iCs w:val="1"/>
                <w:color w:val="548dd4"/>
                <w:sz w:val="20"/>
                <w:szCs w:val="20"/>
              </w:rPr>
            </w:pPr>
            <w:r w:rsidDel="00000000" w:rsidR="00000000" w:rsidRPr="00000000">
              <w:rPr>
                <w:b w:val="1"/>
                <w:bCs w:val="1"/>
                <w:i w:val="1"/>
                <w:iCs w:val="1"/>
                <w:color w:val="548dd4"/>
                <w:sz w:val="20"/>
                <w:szCs w:val="20"/>
                <w:rtl w:val="0"/>
              </w:rPr>
              <w:t xml:space="preserve">Bases de Datos:</w:t>
            </w:r>
            <w:r w:rsidDel="00000000" w:rsidR="00000000" w:rsidRPr="00000000">
              <w:rPr>
                <w:i w:val="1"/>
                <w:iCs w:val="1"/>
                <w:color w:val="548dd4"/>
                <w:sz w:val="20"/>
                <w:szCs w:val="20"/>
                <w:rtl w:val="0"/>
              </w:rPr>
              <w:t xml:space="preserve"> Diseñar, normalizar en 3FN e implementar esquemas relacionales con integridad referencial estricta y consultas optimizadas para trazabilidad transaccional.</w:t>
            </w:r>
          </w:p>
          <w:p w:rsidR="00000000" w:rsidDel="00000000" w:rsidP="00000000" w:rsidRDefault="00000000" w:rsidRPr="00000000" w14:paraId="0000001A">
            <w:pPr>
              <w:spacing w:line="276" w:lineRule="auto"/>
              <w:rPr>
                <w:i w:val="1"/>
                <w:iCs w:val="1"/>
                <w:color w:val="548dd4"/>
                <w:sz w:val="20"/>
                <w:szCs w:val="20"/>
              </w:rPr>
            </w:pPr>
            <w:r w:rsidDel="00000000" w:rsidR="00000000" w:rsidRPr="00000000">
              <w:rPr>
                <w:b w:val="1"/>
                <w:bCs w:val="1"/>
                <w:i w:val="1"/>
                <w:iCs w:val="1"/>
                <w:color w:val="548dd4"/>
                <w:sz w:val="20"/>
                <w:szCs w:val="20"/>
                <w:rtl w:val="0"/>
              </w:rPr>
              <w:t xml:space="preserve">Gestión y Procesos:</w:t>
            </w:r>
            <w:r w:rsidDel="00000000" w:rsidR="00000000" w:rsidRPr="00000000">
              <w:rPr>
                <w:i w:val="1"/>
                <w:iCs w:val="1"/>
                <w:color w:val="548dd4"/>
                <w:sz w:val="20"/>
                <w:szCs w:val="20"/>
                <w:rtl w:val="0"/>
              </w:rPr>
              <w:t xml:space="preserve"> Administrar el ciclo de vida del proyecto mediante marcos ágiles (Scrum), modelar procesos de negocio bajo el estándar BPMN 2.0 y ejecutar planes de pruebas automatizadas y de humo.</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1. Relevancia del proyecto APT</w:t>
            </w:r>
          </w:p>
        </w:tc>
        <w:tc>
          <w:tcPr>
            <w:vAlign w:val="center"/>
          </w:tcPr>
          <w:p w:rsidR="00000000" w:rsidDel="00000000" w:rsidP="00000000" w:rsidRDefault="00000000" w:rsidRPr="00000000" w14:paraId="0000001F">
            <w:pPr>
              <w:spacing w:after="0" w:line="276" w:lineRule="auto"/>
              <w:jc w:val="both"/>
              <w:rPr>
                <w:i w:val="1"/>
                <w:iCs w:val="1"/>
                <w:color w:val="0070c0"/>
                <w:sz w:val="20"/>
                <w:szCs w:val="20"/>
              </w:rPr>
            </w:pPr>
            <w:r w:rsidDel="00000000" w:rsidR="00000000" w:rsidRPr="00000000">
              <w:rPr>
                <w:b w:val="1"/>
                <w:bCs w:val="1"/>
                <w:i w:val="1"/>
                <w:iCs w:val="1"/>
                <w:color w:val="0070c0"/>
                <w:sz w:val="20"/>
                <w:szCs w:val="20"/>
                <w:rtl w:val="0"/>
              </w:rPr>
              <w:t xml:space="preserve">Problema abordado y relevancia profesional:</w:t>
              <w:br w:type="textWrapping"/>
            </w:r>
            <w:r w:rsidDel="00000000" w:rsidR="00000000" w:rsidRPr="00000000">
              <w:rPr>
                <w:i w:val="1"/>
                <w:iCs w:val="1"/>
                <w:color w:val="0070c0"/>
                <w:sz w:val="20"/>
                <w:szCs w:val="20"/>
                <w:rtl w:val="0"/>
              </w:rPr>
              <w:t xml:space="preserve">En Chile, la tasa nacional de valorización de residuos domiciliarios no supera el 10-14%, según datos del Ministerio del Medio Ambiente. Con la implementación de la Ley REP (Ley N° 20.920), se evidenció que la principal barrera no es exclusivamente la infraestructura física, sino una </w:t>
            </w:r>
            <w:r w:rsidDel="00000000" w:rsidR="00000000" w:rsidRPr="00000000">
              <w:rPr>
                <w:b w:val="1"/>
                <w:bCs w:val="1"/>
                <w:i w:val="1"/>
                <w:iCs w:val="1"/>
                <w:color w:val="0070c0"/>
                <w:sz w:val="20"/>
                <w:szCs w:val="20"/>
                <w:rtl w:val="0"/>
              </w:rPr>
              <w:t xml:space="preserve">brecha cívico-pedagógica</w:t>
            </w:r>
            <w:r w:rsidDel="00000000" w:rsidR="00000000" w:rsidRPr="00000000">
              <w:rPr>
                <w:i w:val="1"/>
                <w:iCs w:val="1"/>
                <w:color w:val="0070c0"/>
                <w:sz w:val="20"/>
                <w:szCs w:val="20"/>
                <w:rtl w:val="0"/>
              </w:rPr>
              <w:t xml:space="preserve">: la ciudadanía desconoce los protocolos correctos de acondicionamiento de envases (enjuagar, secar, separar tapas/etiquetas y compactar) o ignora a qué punto limpio o gestor formal llevarlos. Para la ingeniería informática, este desafío es altamente relevante: demuestra cómo la inteligencia artificial aplicada y el desarrollo web moderno pueden operar como herramientas de cambio cultural y eficiencia operativa aguas arriba de la logística de reciclaje.</w:t>
            </w:r>
          </w:p>
          <w:p w:rsidR="00000000" w:rsidDel="00000000" w:rsidP="00000000" w:rsidRDefault="00000000" w:rsidRPr="00000000" w14:paraId="00000020">
            <w:pPr>
              <w:spacing w:after="0" w:line="276" w:lineRule="auto"/>
              <w:jc w:val="both"/>
              <w:rPr>
                <w:i w:val="1"/>
                <w:iCs w:val="1"/>
                <w:color w:val="0070c0"/>
                <w:sz w:val="20"/>
                <w:szCs w:val="20"/>
              </w:rPr>
            </w:pPr>
            <w:r w:rsidDel="00000000" w:rsidR="00000000" w:rsidRPr="00000000">
              <w:rPr>
                <w:b w:val="1"/>
                <w:bCs w:val="1"/>
                <w:i w:val="1"/>
                <w:iCs w:val="1"/>
                <w:color w:val="0070c0"/>
                <w:sz w:val="20"/>
                <w:szCs w:val="20"/>
                <w:rtl w:val="0"/>
              </w:rPr>
              <w:t xml:space="preserve">Ubicación del escenario:</w:t>
              <w:br w:type="textWrapping"/>
            </w:r>
            <w:r w:rsidDel="00000000" w:rsidR="00000000" w:rsidRPr="00000000">
              <w:rPr>
                <w:i w:val="1"/>
                <w:iCs w:val="1"/>
                <w:color w:val="0070c0"/>
                <w:sz w:val="20"/>
                <w:szCs w:val="20"/>
                <w:rtl w:val="0"/>
              </w:rPr>
              <w:t xml:space="preserve">El proyecto sitúa su alcance territorial inicial en la </w:t>
            </w:r>
            <w:r w:rsidDel="00000000" w:rsidR="00000000" w:rsidRPr="00000000">
              <w:rPr>
                <w:b w:val="1"/>
                <w:bCs w:val="1"/>
                <w:i w:val="1"/>
                <w:iCs w:val="1"/>
                <w:color w:val="0070c0"/>
                <w:sz w:val="20"/>
                <w:szCs w:val="20"/>
                <w:rtl w:val="0"/>
              </w:rPr>
              <w:t xml:space="preserve">Región Metropolitana de Santiago</w:t>
            </w:r>
            <w:r w:rsidDel="00000000" w:rsidR="00000000" w:rsidRPr="00000000">
              <w:rPr>
                <w:i w:val="1"/>
                <w:iCs w:val="1"/>
                <w:color w:val="0070c0"/>
                <w:sz w:val="20"/>
                <w:szCs w:val="20"/>
                <w:rtl w:val="0"/>
              </w:rPr>
              <w:t xml:space="preserve"> (cubriendo comunas como Maipú, Santiago Centro, Providencia, Las Condes, Ñuñoa, La Florida, Puente Alto, Peñalolén y San Bernardo), con una arquitectura diseñada para escalar a nivel nacional. Su ámbito operativo es el espacio cotidiano del usuario (hogar, oficina o colegio) a través de dispositivos móviles y de escritorio.</w:t>
            </w:r>
          </w:p>
          <w:p w:rsidR="00000000" w:rsidDel="00000000" w:rsidP="00000000" w:rsidRDefault="00000000" w:rsidRPr="00000000" w14:paraId="00000021">
            <w:pPr>
              <w:spacing w:after="0" w:line="276" w:lineRule="auto"/>
              <w:jc w:val="both"/>
              <w:rPr>
                <w:b w:val="1"/>
                <w:bCs w:val="1"/>
                <w:i w:val="1"/>
                <w:iCs w:val="1"/>
                <w:color w:val="0070c0"/>
                <w:sz w:val="20"/>
                <w:szCs w:val="20"/>
              </w:rPr>
            </w:pPr>
            <w:r w:rsidDel="00000000" w:rsidR="00000000" w:rsidRPr="00000000">
              <w:rPr>
                <w:b w:val="1"/>
                <w:bCs w:val="1"/>
                <w:i w:val="1"/>
                <w:iCs w:val="1"/>
                <w:color w:val="0070c0"/>
                <w:sz w:val="20"/>
                <w:szCs w:val="20"/>
                <w:rtl w:val="0"/>
              </w:rPr>
              <w:t xml:space="preserve">Grupos afectados e impactados:</w:t>
            </w:r>
          </w:p>
          <w:p w:rsidR="00000000" w:rsidDel="00000000" w:rsidP="00000000" w:rsidRDefault="00000000" w:rsidRPr="00000000" w14:paraId="00000022">
            <w:pPr>
              <w:numPr>
                <w:ilvl w:val="0"/>
                <w:numId w:val="6"/>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Ciudadanos (B2C): Personas que desean reciclar pero enfrentan dudas técnicas en el momento del descarte domiciliario.</w:t>
            </w:r>
          </w:p>
          <w:p w:rsidR="00000000" w:rsidDel="00000000" w:rsidP="00000000" w:rsidRDefault="00000000" w:rsidRPr="00000000" w14:paraId="00000023">
            <w:pPr>
              <w:numPr>
                <w:ilvl w:val="0"/>
                <w:numId w:val="6"/>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Municipios (DIMAO) y Sistemas de Gestión (GRANSIC / ReSimple) (B2G/B2B): Entidades que reducen sus costos de rechazo de fardos en plantas y obtienen trazabilidad de consultas ciudadanas.</w:t>
            </w:r>
          </w:p>
          <w:p w:rsidR="00000000" w:rsidDel="00000000" w:rsidP="00000000" w:rsidRDefault="00000000" w:rsidRPr="00000000" w14:paraId="00000024">
            <w:pPr>
              <w:numPr>
                <w:ilvl w:val="0"/>
                <w:numId w:val="6"/>
              </w:numPr>
              <w:spacing w:after="24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Recicladores de Base: Gestores formalizados que ganan visibilidad y vinculación directa en la cadena de recuperación.</w:t>
            </w:r>
          </w:p>
          <w:p w:rsidR="00000000" w:rsidDel="00000000" w:rsidP="00000000" w:rsidRDefault="00000000" w:rsidRPr="00000000" w14:paraId="00000025">
            <w:pPr>
              <w:spacing w:after="0" w:line="276" w:lineRule="auto"/>
              <w:jc w:val="both"/>
              <w:rPr>
                <w:i w:val="1"/>
                <w:iCs w:val="1"/>
                <w:color w:val="0070c0"/>
                <w:sz w:val="20"/>
                <w:szCs w:val="20"/>
              </w:rPr>
            </w:pPr>
            <w:r w:rsidDel="00000000" w:rsidR="00000000" w:rsidRPr="00000000">
              <w:rPr>
                <w:b w:val="1"/>
                <w:bCs w:val="1"/>
                <w:i w:val="1"/>
                <w:iCs w:val="1"/>
                <w:color w:val="0070c0"/>
                <w:sz w:val="20"/>
                <w:szCs w:val="20"/>
                <w:rtl w:val="0"/>
              </w:rPr>
              <w:t xml:space="preserve">Aporte de valor del proyecto:</w:t>
              <w:br w:type="textWrapping"/>
            </w:r>
            <w:r w:rsidDel="00000000" w:rsidR="00000000" w:rsidRPr="00000000">
              <w:rPr>
                <w:i w:val="1"/>
                <w:iCs w:val="1"/>
                <w:color w:val="0070c0"/>
                <w:sz w:val="20"/>
                <w:szCs w:val="20"/>
                <w:rtl w:val="0"/>
              </w:rPr>
              <w:t xml:space="preserve">EcoLearn aporta una solución software-first de acceso inmediato que no exige presencia in situ frente a un contenedor. Resuelve la duda en menos de 3 clics o mediante una fotografía, promoviendo tanto el </w:t>
            </w:r>
            <w:r w:rsidDel="00000000" w:rsidR="00000000" w:rsidRPr="00000000">
              <w:rPr>
                <w:b w:val="1"/>
                <w:bCs w:val="1"/>
                <w:i w:val="1"/>
                <w:iCs w:val="1"/>
                <w:color w:val="0070c0"/>
                <w:sz w:val="20"/>
                <w:szCs w:val="20"/>
                <w:rtl w:val="0"/>
              </w:rPr>
              <w:t xml:space="preserve">reciclaje formal</w:t>
            </w:r>
            <w:r w:rsidDel="00000000" w:rsidR="00000000" w:rsidRPr="00000000">
              <w:rPr>
                <w:i w:val="1"/>
                <w:iCs w:val="1"/>
                <w:color w:val="0070c0"/>
                <w:sz w:val="20"/>
                <w:szCs w:val="20"/>
                <w:rtl w:val="0"/>
              </w:rPr>
              <w:t xml:space="preserve"> bajo estándares normativos como la </w:t>
            </w:r>
            <w:r w:rsidDel="00000000" w:rsidR="00000000" w:rsidRPr="00000000">
              <w:rPr>
                <w:b w:val="1"/>
                <w:bCs w:val="1"/>
                <w:i w:val="1"/>
                <w:iCs w:val="1"/>
                <w:color w:val="0070c0"/>
                <w:sz w:val="20"/>
                <w:szCs w:val="20"/>
                <w:rtl w:val="0"/>
              </w:rPr>
              <w:t xml:space="preserve">reutilización creativa (upcycling)</w:t>
            </w:r>
            <w:r w:rsidDel="00000000" w:rsidR="00000000" w:rsidRPr="00000000">
              <w:rPr>
                <w:i w:val="1"/>
                <w:iCs w:val="1"/>
                <w:color w:val="0070c0"/>
                <w:sz w:val="20"/>
                <w:szCs w:val="20"/>
                <w:rtl w:val="0"/>
              </w:rPr>
              <w:t xml:space="preserve">, disminuyendo la contaminación cruzada en puntos de acopio.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2. Objetivos </w:t>
            </w:r>
          </w:p>
        </w:tc>
        <w:tc>
          <w:tcPr>
            <w:vAlign w:val="center"/>
          </w:tcPr>
          <w:p w:rsidR="00000000" w:rsidDel="00000000" w:rsidP="00000000" w:rsidRDefault="00000000" w:rsidRPr="00000000" w14:paraId="00000027">
            <w:pPr>
              <w:spacing w:line="276" w:lineRule="auto"/>
              <w:jc w:val="both"/>
              <w:rPr>
                <w:i w:val="1"/>
                <w:iCs w:val="1"/>
                <w:color w:val="0070c0"/>
                <w:sz w:val="20"/>
                <w:szCs w:val="20"/>
              </w:rPr>
            </w:pPr>
            <w:r w:rsidDel="00000000" w:rsidR="00000000" w:rsidRPr="00000000">
              <w:rPr>
                <w:b w:val="1"/>
                <w:bCs w:val="1"/>
                <w:i w:val="1"/>
                <w:iCs w:val="1"/>
                <w:color w:val="0070c0"/>
                <w:sz w:val="20"/>
                <w:szCs w:val="20"/>
                <w:rtl w:val="0"/>
              </w:rPr>
              <w:t xml:space="preserve">Objetivo General:</w:t>
              <w:br w:type="textWrapping"/>
            </w:r>
            <w:r w:rsidDel="00000000" w:rsidR="00000000" w:rsidRPr="00000000">
              <w:rPr>
                <w:i w:val="1"/>
                <w:iCs w:val="1"/>
                <w:color w:val="0070c0"/>
                <w:sz w:val="20"/>
                <w:szCs w:val="20"/>
                <w:rtl w:val="0"/>
              </w:rPr>
              <w:t xml:space="preserve">Desarrollar e implementar una plataforma web de asistencia pedagógica, clasificación visual e inclusión de gestores de residuos bajo la Ley REP, integrando un modelo de visión computacional fine-tuneado (YOLO11n), un microservicio REST en FastAPI, persistencia relacional en MySQL 8.0 y una interfaz cliente reactiva en React 18, validada mediante metodologías Scrum y CRISP-DM.</w:t>
            </w:r>
          </w:p>
          <w:p w:rsidR="00000000" w:rsidDel="00000000" w:rsidP="00000000" w:rsidRDefault="00000000" w:rsidRPr="00000000" w14:paraId="00000028">
            <w:pPr>
              <w:spacing w:line="276" w:lineRule="auto"/>
              <w:jc w:val="both"/>
              <w:rPr>
                <w:b w:val="1"/>
                <w:bCs w:val="1"/>
                <w:i w:val="1"/>
                <w:iCs w:val="1"/>
                <w:color w:val="0070c0"/>
                <w:sz w:val="20"/>
                <w:szCs w:val="20"/>
              </w:rPr>
            </w:pPr>
            <w:r w:rsidDel="00000000" w:rsidR="00000000" w:rsidRPr="00000000">
              <w:rPr>
                <w:b w:val="1"/>
                <w:bCs w:val="1"/>
                <w:i w:val="1"/>
                <w:iCs w:val="1"/>
                <w:color w:val="0070c0"/>
                <w:sz w:val="20"/>
                <w:szCs w:val="20"/>
                <w:rtl w:val="0"/>
              </w:rPr>
              <w:t xml:space="preserve">Objetivos Específicos:</w:t>
            </w:r>
          </w:p>
          <w:p w:rsidR="00000000" w:rsidDel="00000000" w:rsidP="00000000" w:rsidRDefault="00000000" w:rsidRPr="00000000" w14:paraId="00000029">
            <w:pPr>
              <w:numPr>
                <w:ilvl w:val="0"/>
                <w:numId w:val="4"/>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Diseñar y normalizar en 3FN un esquema de base de datos relacional en MySQL 8.0 (14 tablas) que registre catálogos de materiales, comunas, puntos limpios y auditoría transaccional de inferencias.</w:t>
            </w:r>
          </w:p>
          <w:p w:rsidR="00000000" w:rsidDel="00000000" w:rsidP="00000000" w:rsidRDefault="00000000" w:rsidRPr="00000000" w14:paraId="0000002A">
            <w:pPr>
              <w:numPr>
                <w:ilvl w:val="0"/>
                <w:numId w:val="4"/>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Implementar el pipeline de visión artificial bajo CRISP-DM, curando un dataset de residuos domiciliarios y aplicando fine-tuning sobre YOLO11n para clasificar con exactitud $\ge 85\%$ clases prioritarias (Plástico, Cartón y Aluminio).</w:t>
            </w:r>
          </w:p>
          <w:p w:rsidR="00000000" w:rsidDel="00000000" w:rsidP="00000000" w:rsidRDefault="00000000" w:rsidRPr="00000000" w14:paraId="0000002B">
            <w:pPr>
              <w:numPr>
                <w:ilvl w:val="0"/>
                <w:numId w:val="4"/>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Construir una API REST asíncrona en FastAPI que exponga rutas de datos y el endpoint /predict con tiempos de respuesta inferiores a 250 ms en servidor CPU.</w:t>
            </w:r>
          </w:p>
          <w:p w:rsidR="00000000" w:rsidDel="00000000" w:rsidP="00000000" w:rsidRDefault="00000000" w:rsidRPr="00000000" w14:paraId="0000002C">
            <w:pPr>
              <w:numPr>
                <w:ilvl w:val="0"/>
                <w:numId w:val="4"/>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Desarrollar una interfaz web interactiva y modular en React 18 con Vite que integre captura fotográfica, visualización de bounding boxes, micro-guías pedagógicas duales y filtros por comuna.</w:t>
            </w:r>
          </w:p>
          <w:p w:rsidR="00000000" w:rsidDel="00000000" w:rsidP="00000000" w:rsidRDefault="00000000" w:rsidRPr="00000000" w14:paraId="0000002D">
            <w:pPr>
              <w:numPr>
                <w:ilvl w:val="0"/>
                <w:numId w:val="4"/>
              </w:numPr>
              <w:spacing w:after="24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Ejecutar un protocolo formal de aseguramiento de calidad con pruebas de humo, casos límite, pruebas de latencia y evaluación sobre fotos reales.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3. Metodología</w:t>
            </w:r>
          </w:p>
        </w:tc>
        <w:tc>
          <w:tcPr>
            <w:vAlign w:val="center"/>
          </w:tcPr>
          <w:p w:rsidR="00000000" w:rsidDel="00000000" w:rsidP="00000000" w:rsidRDefault="00000000" w:rsidRPr="00000000" w14:paraId="0000002F">
            <w:pPr>
              <w:spacing w:line="276" w:lineRule="auto"/>
              <w:rPr>
                <w:i w:val="1"/>
                <w:iCs w:val="1"/>
                <w:color w:val="0070c0"/>
                <w:sz w:val="20"/>
                <w:szCs w:val="20"/>
              </w:rPr>
            </w:pPr>
            <w:r w:rsidDel="00000000" w:rsidR="00000000" w:rsidRPr="00000000">
              <w:rPr>
                <w:b w:val="1"/>
                <w:bCs w:val="1"/>
                <w:i w:val="1"/>
                <w:iCs w:val="1"/>
                <w:color w:val="0070c0"/>
                <w:sz w:val="20"/>
                <w:szCs w:val="20"/>
                <w:rtl w:val="0"/>
              </w:rPr>
              <w:t xml:space="preserve">Metodología utilizada y fases:</w:t>
              <w:br w:type="textWrapping"/>
            </w:r>
            <w:r w:rsidDel="00000000" w:rsidR="00000000" w:rsidRPr="00000000">
              <w:rPr>
                <w:i w:val="1"/>
                <w:iCs w:val="1"/>
                <w:color w:val="0070c0"/>
                <w:sz w:val="20"/>
                <w:szCs w:val="20"/>
                <w:rtl w:val="0"/>
              </w:rPr>
              <w:t xml:space="preserve">Se utilizó una </w:t>
            </w:r>
            <w:r w:rsidDel="00000000" w:rsidR="00000000" w:rsidRPr="00000000">
              <w:rPr>
                <w:b w:val="1"/>
                <w:bCs w:val="1"/>
                <w:i w:val="1"/>
                <w:iCs w:val="1"/>
                <w:color w:val="0070c0"/>
                <w:sz w:val="20"/>
                <w:szCs w:val="20"/>
                <w:rtl w:val="0"/>
              </w:rPr>
              <w:t xml:space="preserve">metodología dual articulada</w:t>
            </w:r>
            <w:r w:rsidDel="00000000" w:rsidR="00000000" w:rsidRPr="00000000">
              <w:rPr>
                <w:i w:val="1"/>
                <w:iCs w:val="1"/>
                <w:color w:val="0070c0"/>
                <w:sz w:val="20"/>
                <w:szCs w:val="20"/>
                <w:rtl w:val="0"/>
              </w:rPr>
              <w:t xml:space="preserve">:</w:t>
            </w:r>
          </w:p>
          <w:p w:rsidR="00000000" w:rsidDel="00000000" w:rsidP="00000000" w:rsidRDefault="00000000" w:rsidRPr="00000000" w14:paraId="00000030">
            <w:pPr>
              <w:numPr>
                <w:ilvl w:val="0"/>
                <w:numId w:val="7"/>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Marco Ágil Scrum (Gestión de Software): Se organizó el ciclo lectivo en Sprints iterativos gestionados mediante Jira Software con un Product Backlog formalizado en Historias de Usuario, estimación en Story Points y ceremonias ágiles.</w:t>
            </w:r>
          </w:p>
          <w:p w:rsidR="00000000" w:rsidDel="00000000" w:rsidP="00000000" w:rsidRDefault="00000000" w:rsidRPr="00000000" w14:paraId="00000031">
            <w:pPr>
              <w:numPr>
                <w:ilvl w:val="0"/>
                <w:numId w:val="7"/>
              </w:numPr>
              <w:spacing w:after="24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Metodología CRISP-DM (Ingeniería de Visión Artificial): Condujo el desarrollo de la IA en sus 6 etapas: Comprensión del Negocio (metas Ley REP), Comprensión de Datos (recolección de imágenes de residuos chilenos), Preparación de Datos (etiquetado en Roboflow, limpieza de 485 archivos y oversampling de Aluminio), Modelado (entrenamiento de YOLO11n a 50 épocas), Evaluación (pruebas empíricas con 30 fotos reales) y Despliegue (montaje en FastAPI con endpoint /predict).</w:t>
            </w:r>
          </w:p>
          <w:p w:rsidR="00000000" w:rsidDel="00000000" w:rsidP="00000000" w:rsidRDefault="00000000" w:rsidRPr="00000000" w14:paraId="00000032">
            <w:pPr>
              <w:spacing w:line="276" w:lineRule="auto"/>
              <w:rPr>
                <w:i w:val="1"/>
                <w:iCs w:val="1"/>
                <w:color w:val="0070c0"/>
                <w:sz w:val="20"/>
                <w:szCs w:val="20"/>
              </w:rPr>
            </w:pPr>
            <w:r w:rsidDel="00000000" w:rsidR="00000000" w:rsidRPr="00000000">
              <w:rPr>
                <w:b w:val="1"/>
                <w:bCs w:val="1"/>
                <w:i w:val="1"/>
                <w:iCs w:val="1"/>
                <w:color w:val="0070c0"/>
                <w:sz w:val="20"/>
                <w:szCs w:val="20"/>
                <w:rtl w:val="0"/>
              </w:rPr>
              <w:t xml:space="preserve">Fundamentación de su pertinencia:</w:t>
              <w:br w:type="textWrapping"/>
            </w:r>
            <w:r w:rsidDel="00000000" w:rsidR="00000000" w:rsidRPr="00000000">
              <w:rPr>
                <w:i w:val="1"/>
                <w:iCs w:val="1"/>
                <w:color w:val="0070c0"/>
                <w:sz w:val="20"/>
                <w:szCs w:val="20"/>
                <w:rtl w:val="0"/>
              </w:rPr>
              <w:t xml:space="preserve">La combinación de Scrum con CRISP-DM fue determinante para el éxito del proyecto. Los proyectos que integran visión por computadora no pueden gestionarse únicamente con desarrollo de software tradicional, ya que requieren fases de experimentación exploratoria, análisis de balanceo de datos y validación probabilística que CRISP-DM estructura rigurosamente. A la vez, Scrum aportó el control de plazos, visibilidad de impedimentos y entregables incrementales de software que permitieron llegar a la demo funcional con componentes estables.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4. Desarrollo</w:t>
            </w:r>
          </w:p>
        </w:tc>
        <w:tc>
          <w:tcPr>
            <w:vAlign w:val="center"/>
          </w:tcPr>
          <w:p w:rsidR="00000000" w:rsidDel="00000000" w:rsidP="00000000" w:rsidRDefault="00000000" w:rsidRPr="00000000" w14:paraId="00000034">
            <w:pPr>
              <w:spacing w:line="276" w:lineRule="auto"/>
              <w:rPr>
                <w:b w:val="1"/>
                <w:bCs w:val="1"/>
                <w:i w:val="1"/>
                <w:iCs w:val="1"/>
                <w:color w:val="0070c0"/>
                <w:sz w:val="20"/>
                <w:szCs w:val="20"/>
              </w:rPr>
            </w:pPr>
            <w:r w:rsidDel="00000000" w:rsidR="00000000" w:rsidRPr="00000000">
              <w:rPr>
                <w:b w:val="1"/>
                <w:bCs w:val="1"/>
                <w:i w:val="1"/>
                <w:iCs w:val="1"/>
                <w:color w:val="0070c0"/>
                <w:sz w:val="20"/>
                <w:szCs w:val="20"/>
                <w:rtl w:val="0"/>
              </w:rPr>
              <w:t xml:space="preserve">Descripción de las etapas y actividades desarrolladas:</w:t>
            </w:r>
          </w:p>
          <w:p w:rsidR="00000000" w:rsidDel="00000000" w:rsidP="00000000" w:rsidRDefault="00000000" w:rsidRPr="00000000" w14:paraId="00000035">
            <w:pPr>
              <w:numPr>
                <w:ilvl w:val="0"/>
                <w:numId w:val="8"/>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Sprint 1: Recopilación de dataset preliminar, configuración de entornos locales, primeros entrenamientos de detección y maquetación inicial de la interfaz en React.</w:t>
            </w:r>
          </w:p>
          <w:p w:rsidR="00000000" w:rsidDel="00000000" w:rsidP="00000000" w:rsidRDefault="00000000" w:rsidRPr="00000000" w14:paraId="00000036">
            <w:pPr>
              <w:numPr>
                <w:ilvl w:val="0"/>
                <w:numId w:val="8"/>
              </w:numPr>
              <w:spacing w:after="24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Sprint 2: Conversión y carga del esquema relacional a MySQL 8.0 (14 tablas con claves foráneas e integridad referencial), desarrollo de la API FastAPI conectada a la base de datos, fine-tuning del modelo YOLO11n, ejecución del protocolo de pruebas con 30 fotos, y formalización de la ERS de 100 requisitos y 14 diagramas BPMN v4.</w:t>
            </w:r>
          </w:p>
          <w:p w:rsidR="00000000" w:rsidDel="00000000" w:rsidP="00000000" w:rsidRDefault="00000000" w:rsidRPr="00000000" w14:paraId="00000037">
            <w:pPr>
              <w:spacing w:line="276" w:lineRule="auto"/>
              <w:rPr>
                <w:b w:val="1"/>
                <w:bCs w:val="1"/>
                <w:i w:val="1"/>
                <w:iCs w:val="1"/>
                <w:color w:val="0070c0"/>
                <w:sz w:val="20"/>
                <w:szCs w:val="20"/>
              </w:rPr>
            </w:pPr>
            <w:r w:rsidDel="00000000" w:rsidR="00000000" w:rsidRPr="00000000">
              <w:rPr>
                <w:b w:val="1"/>
                <w:bCs w:val="1"/>
                <w:i w:val="1"/>
                <w:iCs w:val="1"/>
                <w:color w:val="0070c0"/>
                <w:sz w:val="20"/>
                <w:szCs w:val="20"/>
                <w:rtl w:val="0"/>
              </w:rPr>
              <w:t xml:space="preserve">Facilitadores en el desarrollo:</w:t>
            </w:r>
          </w:p>
          <w:p w:rsidR="00000000" w:rsidDel="00000000" w:rsidP="00000000" w:rsidRDefault="00000000" w:rsidRPr="00000000" w14:paraId="00000038">
            <w:pPr>
              <w:numPr>
                <w:ilvl w:val="0"/>
                <w:numId w:val="5"/>
              </w:numPr>
              <w:spacing w:after="0" w:afterAutospacing="0" w:line="276" w:lineRule="auto"/>
              <w:ind w:left="720" w:hanging="360"/>
              <w:rPr>
                <w:i w:val="1"/>
                <w:iCs w:val="1"/>
                <w:color w:val="0070c0"/>
                <w:sz w:val="20"/>
                <w:szCs w:val="20"/>
              </w:rPr>
            </w:pPr>
            <w:r w:rsidDel="00000000" w:rsidR="00000000" w:rsidRPr="00000000">
              <w:rPr>
                <w:i w:val="1"/>
                <w:iCs w:val="1"/>
                <w:color w:val="0070c0"/>
                <w:sz w:val="20"/>
                <w:szCs w:val="20"/>
                <w:rtl w:val="0"/>
              </w:rPr>
              <w:t xml:space="preserve">La plataforma </w:t>
            </w:r>
            <w:r w:rsidDel="00000000" w:rsidR="00000000" w:rsidRPr="00000000">
              <w:rPr>
                <w:b w:val="1"/>
                <w:bCs w:val="1"/>
                <w:i w:val="1"/>
                <w:iCs w:val="1"/>
                <w:color w:val="0070c0"/>
                <w:sz w:val="20"/>
                <w:szCs w:val="20"/>
                <w:rtl w:val="0"/>
              </w:rPr>
              <w:t xml:space="preserve">Roboflow</w:t>
            </w:r>
            <w:r w:rsidDel="00000000" w:rsidR="00000000" w:rsidRPr="00000000">
              <w:rPr>
                <w:i w:val="1"/>
                <w:iCs w:val="1"/>
                <w:color w:val="0070c0"/>
                <w:sz w:val="20"/>
                <w:szCs w:val="20"/>
                <w:rtl w:val="0"/>
              </w:rPr>
              <w:t xml:space="preserve">, que optimizó el etiquetado colaborativo y la exportación de particiones balanceadas.</w:t>
            </w:r>
          </w:p>
          <w:p w:rsidR="00000000" w:rsidDel="00000000" w:rsidP="00000000" w:rsidRDefault="00000000" w:rsidRPr="00000000" w14:paraId="00000039">
            <w:pPr>
              <w:numPr>
                <w:ilvl w:val="0"/>
                <w:numId w:val="5"/>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La automatización de pruebas mediante el script probar_modelo.py, que permitió correr pruebas de humo en 30 ms y verificar latencias de forma inmediata.</w:t>
            </w:r>
          </w:p>
          <w:p w:rsidR="00000000" w:rsidDel="00000000" w:rsidP="00000000" w:rsidRDefault="00000000" w:rsidRPr="00000000" w14:paraId="0000003A">
            <w:pPr>
              <w:numPr>
                <w:ilvl w:val="0"/>
                <w:numId w:val="5"/>
              </w:numPr>
              <w:spacing w:after="24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La documentación nativa de FastAPI (Swagger UI en /docs), que aceleró la integración cliente-servidor.</w:t>
            </w:r>
          </w:p>
          <w:p w:rsidR="00000000" w:rsidDel="00000000" w:rsidP="00000000" w:rsidRDefault="00000000" w:rsidRPr="00000000" w14:paraId="0000003B">
            <w:pPr>
              <w:spacing w:line="276" w:lineRule="auto"/>
              <w:rPr>
                <w:b w:val="1"/>
                <w:bCs w:val="1"/>
                <w:i w:val="1"/>
                <w:iCs w:val="1"/>
                <w:color w:val="0070c0"/>
                <w:sz w:val="20"/>
                <w:szCs w:val="20"/>
              </w:rPr>
            </w:pPr>
            <w:r w:rsidDel="00000000" w:rsidR="00000000" w:rsidRPr="00000000">
              <w:rPr>
                <w:b w:val="1"/>
                <w:bCs w:val="1"/>
                <w:i w:val="1"/>
                <w:iCs w:val="1"/>
                <w:color w:val="0070c0"/>
                <w:sz w:val="20"/>
                <w:szCs w:val="20"/>
                <w:rtl w:val="0"/>
              </w:rPr>
              <w:t xml:space="preserve">Dificultades enfrentadas:</w:t>
            </w:r>
          </w:p>
          <w:p w:rsidR="00000000" w:rsidDel="00000000" w:rsidP="00000000" w:rsidRDefault="00000000" w:rsidRPr="00000000" w14:paraId="0000003C">
            <w:pPr>
              <w:numPr>
                <w:ilvl w:val="0"/>
                <w:numId w:val="2"/>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Detección de fotos tomadas con iPhone en formato HEIC incompatible.</w:t>
            </w:r>
          </w:p>
          <w:p w:rsidR="00000000" w:rsidDel="00000000" w:rsidP="00000000" w:rsidRDefault="00000000" w:rsidRPr="00000000" w14:paraId="0000003D">
            <w:pPr>
              <w:numPr>
                <w:ilvl w:val="0"/>
                <w:numId w:val="2"/>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Excepción interna no controlada (HTTP 500) en el backend al procesar archivos que no correspondían a imágenes.</w:t>
            </w:r>
          </w:p>
          <w:p w:rsidR="00000000" w:rsidDel="00000000" w:rsidP="00000000" w:rsidRDefault="00000000" w:rsidRPr="00000000" w14:paraId="0000003E">
            <w:pPr>
              <w:numPr>
                <w:ilvl w:val="0"/>
                <w:numId w:val="2"/>
              </w:numPr>
              <w:spacing w:after="24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Confusiones preliminares en el modelo sobre cartón texturizado arrojando falsas alarmas de plástico con baja confianza.</w:t>
            </w:r>
          </w:p>
          <w:p w:rsidR="00000000" w:rsidDel="00000000" w:rsidP="00000000" w:rsidRDefault="00000000" w:rsidRPr="00000000" w14:paraId="0000003F">
            <w:pPr>
              <w:spacing w:line="276" w:lineRule="auto"/>
              <w:rPr>
                <w:b w:val="1"/>
                <w:bCs w:val="1"/>
                <w:i w:val="1"/>
                <w:iCs w:val="1"/>
                <w:color w:val="0070c0"/>
                <w:sz w:val="20"/>
                <w:szCs w:val="20"/>
              </w:rPr>
            </w:pPr>
            <w:r w:rsidDel="00000000" w:rsidR="00000000" w:rsidRPr="00000000">
              <w:rPr>
                <w:b w:val="1"/>
                <w:bCs w:val="1"/>
                <w:i w:val="1"/>
                <w:iCs w:val="1"/>
                <w:color w:val="0070c0"/>
                <w:sz w:val="20"/>
                <w:szCs w:val="20"/>
                <w:rtl w:val="0"/>
              </w:rPr>
              <w:t xml:space="preserve">Ajustes realizados para cumplir los objetivos:</w:t>
            </w:r>
          </w:p>
          <w:p w:rsidR="00000000" w:rsidDel="00000000" w:rsidP="00000000" w:rsidRDefault="00000000" w:rsidRPr="00000000" w14:paraId="00000040">
            <w:pPr>
              <w:numPr>
                <w:ilvl w:val="0"/>
                <w:numId w:val="10"/>
              </w:numPr>
              <w:spacing w:after="0" w:afterAutospacing="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Se desarrolló el script utilitario convertir_heic.py para normalizar todas las imágenes de prueba a formato JPG.</w:t>
            </w:r>
          </w:p>
          <w:p w:rsidR="00000000" w:rsidDel="00000000" w:rsidP="00000000" w:rsidRDefault="00000000" w:rsidRPr="00000000" w14:paraId="00000041">
            <w:pPr>
              <w:numPr>
                <w:ilvl w:val="0"/>
                <w:numId w:val="10"/>
              </w:numPr>
              <w:spacing w:after="0" w:afterAutospacing="0" w:line="276" w:lineRule="auto"/>
              <w:ind w:left="720" w:hanging="360"/>
              <w:rPr>
                <w:i w:val="1"/>
                <w:iCs w:val="1"/>
                <w:color w:val="0070c0"/>
                <w:sz w:val="20"/>
                <w:szCs w:val="20"/>
              </w:rPr>
            </w:pPr>
            <w:r w:rsidDel="00000000" w:rsidR="00000000" w:rsidRPr="00000000">
              <w:rPr>
                <w:i w:val="1"/>
                <w:iCs w:val="1"/>
                <w:color w:val="0070c0"/>
                <w:sz w:val="20"/>
                <w:szCs w:val="20"/>
                <w:rtl w:val="0"/>
              </w:rPr>
              <w:t xml:space="preserve">Se adaptó el modelo base desde YOLOv8 hacia </w:t>
            </w:r>
            <w:r w:rsidDel="00000000" w:rsidR="00000000" w:rsidRPr="00000000">
              <w:rPr>
                <w:b w:val="1"/>
                <w:bCs w:val="1"/>
                <w:i w:val="1"/>
                <w:iCs w:val="1"/>
                <w:color w:val="0070c0"/>
                <w:sz w:val="20"/>
                <w:szCs w:val="20"/>
                <w:rtl w:val="0"/>
              </w:rPr>
              <w:t xml:space="preserve">YOLO11n</w:t>
            </w:r>
            <w:r w:rsidDel="00000000" w:rsidR="00000000" w:rsidRPr="00000000">
              <w:rPr>
                <w:i w:val="1"/>
                <w:iCs w:val="1"/>
                <w:color w:val="0070c0"/>
                <w:sz w:val="20"/>
                <w:szCs w:val="20"/>
                <w:rtl w:val="0"/>
              </w:rPr>
              <w:t xml:space="preserve">, logrando mayor velocidad y mejor extracción de características.</w:t>
            </w:r>
          </w:p>
          <w:p w:rsidR="00000000" w:rsidDel="00000000" w:rsidP="00000000" w:rsidRDefault="00000000" w:rsidRPr="00000000" w14:paraId="00000042">
            <w:pPr>
              <w:numPr>
                <w:ilvl w:val="0"/>
                <w:numId w:val="10"/>
              </w:numPr>
              <w:spacing w:after="0" w:afterAutospacing="0" w:line="276" w:lineRule="auto"/>
              <w:ind w:left="720" w:hanging="360"/>
              <w:rPr>
                <w:i w:val="1"/>
                <w:iCs w:val="1"/>
                <w:color w:val="0070c0"/>
                <w:sz w:val="20"/>
                <w:szCs w:val="20"/>
              </w:rPr>
            </w:pPr>
            <w:r w:rsidDel="00000000" w:rsidR="00000000" w:rsidRPr="00000000">
              <w:rPr>
                <w:i w:val="1"/>
                <w:iCs w:val="1"/>
                <w:color w:val="0070c0"/>
                <w:sz w:val="20"/>
                <w:szCs w:val="20"/>
                <w:rtl w:val="0"/>
              </w:rPr>
              <w:t xml:space="preserve">Se implementó el esquema de base de datos en </w:t>
            </w:r>
            <w:r w:rsidDel="00000000" w:rsidR="00000000" w:rsidRPr="00000000">
              <w:rPr>
                <w:b w:val="1"/>
                <w:bCs w:val="1"/>
                <w:i w:val="1"/>
                <w:iCs w:val="1"/>
                <w:color w:val="0070c0"/>
                <w:sz w:val="20"/>
                <w:szCs w:val="20"/>
                <w:rtl w:val="0"/>
              </w:rPr>
              <w:t xml:space="preserve">MySQL 8.0</w:t>
            </w:r>
            <w:r w:rsidDel="00000000" w:rsidR="00000000" w:rsidRPr="00000000">
              <w:rPr>
                <w:i w:val="1"/>
                <w:iCs w:val="1"/>
                <w:color w:val="0070c0"/>
                <w:sz w:val="20"/>
                <w:szCs w:val="20"/>
                <w:rtl w:val="0"/>
              </w:rPr>
              <w:t xml:space="preserve"> con Workbench para asegurar una demo funcional y estable de persistencia en la Fase 2.</w:t>
            </w:r>
          </w:p>
          <w:p w:rsidR="00000000" w:rsidDel="00000000" w:rsidP="00000000" w:rsidRDefault="00000000" w:rsidRPr="00000000" w14:paraId="00000043">
            <w:pPr>
              <w:numPr>
                <w:ilvl w:val="0"/>
                <w:numId w:val="10"/>
              </w:numPr>
              <w:spacing w:after="240" w:line="276" w:lineRule="auto"/>
              <w:ind w:left="72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Se estructuró el manejo de excepciones en main.py mediante bloques try/except para retornar un código HTTP 400 controlado ante entradas no válidas.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5. Evidencias</w:t>
            </w:r>
          </w:p>
        </w:tc>
        <w:tc>
          <w:tcPr>
            <w:vAlign w:val="center"/>
          </w:tcPr>
          <w:p w:rsidR="00000000" w:rsidDel="00000000" w:rsidP="00000000" w:rsidRDefault="00000000" w:rsidRPr="00000000" w14:paraId="00000045">
            <w:pPr>
              <w:spacing w:after="240" w:line="276" w:lineRule="auto"/>
              <w:rPr>
                <w:i w:val="1"/>
                <w:iCs w:val="1"/>
                <w:color w:val="0070c0"/>
                <w:sz w:val="20"/>
                <w:szCs w:val="20"/>
              </w:rPr>
            </w:pPr>
            <w:r w:rsidDel="00000000" w:rsidR="00000000" w:rsidRPr="00000000">
              <w:rPr>
                <w:i w:val="1"/>
                <w:iCs w:val="1"/>
                <w:color w:val="0070c0"/>
                <w:sz w:val="20"/>
                <w:szCs w:val="20"/>
                <w:rtl w:val="0"/>
              </w:rPr>
              <w:t xml:space="preserve">Para certificar el cumplimiento técnico y la calidad del producto ante la comisión evaluadora se cuenta con las siguientes evidencias auditables:</w:t>
            </w:r>
          </w:p>
          <w:p w:rsidR="00000000" w:rsidDel="00000000" w:rsidP="00000000" w:rsidRDefault="00000000" w:rsidRPr="00000000" w14:paraId="00000046">
            <w:pPr>
              <w:numPr>
                <w:ilvl w:val="0"/>
                <w:numId w:val="1"/>
              </w:numPr>
              <w:spacing w:after="0" w:afterAutospacing="0" w:line="276" w:lineRule="auto"/>
              <w:ind w:left="720" w:hanging="360"/>
              <w:rPr>
                <w:rFonts w:ascii="Calibri" w:cs="Calibri" w:eastAsia="Calibri" w:hAnsi="Calibri"/>
                <w:b w:val="1"/>
                <w:bCs w:val="1"/>
                <w:i w:val="1"/>
                <w:iCs w:val="1"/>
                <w:color w:val="0070c0"/>
                <w:sz w:val="20"/>
                <w:szCs w:val="20"/>
              </w:rPr>
            </w:pPr>
            <w:r w:rsidDel="00000000" w:rsidR="00000000" w:rsidRPr="00000000">
              <w:rPr>
                <w:b w:val="1"/>
                <w:bCs w:val="1"/>
                <w:i w:val="1"/>
                <w:iCs w:val="1"/>
                <w:color w:val="0070c0"/>
                <w:sz w:val="20"/>
                <w:szCs w:val="20"/>
                <w:rtl w:val="0"/>
              </w:rPr>
              <w:t xml:space="preserve">Informe de Pruebas de Software y Modelo de Visión (09-10-2026):</w:t>
            </w:r>
          </w:p>
          <w:p w:rsidR="00000000" w:rsidDel="00000000" w:rsidP="00000000" w:rsidRDefault="00000000" w:rsidRPr="00000000" w14:paraId="00000047">
            <w:pPr>
              <w:numPr>
                <w:ilvl w:val="1"/>
                <w:numId w:val="1"/>
              </w:numPr>
              <w:spacing w:after="0" w:afterAutospacing="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8 de 8 pruebas de humo en estado OK sobre las rutas del backend y base de datos.</w:t>
            </w:r>
          </w:p>
          <w:p w:rsidR="00000000" w:rsidDel="00000000" w:rsidP="00000000" w:rsidRDefault="00000000" w:rsidRPr="00000000" w14:paraId="00000048">
            <w:pPr>
              <w:numPr>
                <w:ilvl w:val="1"/>
                <w:numId w:val="1"/>
              </w:numPr>
              <w:spacing w:after="0" w:afterAutospacing="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Latencia de ida y vuelta promedio de 112 ms (mediana de 112 ms y P95 de 131 ms en servidor local).</w:t>
            </w:r>
          </w:p>
          <w:p w:rsidR="00000000" w:rsidDel="00000000" w:rsidP="00000000" w:rsidRDefault="00000000" w:rsidRPr="00000000" w14:paraId="00000049">
            <w:pPr>
              <w:numPr>
                <w:ilvl w:val="1"/>
                <w:numId w:val="1"/>
              </w:numPr>
              <w:spacing w:after="0" w:afterAutospacing="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Evaluación empírica sobre 30 fotos reales (10 de cartón, 10 de aluminio y 10 de plástico) alcanzando 27 aciertos exactos de 30 (90.0% de exactitud).</w:t>
            </w:r>
          </w:p>
          <w:p w:rsidR="00000000" w:rsidDel="00000000" w:rsidP="00000000" w:rsidRDefault="00000000" w:rsidRPr="00000000" w14:paraId="0000004A">
            <w:pPr>
              <w:numPr>
                <w:ilvl w:val="1"/>
                <w:numId w:val="1"/>
              </w:numPr>
              <w:spacing w:after="0" w:afterAutospacing="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Métricas individuales: Aluminio (Precisión 1.00, Recall 1.00, F1 1.00); Cartón (Precisión 1.00, Recall 0.90, F1 0.95); Plástico (Precisión 0.83, Recall 1.00, F1 0.91).</w:t>
            </w:r>
          </w:p>
          <w:p w:rsidR="00000000" w:rsidDel="00000000" w:rsidP="00000000" w:rsidRDefault="00000000" w:rsidRPr="00000000" w14:paraId="0000004B">
            <w:pPr>
              <w:numPr>
                <w:ilvl w:val="0"/>
                <w:numId w:val="1"/>
              </w:numPr>
              <w:spacing w:after="0" w:afterAutospacing="0" w:line="276" w:lineRule="auto"/>
              <w:ind w:left="720" w:hanging="360"/>
              <w:rPr>
                <w:rFonts w:ascii="Calibri" w:cs="Calibri" w:eastAsia="Calibri" w:hAnsi="Calibri"/>
                <w:b w:val="1"/>
                <w:bCs w:val="1"/>
                <w:i w:val="1"/>
                <w:iCs w:val="1"/>
                <w:color w:val="0070c0"/>
                <w:sz w:val="20"/>
                <w:szCs w:val="20"/>
              </w:rPr>
            </w:pPr>
            <w:r w:rsidDel="00000000" w:rsidR="00000000" w:rsidRPr="00000000">
              <w:rPr>
                <w:b w:val="1"/>
                <w:bCs w:val="1"/>
                <w:i w:val="1"/>
                <w:iCs w:val="1"/>
                <w:color w:val="0070c0"/>
                <w:sz w:val="20"/>
                <w:szCs w:val="20"/>
                <w:rtl w:val="0"/>
              </w:rPr>
              <w:t xml:space="preserve">Evidencias de Base de Datos (MySQL Workbench):</w:t>
            </w:r>
          </w:p>
          <w:p w:rsidR="00000000" w:rsidDel="00000000" w:rsidP="00000000" w:rsidRDefault="00000000" w:rsidRPr="00000000" w14:paraId="0000004C">
            <w:pPr>
              <w:numPr>
                <w:ilvl w:val="1"/>
                <w:numId w:val="1"/>
              </w:numPr>
              <w:spacing w:after="0" w:afterAutospacing="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Script DDL con 14 tablas relacionales creadas y pobladas.</w:t>
            </w:r>
          </w:p>
          <w:p w:rsidR="00000000" w:rsidDel="00000000" w:rsidP="00000000" w:rsidRDefault="00000000" w:rsidRPr="00000000" w14:paraId="0000004D">
            <w:pPr>
              <w:numPr>
                <w:ilvl w:val="1"/>
                <w:numId w:val="1"/>
              </w:numPr>
              <w:spacing w:after="0" w:afterAutospacing="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Consulta SQL sobre la tabla inferencia acreditando 30 registros exitosamente persistidos con timestamp, confianza, latencia y resultado (26 OK, 4 CONFIANZA_BAJA).</w:t>
            </w:r>
          </w:p>
          <w:p w:rsidR="00000000" w:rsidDel="00000000" w:rsidP="00000000" w:rsidRDefault="00000000" w:rsidRPr="00000000" w14:paraId="0000004E">
            <w:pPr>
              <w:numPr>
                <w:ilvl w:val="0"/>
                <w:numId w:val="1"/>
              </w:numPr>
              <w:spacing w:after="0" w:afterAutospacing="0" w:line="276" w:lineRule="auto"/>
              <w:ind w:left="720" w:hanging="360"/>
              <w:rPr>
                <w:rFonts w:ascii="Calibri" w:cs="Calibri" w:eastAsia="Calibri" w:hAnsi="Calibri"/>
                <w:b w:val="1"/>
                <w:bCs w:val="1"/>
                <w:i w:val="1"/>
                <w:iCs w:val="1"/>
                <w:color w:val="0070c0"/>
                <w:sz w:val="20"/>
                <w:szCs w:val="20"/>
              </w:rPr>
            </w:pPr>
            <w:r w:rsidDel="00000000" w:rsidR="00000000" w:rsidRPr="00000000">
              <w:rPr>
                <w:b w:val="1"/>
                <w:bCs w:val="1"/>
                <w:i w:val="1"/>
                <w:iCs w:val="1"/>
                <w:color w:val="0070c0"/>
                <w:sz w:val="20"/>
                <w:szCs w:val="20"/>
                <w:rtl w:val="0"/>
              </w:rPr>
              <w:t xml:space="preserve">Tablero Jira Software y Repositorio Git:</w:t>
            </w:r>
          </w:p>
          <w:p w:rsidR="00000000" w:rsidDel="00000000" w:rsidP="00000000" w:rsidRDefault="00000000" w:rsidRPr="00000000" w14:paraId="0000004F">
            <w:pPr>
              <w:numPr>
                <w:ilvl w:val="1"/>
                <w:numId w:val="1"/>
              </w:numPr>
              <w:spacing w:after="0" w:afterAutospacing="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Tablero Scrum con Sprint 1 cerrado en Done, tickets del Sprint 2 con asignación responsable y trazabilidad.</w:t>
            </w:r>
          </w:p>
          <w:p w:rsidR="00000000" w:rsidDel="00000000" w:rsidP="00000000" w:rsidRDefault="00000000" w:rsidRPr="00000000" w14:paraId="00000050">
            <w:pPr>
              <w:numPr>
                <w:ilvl w:val="1"/>
                <w:numId w:val="1"/>
              </w:numPr>
              <w:spacing w:after="0" w:afterAutospacing="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Repositorio Git estructurado con ramas funcionales, archivo README.md técnico con instrucciones de inicio y .gitignore configurado.</w:t>
            </w:r>
          </w:p>
          <w:p w:rsidR="00000000" w:rsidDel="00000000" w:rsidP="00000000" w:rsidRDefault="00000000" w:rsidRPr="00000000" w14:paraId="00000051">
            <w:pPr>
              <w:numPr>
                <w:ilvl w:val="0"/>
                <w:numId w:val="1"/>
              </w:numPr>
              <w:spacing w:after="0" w:afterAutospacing="0" w:line="276" w:lineRule="auto"/>
              <w:ind w:left="720" w:hanging="360"/>
              <w:rPr>
                <w:rFonts w:ascii="Calibri" w:cs="Calibri" w:eastAsia="Calibri" w:hAnsi="Calibri"/>
                <w:b w:val="1"/>
                <w:bCs w:val="1"/>
                <w:i w:val="1"/>
                <w:iCs w:val="1"/>
                <w:color w:val="0070c0"/>
                <w:sz w:val="20"/>
                <w:szCs w:val="20"/>
              </w:rPr>
            </w:pPr>
            <w:r w:rsidDel="00000000" w:rsidR="00000000" w:rsidRPr="00000000">
              <w:rPr>
                <w:b w:val="1"/>
                <w:bCs w:val="1"/>
                <w:i w:val="1"/>
                <w:iCs w:val="1"/>
                <w:color w:val="0070c0"/>
                <w:sz w:val="20"/>
                <w:szCs w:val="20"/>
                <w:rtl w:val="0"/>
              </w:rPr>
              <w:t xml:space="preserve">Documentación de Ingeniería y Procesos:</w:t>
            </w:r>
          </w:p>
          <w:p w:rsidR="00000000" w:rsidDel="00000000" w:rsidP="00000000" w:rsidRDefault="00000000" w:rsidRPr="00000000" w14:paraId="00000052">
            <w:pPr>
              <w:numPr>
                <w:ilvl w:val="1"/>
                <w:numId w:val="1"/>
              </w:numPr>
              <w:spacing w:after="0" w:afterAutospacing="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Especificación de Requisitos de Software (ERS) bajo estándar IEEE 830 conteniendo 100 requisitos estructurados (60 RF y 40 RNF).</w:t>
            </w:r>
          </w:p>
          <w:p w:rsidR="00000000" w:rsidDel="00000000" w:rsidP="00000000" w:rsidRDefault="00000000" w:rsidRPr="00000000" w14:paraId="00000053">
            <w:pPr>
              <w:numPr>
                <w:ilvl w:val="1"/>
                <w:numId w:val="1"/>
              </w:numPr>
              <w:spacing w:after="240" w:line="276" w:lineRule="auto"/>
              <w:ind w:left="1440" w:hanging="360"/>
              <w:rPr>
                <w:rFonts w:ascii="Calibri" w:cs="Calibri" w:eastAsia="Calibri" w:hAnsi="Calibri"/>
                <w:i w:val="1"/>
                <w:iCs w:val="1"/>
                <w:color w:val="0070c0"/>
                <w:sz w:val="20"/>
                <w:szCs w:val="20"/>
              </w:rPr>
            </w:pPr>
            <w:r w:rsidDel="00000000" w:rsidR="00000000" w:rsidRPr="00000000">
              <w:rPr>
                <w:i w:val="1"/>
                <w:iCs w:val="1"/>
                <w:color w:val="0070c0"/>
                <w:sz w:val="20"/>
                <w:szCs w:val="20"/>
                <w:rtl w:val="0"/>
              </w:rPr>
              <w:t xml:space="preserve">14 diagramas de procesos de negocio modelados en notación BPMN 2.0 (versión 4) que respaldan la auditoría del flujo funcional.</w:t>
            </w:r>
          </w:p>
          <w:p w:rsidR="00000000" w:rsidDel="00000000" w:rsidP="00000000" w:rsidRDefault="00000000" w:rsidRPr="00000000" w14:paraId="00000054">
            <w:pPr>
              <w:ind w:left="0" w:firstLine="0"/>
              <w:rPr>
                <w:i w:val="1"/>
                <w:iCs w:val="1"/>
                <w:color w:val="0070c0"/>
                <w:sz w:val="20"/>
                <w:szCs w:val="20"/>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6. Intereses y proyecciones profesionales</w:t>
            </w:r>
          </w:p>
        </w:tc>
        <w:tc>
          <w:tcPr>
            <w:vAlign w:val="center"/>
          </w:tcPr>
          <w:p w:rsidR="00000000" w:rsidDel="00000000" w:rsidP="00000000" w:rsidRDefault="00000000" w:rsidRPr="00000000" w14:paraId="00000056">
            <w:pPr>
              <w:jc w:val="both"/>
              <w:rPr>
                <w:i w:val="1"/>
                <w:iCs w:val="1"/>
                <w:color w:val="0070c0"/>
                <w:sz w:val="20"/>
                <w:szCs w:val="20"/>
              </w:rPr>
            </w:pPr>
            <w:r w:rsidDel="00000000" w:rsidR="00000000" w:rsidRPr="00000000">
              <w:rPr>
                <w:b w:val="1"/>
                <w:bCs w:val="1"/>
                <w:i w:val="1"/>
                <w:iCs w:val="1"/>
                <w:color w:val="0070c0"/>
                <w:sz w:val="20"/>
                <w:szCs w:val="20"/>
                <w:rtl w:val="0"/>
              </w:rPr>
              <w:t xml:space="preserve">Reflexión sobre el aporte del Proyecto APT:</w:t>
              <w:br w:type="textWrapping"/>
            </w:r>
            <w:r w:rsidDel="00000000" w:rsidR="00000000" w:rsidRPr="00000000">
              <w:rPr>
                <w:i w:val="1"/>
                <w:iCs w:val="1"/>
                <w:color w:val="0070c0"/>
                <w:sz w:val="20"/>
                <w:szCs w:val="20"/>
                <w:rtl w:val="0"/>
              </w:rPr>
              <w:t xml:space="preserve">El desarrollo de EcoLearn permitió al equipo experimentar de primera mano los desafíos reales de la integración multidisciplinaria en la ingeniería de software: coordinar bases de datos relacionales, consumo asíncrono de APIs y modelos de inteligencia artificial en una arquitectura reactiva. Esta experiencia consolidó el interés del equipo por el desarrollo de sistemas robustos, demostrando que la inteligencia artificial adquiere verdadero valor práctico cuando se acopla a interfaces usables y modelos de persistencia bien gobernados.</w:t>
            </w:r>
          </w:p>
          <w:p w:rsidR="00000000" w:rsidDel="00000000" w:rsidP="00000000" w:rsidRDefault="00000000" w:rsidRPr="00000000" w14:paraId="00000057">
            <w:pPr>
              <w:jc w:val="both"/>
              <w:rPr>
                <w:i w:val="1"/>
                <w:iCs w:val="1"/>
                <w:color w:val="0070c0"/>
                <w:sz w:val="20"/>
                <w:szCs w:val="20"/>
              </w:rPr>
            </w:pPr>
            <w:r w:rsidDel="00000000" w:rsidR="00000000" w:rsidRPr="00000000">
              <w:rPr>
                <w:b w:val="1"/>
                <w:bCs w:val="1"/>
                <w:i w:val="1"/>
                <w:iCs w:val="1"/>
                <w:color w:val="0070c0"/>
                <w:sz w:val="20"/>
                <w:szCs w:val="20"/>
                <w:rtl w:val="0"/>
              </w:rPr>
              <w:t xml:space="preserve">Evolución de los intereses profesionales:</w:t>
              <w:br w:type="textWrapping"/>
            </w:r>
            <w:r w:rsidDel="00000000" w:rsidR="00000000" w:rsidRPr="00000000">
              <w:rPr>
                <w:i w:val="1"/>
                <w:iCs w:val="1"/>
                <w:color w:val="0070c0"/>
                <w:sz w:val="20"/>
                <w:szCs w:val="20"/>
                <w:rtl w:val="0"/>
              </w:rPr>
              <w:t xml:space="preserve">Al inicio de la carrera, el interés se centraba predominantemente en la programación frontend o backend tradicional. Tras completar este proyecto, los intereses se han orientado fuertemente hacia la </w:t>
            </w:r>
            <w:r w:rsidDel="00000000" w:rsidR="00000000" w:rsidRPr="00000000">
              <w:rPr>
                <w:b w:val="1"/>
                <w:bCs w:val="1"/>
                <w:i w:val="1"/>
                <w:iCs w:val="1"/>
                <w:color w:val="0070c0"/>
                <w:sz w:val="20"/>
                <w:szCs w:val="20"/>
                <w:rtl w:val="0"/>
              </w:rPr>
              <w:t xml:space="preserve">Ingeniería de MLOps</w:t>
            </w:r>
            <w:r w:rsidDel="00000000" w:rsidR="00000000" w:rsidRPr="00000000">
              <w:rPr>
                <w:i w:val="1"/>
                <w:iCs w:val="1"/>
                <w:color w:val="0070c0"/>
                <w:sz w:val="20"/>
                <w:szCs w:val="20"/>
                <w:rtl w:val="0"/>
              </w:rPr>
              <w:t xml:space="preserve"> (despliegue, monitoreo y ciclo de vida de modelos en producción) y la </w:t>
            </w:r>
            <w:r w:rsidDel="00000000" w:rsidR="00000000" w:rsidRPr="00000000">
              <w:rPr>
                <w:b w:val="1"/>
                <w:bCs w:val="1"/>
                <w:i w:val="1"/>
                <w:iCs w:val="1"/>
                <w:color w:val="0070c0"/>
                <w:sz w:val="20"/>
                <w:szCs w:val="20"/>
                <w:rtl w:val="0"/>
              </w:rPr>
              <w:t xml:space="preserve">Arquitectura de Software Cloud/Contenerizada</w:t>
            </w:r>
            <w:r w:rsidDel="00000000" w:rsidR="00000000" w:rsidRPr="00000000">
              <w:rPr>
                <w:i w:val="1"/>
                <w:iCs w:val="1"/>
                <w:color w:val="0070c0"/>
                <w:sz w:val="20"/>
                <w:szCs w:val="20"/>
                <w:rtl w:val="0"/>
              </w:rPr>
              <w:t xml:space="preserve">, áreas que resultaron ser críticas para transformar un experimento en un producto funcional.</w:t>
            </w:r>
          </w:p>
          <w:p w:rsidR="00000000" w:rsidDel="00000000" w:rsidP="00000000" w:rsidRDefault="00000000" w:rsidRPr="00000000" w14:paraId="00000058">
            <w:pPr>
              <w:jc w:val="both"/>
              <w:rPr>
                <w:b w:val="1"/>
                <w:bCs w:val="1"/>
                <w:i w:val="1"/>
                <w:iCs w:val="1"/>
                <w:color w:val="0070c0"/>
                <w:sz w:val="20"/>
                <w:szCs w:val="20"/>
              </w:rPr>
            </w:pPr>
            <w:r w:rsidDel="00000000" w:rsidR="00000000" w:rsidRPr="00000000">
              <w:rPr>
                <w:b w:val="1"/>
                <w:bCs w:val="1"/>
                <w:i w:val="1"/>
                <w:iCs w:val="1"/>
                <w:color w:val="0070c0"/>
                <w:sz w:val="20"/>
                <w:szCs w:val="20"/>
                <w:rtl w:val="0"/>
              </w:rPr>
              <w:t xml:space="preserve">Proyecciones laborales y áreas a profundizar:</w:t>
            </w:r>
          </w:p>
          <w:p w:rsidR="00000000" w:rsidDel="00000000" w:rsidP="00000000" w:rsidRDefault="00000000" w:rsidRPr="00000000" w14:paraId="00000059">
            <w:pPr>
              <w:numPr>
                <w:ilvl w:val="0"/>
                <w:numId w:val="9"/>
              </w:numPr>
              <w:spacing w:after="0" w:afterAutospacing="0" w:before="240" w:lineRule="auto"/>
              <w:ind w:left="720" w:hanging="360"/>
              <w:rPr>
                <w:i w:val="1"/>
                <w:iCs w:val="1"/>
                <w:color w:val="0070c0"/>
                <w:sz w:val="20"/>
                <w:szCs w:val="20"/>
              </w:rPr>
            </w:pPr>
            <w:r w:rsidDel="00000000" w:rsidR="00000000" w:rsidRPr="00000000">
              <w:rPr>
                <w:i w:val="1"/>
                <w:iCs w:val="1"/>
                <w:color w:val="0070c0"/>
                <w:sz w:val="20"/>
                <w:szCs w:val="20"/>
                <w:rtl w:val="0"/>
              </w:rPr>
              <w:t xml:space="preserve">Emanuel Mejías: Se proyecta como Líder de Desarrollo / Full Stack Engineer, con interés en profundizar en arquitecturas de microservicios asíncronos y frameworks de deep learning de última generación.</w:t>
            </w:r>
          </w:p>
          <w:p w:rsidR="00000000" w:rsidDel="00000000" w:rsidP="00000000" w:rsidRDefault="00000000" w:rsidRPr="00000000" w14:paraId="0000005A">
            <w:pPr>
              <w:numPr>
                <w:ilvl w:val="0"/>
                <w:numId w:val="9"/>
              </w:numPr>
              <w:spacing w:after="0" w:afterAutospacing="0" w:before="0" w:beforeAutospacing="0" w:lineRule="auto"/>
              <w:ind w:left="720" w:hanging="360"/>
              <w:rPr>
                <w:i w:val="1"/>
                <w:iCs w:val="1"/>
                <w:color w:val="0070c0"/>
                <w:sz w:val="20"/>
                <w:szCs w:val="20"/>
              </w:rPr>
            </w:pPr>
            <w:r w:rsidDel="00000000" w:rsidR="00000000" w:rsidRPr="00000000">
              <w:rPr>
                <w:i w:val="1"/>
                <w:iCs w:val="1"/>
                <w:color w:val="0070c0"/>
                <w:sz w:val="20"/>
                <w:szCs w:val="20"/>
                <w:rtl w:val="0"/>
              </w:rPr>
              <w:t xml:space="preserve">Williams Chañillao: Se proyecta en áreas de Aseguramiento de Calidad (QA Lead) e Ingeniería de Datos, con interés en especializarse en automatización de testing continuo y gobierno de datos para modelos de analítica avanzada.</w:t>
            </w:r>
          </w:p>
          <w:p w:rsidR="00000000" w:rsidDel="00000000" w:rsidP="00000000" w:rsidRDefault="00000000" w:rsidRPr="00000000" w14:paraId="0000005B">
            <w:pPr>
              <w:numPr>
                <w:ilvl w:val="0"/>
                <w:numId w:val="9"/>
              </w:numPr>
              <w:spacing w:after="240" w:before="0" w:beforeAutospacing="0" w:lineRule="auto"/>
              <w:ind w:left="720" w:hanging="360"/>
              <w:rPr>
                <w:i w:val="1"/>
                <w:iCs w:val="1"/>
                <w:color w:val="0070c0"/>
                <w:sz w:val="20"/>
                <w:szCs w:val="20"/>
              </w:rPr>
            </w:pPr>
            <w:r w:rsidDel="00000000" w:rsidR="00000000" w:rsidRPr="00000000">
              <w:rPr>
                <w:i w:val="1"/>
                <w:iCs w:val="1"/>
                <w:color w:val="0070c0"/>
                <w:sz w:val="20"/>
                <w:szCs w:val="20"/>
                <w:rtl w:val="0"/>
              </w:rPr>
              <w:t xml:space="preserve">Bruno Díaz: Se proyecta como Arquitecto de Soluciones Cloud y Administrador de Bases de Datos (DBA), con interés en profundizar en tecnologías geoespaciales, escalamiento en Kubernetes y optimización de infraestructura de alta concurrencia.</w:t>
            </w:r>
            <w:r w:rsidDel="00000000" w:rsidR="00000000" w:rsidRPr="00000000">
              <w:rPr>
                <w:rtl w:val="0"/>
              </w:rPr>
            </w:r>
          </w:p>
        </w:tc>
      </w:tr>
    </w:tbl>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yJTAcS2chYPLTIkzDFl1ZqC80w==">CgMxLjA4AHIhMURldjY3amFYTHYtamozR29qd2xSX3FydndmbktVNXJN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