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80"/>
        <w:ind w:left="4249" w:right="4257"/>
        <w:jc w:val="center"/>
        <w:rPr>
          <w:i/>
          <w:u w:val="none"/>
        </w:rPr>
      </w:pPr>
      <w:r>
        <w:rPr>
          <w:i/>
          <w:u w:val="single"/>
        </w:rPr>
        <w:t>Adressage IP</w:t>
      </w:r>
    </w:p>
    <w:p>
      <w:pPr>
        <w:pStyle w:val="BodyText"/>
        <w:ind w:left="0"/>
        <w:rPr>
          <w:b/>
          <w:i/>
          <w:sz w:val="20"/>
        </w:rPr>
      </w:pPr>
    </w:p>
    <w:p>
      <w:pPr>
        <w:pStyle w:val="BodyText"/>
        <w:ind w:left="0"/>
        <w:rPr>
          <w:b/>
          <w:i/>
          <w:sz w:val="20"/>
        </w:rPr>
      </w:pPr>
    </w:p>
    <w:p>
      <w:pPr>
        <w:pStyle w:val="BodyText"/>
        <w:ind w:left="0"/>
        <w:rPr>
          <w:b/>
          <w:i/>
          <w:sz w:val="20"/>
        </w:rPr>
      </w:pPr>
    </w:p>
    <w:p>
      <w:pPr>
        <w:pStyle w:val="BodyText"/>
        <w:spacing w:before="2"/>
        <w:ind w:left="0"/>
        <w:rPr>
          <w:b/>
          <w:i/>
          <w:sz w:val="28"/>
        </w:rPr>
      </w:pPr>
    </w:p>
    <w:p>
      <w:pPr>
        <w:pStyle w:val="ListParagraph"/>
        <w:numPr>
          <w:ilvl w:val="0"/>
          <w:numId w:val="1"/>
        </w:numPr>
        <w:tabs>
          <w:tab w:pos="328" w:val="left" w:leader="none"/>
        </w:tabs>
        <w:spacing w:line="240" w:lineRule="auto" w:before="90" w:after="0"/>
        <w:ind w:left="327" w:right="0" w:hanging="213"/>
        <w:jc w:val="left"/>
        <w:rPr>
          <w:b/>
          <w:sz w:val="24"/>
        </w:rPr>
      </w:pPr>
      <w:r>
        <w:rPr>
          <w:b/>
          <w:sz w:val="24"/>
          <w:u w:val="single"/>
        </w:rPr>
        <w:t>Conversions binaire/décimal et décimal binaire</w:t>
      </w:r>
    </w:p>
    <w:p>
      <w:pPr>
        <w:pStyle w:val="BodyText"/>
        <w:spacing w:before="2"/>
        <w:ind w:left="0"/>
        <w:rPr>
          <w:b/>
          <w:sz w:val="16"/>
        </w:rPr>
      </w:pPr>
    </w:p>
    <w:p>
      <w:pPr>
        <w:pStyle w:val="BodyText"/>
        <w:spacing w:before="90"/>
        <w:ind w:left="115" w:right="190"/>
        <w:jc w:val="both"/>
      </w:pPr>
      <w:r>
        <w:rPr/>
        <w:t>Ces exercices abordent la conversion du binaire vers le décimal et inversement. Il est nécessaire de maîtriser cette partie afin de concevoir des réseaux, ou plus simplement d'intervenir sur des réseaux existants.</w:t>
      </w:r>
    </w:p>
    <w:p>
      <w:pPr>
        <w:pStyle w:val="BodyText"/>
        <w:ind w:left="0"/>
      </w:pPr>
    </w:p>
    <w:p>
      <w:pPr>
        <w:pStyle w:val="Heading1"/>
      </w:pPr>
      <w:r>
        <w:rPr/>
        <w:t>Exercice 1</w:t>
      </w:r>
    </w:p>
    <w:p>
      <w:pPr>
        <w:pStyle w:val="BodyText"/>
        <w:spacing w:line="550" w:lineRule="atLeast" w:before="2"/>
        <w:ind w:right="3647" w:hanging="360"/>
      </w:pPr>
      <w:r>
        <w:rPr/>
        <w:t>Convertir les valeurs binaires suivantes en notation décimale</w:t>
      </w:r>
      <w:r>
        <w:rPr>
          <w:spacing w:val="-21"/>
        </w:rPr>
        <w:t> </w:t>
      </w:r>
      <w:r>
        <w:rPr/>
        <w:t>: 1. </w:t>
      </w:r>
      <w:r>
        <w:rPr>
          <w:spacing w:val="-5"/>
        </w:rPr>
        <w:t>11011110</w:t>
      </w:r>
    </w:p>
    <w:p>
      <w:pPr>
        <w:pStyle w:val="BodyText"/>
        <w:spacing w:before="2"/>
      </w:pPr>
      <w:r>
        <w:rPr/>
        <w:t>2.   10100010</w:t>
      </w:r>
    </w:p>
    <w:p>
      <w:pPr>
        <w:pStyle w:val="BodyText"/>
      </w:pPr>
      <w:r>
        <w:rPr/>
        <w:t>3.  </w:t>
      </w:r>
      <w:r>
        <w:rPr>
          <w:spacing w:val="2"/>
        </w:rPr>
        <w:t> </w:t>
      </w:r>
      <w:r>
        <w:rPr>
          <w:spacing w:val="-5"/>
        </w:rPr>
        <w:t>11111001</w:t>
      </w:r>
    </w:p>
    <w:p>
      <w:pPr>
        <w:pStyle w:val="BodyText"/>
      </w:pPr>
      <w:r>
        <w:rPr/>
        <w:t>4.  </w:t>
      </w:r>
      <w:r>
        <w:rPr>
          <w:spacing w:val="6"/>
        </w:rPr>
        <w:t> </w:t>
      </w:r>
      <w:r>
        <w:rPr>
          <w:spacing w:val="-3"/>
        </w:rPr>
        <w:t>10011011</w:t>
      </w:r>
    </w:p>
    <w:p>
      <w:pPr>
        <w:pStyle w:val="BodyText"/>
      </w:pPr>
      <w:r>
        <w:rPr/>
        <w:t>5. </w:t>
      </w:r>
      <w:r>
        <w:rPr>
          <w:spacing w:val="49"/>
        </w:rPr>
        <w:t> </w:t>
      </w:r>
      <w:r>
        <w:rPr/>
        <w:t>11010101</w:t>
      </w:r>
    </w:p>
    <w:p>
      <w:pPr>
        <w:pStyle w:val="BodyText"/>
      </w:pPr>
      <w:r>
        <w:rPr/>
        <w:t>6.   00101010</w:t>
      </w:r>
    </w:p>
    <w:p>
      <w:pPr>
        <w:pStyle w:val="BodyText"/>
      </w:pPr>
      <w:r>
        <w:rPr/>
        <w:t>7. </w:t>
      </w:r>
      <w:r>
        <w:rPr>
          <w:spacing w:val="50"/>
        </w:rPr>
        <w:t> </w:t>
      </w:r>
      <w:r>
        <w:rPr/>
        <w:t>10010110</w:t>
      </w:r>
    </w:p>
    <w:p>
      <w:pPr>
        <w:pStyle w:val="BodyText"/>
      </w:pPr>
      <w:r>
        <w:rPr/>
        <w:t>8.   10101010</w:t>
      </w:r>
    </w:p>
    <w:p>
      <w:pPr>
        <w:pStyle w:val="BodyText"/>
        <w:ind w:left="0"/>
      </w:pPr>
    </w:p>
    <w:p>
      <w:pPr>
        <w:pStyle w:val="Heading1"/>
      </w:pPr>
      <w:r>
        <w:rPr/>
        <w:t>Exercice</w:t>
      </w:r>
      <w:r>
        <w:rPr>
          <w:spacing w:val="-10"/>
        </w:rPr>
        <w:t> </w:t>
      </w:r>
      <w:r>
        <w:rPr/>
        <w:t>2</w:t>
      </w:r>
    </w:p>
    <w:p>
      <w:pPr>
        <w:pStyle w:val="BodyText"/>
        <w:spacing w:line="550" w:lineRule="atLeast" w:before="2"/>
        <w:ind w:right="3647" w:hanging="360"/>
      </w:pPr>
      <w:r>
        <w:rPr/>
        <w:t>Convertir les valeurs décimales suivantes en notation binaire</w:t>
      </w:r>
      <w:r>
        <w:rPr>
          <w:spacing w:val="-20"/>
        </w:rPr>
        <w:t> </w:t>
      </w:r>
      <w:r>
        <w:rPr/>
        <w:t>: 1. 192</w:t>
      </w:r>
    </w:p>
    <w:p>
      <w:pPr>
        <w:pStyle w:val="BodyText"/>
        <w:spacing w:before="2"/>
      </w:pPr>
      <w:r>
        <w:rPr/>
        <w:t>2.   203</w:t>
      </w:r>
    </w:p>
    <w:p>
      <w:pPr>
        <w:pStyle w:val="BodyText"/>
      </w:pPr>
      <w:r>
        <w:rPr/>
        <w:t>3.   36</w:t>
      </w:r>
    </w:p>
    <w:p>
      <w:pPr>
        <w:pStyle w:val="BodyText"/>
      </w:pPr>
      <w:r>
        <w:rPr/>
        <w:t>4.   224</w:t>
      </w:r>
    </w:p>
    <w:p>
      <w:pPr>
        <w:pStyle w:val="BodyText"/>
      </w:pPr>
      <w:r>
        <w:rPr/>
        <w:t>5.   135</w:t>
      </w:r>
    </w:p>
    <w:p>
      <w:pPr>
        <w:pStyle w:val="BodyText"/>
      </w:pPr>
      <w:r>
        <w:rPr/>
        <w:t>6.   89</w:t>
      </w:r>
    </w:p>
    <w:p>
      <w:pPr>
        <w:pStyle w:val="BodyText"/>
      </w:pPr>
      <w:r>
        <w:rPr/>
        <w:t>7.   125</w:t>
      </w:r>
    </w:p>
    <w:p>
      <w:pPr>
        <w:pStyle w:val="BodyText"/>
      </w:pPr>
      <w:r>
        <w:rPr/>
        <w:t>8.   65</w:t>
      </w:r>
    </w:p>
    <w:p>
      <w:pPr>
        <w:pStyle w:val="BodyText"/>
        <w:ind w:left="0"/>
      </w:pPr>
    </w:p>
    <w:p>
      <w:pPr>
        <w:pStyle w:val="Heading1"/>
      </w:pPr>
      <w:r>
        <w:rPr/>
        <w:t>Exercice</w:t>
      </w:r>
      <w:r>
        <w:rPr>
          <w:spacing w:val="-10"/>
        </w:rPr>
        <w:t> </w:t>
      </w:r>
      <w:r>
        <w:rPr/>
        <w:t>3</w:t>
      </w:r>
    </w:p>
    <w:p>
      <w:pPr>
        <w:pStyle w:val="BodyText"/>
        <w:spacing w:line="550" w:lineRule="atLeast" w:before="2"/>
        <w:ind w:right="5112" w:hanging="360"/>
      </w:pPr>
      <w:r>
        <w:rPr/>
        <w:t>Convertir en binaire les adresses IP suivantes : 1. 82.166.19.3</w:t>
      </w:r>
    </w:p>
    <w:p>
      <w:pPr>
        <w:pStyle w:val="BodyText"/>
        <w:spacing w:before="2"/>
      </w:pPr>
      <w:r>
        <w:rPr/>
        <w:t>2. 127.0.0.1</w:t>
      </w:r>
    </w:p>
    <w:p>
      <w:pPr>
        <w:pStyle w:val="BodyText"/>
      </w:pPr>
      <w:r>
        <w:rPr/>
        <w:t>3.   135.224.27.95</w:t>
      </w:r>
    </w:p>
    <w:p>
      <w:pPr>
        <w:pStyle w:val="BodyText"/>
      </w:pPr>
      <w:r>
        <w:rPr/>
        <w:t>4.   172.31.46.56</w:t>
      </w:r>
    </w:p>
    <w:p>
      <w:pPr>
        <w:pStyle w:val="BodyText"/>
      </w:pPr>
      <w:r>
        <w:rPr/>
        <w:t>5.   195.200.60.48</w:t>
      </w:r>
    </w:p>
    <w:p>
      <w:pPr>
        <w:pStyle w:val="BodyText"/>
      </w:pPr>
      <w:r>
        <w:rPr/>
        <w:t>6. 218.75.36.5</w:t>
      </w:r>
    </w:p>
    <w:p>
      <w:pPr>
        <w:pStyle w:val="BodyText"/>
      </w:pPr>
      <w:r>
        <w:rPr/>
        <w:t>7.   224.20.27.255</w:t>
      </w:r>
    </w:p>
    <w:p>
      <w:pPr>
        <w:pStyle w:val="BodyText"/>
      </w:pPr>
      <w:r>
        <w:rPr/>
        <w:t>8.   240.245.19.9</w:t>
      </w:r>
    </w:p>
    <w:p>
      <w:pPr>
        <w:spacing w:after="0"/>
        <w:sectPr>
          <w:headerReference w:type="default" r:id="rId5"/>
          <w:footerReference w:type="default" r:id="rId6"/>
          <w:type w:val="continuous"/>
          <w:pgSz w:w="11900" w:h="16840"/>
          <w:pgMar w:header="1119" w:footer="1113" w:top="1520" w:bottom="1300" w:left="1020" w:right="1020"/>
          <w:pgNumType w:start="1"/>
        </w:sectPr>
      </w:pPr>
    </w:p>
    <w:p>
      <w:pPr>
        <w:pStyle w:val="BodyText"/>
        <w:spacing w:before="1"/>
        <w:ind w:left="0"/>
        <w:rPr>
          <w:sz w:val="23"/>
        </w:rPr>
      </w:pPr>
    </w:p>
    <w:p>
      <w:pPr>
        <w:pStyle w:val="Heading1"/>
        <w:spacing w:before="90"/>
      </w:pPr>
      <w:r>
        <w:rPr/>
        <w:t>Exercice 4</w:t>
      </w:r>
    </w:p>
    <w:p>
      <w:pPr>
        <w:pStyle w:val="BodyText"/>
        <w:spacing w:line="550" w:lineRule="atLeast" w:before="2"/>
        <w:ind w:right="4447" w:hanging="360"/>
      </w:pPr>
      <w:r>
        <w:rPr/>
        <w:t>Convertir en décimal pointé les adresses IP</w:t>
      </w:r>
      <w:r>
        <w:rPr>
          <w:spacing w:val="-28"/>
        </w:rPr>
        <w:t> </w:t>
      </w:r>
      <w:r>
        <w:rPr/>
        <w:t>suivantes: 1.</w:t>
      </w:r>
      <w:r>
        <w:rPr>
          <w:spacing w:val="52"/>
        </w:rPr>
        <w:t> </w:t>
      </w:r>
      <w:r>
        <w:rPr/>
        <w:t>11100101.10100110.01000101.00100101</w:t>
      </w:r>
    </w:p>
    <w:p>
      <w:pPr>
        <w:pStyle w:val="BodyText"/>
        <w:spacing w:before="2"/>
      </w:pPr>
      <w:r>
        <w:rPr/>
        <w:t>2. </w:t>
      </w:r>
      <w:r>
        <w:rPr>
          <w:spacing w:val="49"/>
        </w:rPr>
        <w:t> </w:t>
      </w:r>
      <w:r>
        <w:rPr/>
        <w:t>11010100.10101000.10100101.00101001</w:t>
      </w:r>
    </w:p>
    <w:p>
      <w:pPr>
        <w:pStyle w:val="BodyText"/>
      </w:pPr>
      <w:r>
        <w:rPr/>
        <w:t>3.   10100101.10100010.10100010.00100010</w:t>
      </w:r>
    </w:p>
    <w:p>
      <w:pPr>
        <w:pStyle w:val="BodyText"/>
      </w:pPr>
      <w:r>
        <w:rPr/>
        <w:t>4.  </w:t>
      </w:r>
      <w:r>
        <w:rPr>
          <w:spacing w:val="31"/>
        </w:rPr>
        <w:t> </w:t>
      </w:r>
      <w:r>
        <w:rPr>
          <w:spacing w:val="-3"/>
        </w:rPr>
        <w:t>10100101.11000000.11100001.00111111</w:t>
      </w:r>
    </w:p>
    <w:p>
      <w:pPr>
        <w:pStyle w:val="BodyText"/>
      </w:pPr>
      <w:r>
        <w:rPr/>
        <w:t>5. </w:t>
      </w:r>
      <w:r>
        <w:rPr>
          <w:spacing w:val="6"/>
        </w:rPr>
        <w:t> </w:t>
      </w:r>
      <w:r>
        <w:rPr/>
        <w:t>10010011.11101101.11010110.00101001</w:t>
      </w:r>
    </w:p>
    <w:p>
      <w:pPr>
        <w:pStyle w:val="BodyText"/>
      </w:pPr>
      <w:r>
        <w:rPr/>
        <w:t>6.  </w:t>
      </w:r>
      <w:r>
        <w:rPr>
          <w:spacing w:val="32"/>
        </w:rPr>
        <w:t> </w:t>
      </w:r>
      <w:r>
        <w:rPr>
          <w:spacing w:val="-3"/>
        </w:rPr>
        <w:t>11110101.11010010.11011101.00110100</w:t>
      </w:r>
    </w:p>
    <w:p>
      <w:pPr>
        <w:pStyle w:val="BodyText"/>
      </w:pPr>
      <w:r>
        <w:rPr/>
        <w:t>7. </w:t>
      </w:r>
      <w:r>
        <w:rPr>
          <w:spacing w:val="22"/>
        </w:rPr>
        <w:t> </w:t>
      </w:r>
      <w:r>
        <w:rPr/>
        <w:t>11010010.11010010.10111010.00101001</w:t>
      </w:r>
    </w:p>
    <w:p>
      <w:pPr>
        <w:pStyle w:val="BodyText"/>
      </w:pPr>
      <w:r>
        <w:rPr/>
        <w:t>8. </w:t>
      </w:r>
      <w:r>
        <w:rPr>
          <w:spacing w:val="24"/>
        </w:rPr>
        <w:t> </w:t>
      </w:r>
      <w:r>
        <w:rPr/>
        <w:t>10101010.10100010.11101011.00101101</w:t>
      </w:r>
    </w:p>
    <w:p>
      <w:pPr>
        <w:pStyle w:val="BodyText"/>
        <w:ind w:left="0"/>
      </w:pPr>
    </w:p>
    <w:p>
      <w:pPr>
        <w:pStyle w:val="Heading1"/>
        <w:numPr>
          <w:ilvl w:val="0"/>
          <w:numId w:val="1"/>
        </w:numPr>
        <w:tabs>
          <w:tab w:pos="422" w:val="left" w:leader="none"/>
        </w:tabs>
        <w:spacing w:line="240" w:lineRule="auto" w:before="0" w:after="0"/>
        <w:ind w:left="421" w:right="0" w:hanging="307"/>
        <w:jc w:val="left"/>
      </w:pPr>
      <w:r>
        <w:rPr>
          <w:u w:val="single"/>
        </w:rPr>
        <w:t>Classes</w:t>
      </w:r>
      <w:r>
        <w:rPr>
          <w:spacing w:val="-1"/>
          <w:u w:val="single"/>
        </w:rPr>
        <w:t> </w:t>
      </w:r>
      <w:r>
        <w:rPr>
          <w:u w:val="single"/>
        </w:rPr>
        <w:t>d'adresses</w:t>
      </w:r>
    </w:p>
    <w:p>
      <w:pPr>
        <w:pStyle w:val="BodyText"/>
        <w:spacing w:before="2"/>
        <w:ind w:left="0"/>
        <w:rPr>
          <w:b/>
          <w:sz w:val="16"/>
        </w:rPr>
      </w:pPr>
    </w:p>
    <w:p>
      <w:pPr>
        <w:pStyle w:val="BodyText"/>
        <w:spacing w:before="90"/>
        <w:ind w:left="115" w:right="125"/>
      </w:pPr>
      <w:r>
        <w:rPr/>
        <w:t>Les classes d'adresses ont été mises en place afin de reconnaître facilement les différents réseaux. En effet, chaque réseau présente un nombre spécifique d'hôtes. On distingue principalement trois classes réservées à une utilisation de "tous les jours" et deux classes supplémentaires destinées à des untilisations spécifiques (multicast et expérimental).</w:t>
      </w:r>
    </w:p>
    <w:p>
      <w:pPr>
        <w:pStyle w:val="BodyText"/>
        <w:ind w:left="0"/>
      </w:pPr>
    </w:p>
    <w:p>
      <w:pPr>
        <w:pStyle w:val="BodyText"/>
        <w:ind w:left="115"/>
      </w:pPr>
      <w:r>
        <w:rPr/>
        <w:t>Les classes "classiques" sont la classe A, la classe B et la classe C. Chaque réseau de classe A comporte 16 777214 machines, la classe B 65534 machines et la classe C 254 machines (ou hôtes).</w:t>
      </w:r>
    </w:p>
    <w:p>
      <w:pPr>
        <w:pStyle w:val="BodyText"/>
        <w:ind w:left="0"/>
      </w:pPr>
    </w:p>
    <w:p>
      <w:pPr>
        <w:pStyle w:val="BodyText"/>
        <w:ind w:left="115"/>
      </w:pPr>
      <w:r>
        <w:rPr/>
        <w:t>On associe à chaque classe un masque de sous-réseau spécifique, 255.0.0.0 pour la classe A, 255.255.0.0, pour la classe B et 255.255.255.0 pour la calsse C.</w:t>
      </w:r>
    </w:p>
    <w:p>
      <w:pPr>
        <w:pStyle w:val="BodyText"/>
        <w:ind w:left="0"/>
      </w:pPr>
    </w:p>
    <w:p>
      <w:pPr>
        <w:pStyle w:val="BodyText"/>
        <w:spacing w:before="1"/>
        <w:ind w:left="115"/>
      </w:pPr>
      <w:r>
        <w:rPr/>
        <w:t>La classe D est réservée au multicast (diffusion groupée) et la classe E pour un usage expérimental.</w:t>
      </w:r>
    </w:p>
    <w:p>
      <w:pPr>
        <w:pStyle w:val="BodyText"/>
        <w:spacing w:before="11"/>
        <w:ind w:left="0"/>
        <w:rPr>
          <w:sz w:val="23"/>
        </w:rPr>
      </w:pPr>
    </w:p>
    <w:p>
      <w:pPr>
        <w:pStyle w:val="Heading1"/>
      </w:pPr>
      <w:r>
        <w:rPr/>
        <w:t>Exercice 1</w:t>
      </w:r>
    </w:p>
    <w:p>
      <w:pPr>
        <w:pStyle w:val="BodyText"/>
        <w:spacing w:line="550" w:lineRule="atLeast" w:before="2"/>
        <w:ind w:right="5692" w:hanging="360"/>
      </w:pPr>
      <w:r>
        <w:rPr/>
        <w:t>Donner les classes des adresses suivantes: 1. 224.0.0.1</w:t>
      </w:r>
    </w:p>
    <w:p>
      <w:pPr>
        <w:pStyle w:val="BodyText"/>
        <w:spacing w:before="2"/>
      </w:pPr>
      <w:r>
        <w:rPr/>
        <w:t>2.   10.0.100.254</w:t>
      </w:r>
    </w:p>
    <w:p>
      <w:pPr>
        <w:pStyle w:val="BodyText"/>
      </w:pPr>
      <w:r>
        <w:rPr/>
        <w:t>3.   82.0.79.143</w:t>
      </w:r>
    </w:p>
    <w:p>
      <w:pPr>
        <w:pStyle w:val="BodyText"/>
      </w:pPr>
      <w:r>
        <w:rPr/>
        <w:t>4.   212.150.23.54</w:t>
      </w:r>
    </w:p>
    <w:p>
      <w:pPr>
        <w:pStyle w:val="BodyText"/>
      </w:pPr>
      <w:r>
        <w:rPr/>
        <w:t>5.   192.168.18.3</w:t>
      </w:r>
    </w:p>
    <w:p>
      <w:pPr>
        <w:pStyle w:val="BodyText"/>
      </w:pPr>
      <w:r>
        <w:rPr/>
        <w:t>6.   155.230.140.1</w:t>
      </w:r>
    </w:p>
    <w:p>
      <w:pPr>
        <w:pStyle w:val="BodyText"/>
      </w:pPr>
      <w:r>
        <w:rPr/>
        <w:t>7. 127.0.0.1</w:t>
      </w:r>
    </w:p>
    <w:p>
      <w:pPr>
        <w:pStyle w:val="BodyText"/>
      </w:pPr>
      <w:r>
        <w:rPr/>
        <w:t>8.   181.205.10.99</w:t>
      </w:r>
    </w:p>
    <w:p>
      <w:pPr>
        <w:pStyle w:val="BodyText"/>
      </w:pPr>
      <w:r>
        <w:rPr/>
        <w:t>9.   240.45.76.12</w:t>
      </w:r>
    </w:p>
    <w:p>
      <w:pPr>
        <w:pStyle w:val="BodyText"/>
        <w:ind w:left="0"/>
      </w:pPr>
    </w:p>
    <w:p>
      <w:pPr>
        <w:pStyle w:val="Heading1"/>
      </w:pPr>
      <w:r>
        <w:rPr/>
        <w:t>Exercice 2</w:t>
      </w:r>
    </w:p>
    <w:p>
      <w:pPr>
        <w:pStyle w:val="BodyText"/>
        <w:ind w:left="0"/>
        <w:rPr>
          <w:b/>
        </w:rPr>
      </w:pPr>
    </w:p>
    <w:p>
      <w:pPr>
        <w:pStyle w:val="BodyText"/>
        <w:ind w:left="115"/>
      </w:pPr>
      <w:r>
        <w:rPr/>
        <w:t>Donner les masques de sous-réseaux par défaut des adresses suivantes (255.0.0.0 pour la classe A, 255.255.0.0 pour la classe B et 255.255.2555.0 pour la calsse C):</w:t>
      </w:r>
    </w:p>
    <w:p>
      <w:pPr>
        <w:pStyle w:val="BodyText"/>
        <w:ind w:left="0"/>
      </w:pPr>
    </w:p>
    <w:p>
      <w:pPr>
        <w:pStyle w:val="BodyText"/>
      </w:pPr>
      <w:r>
        <w:rPr/>
        <w:t>1. 124.95.45.1</w:t>
      </w:r>
    </w:p>
    <w:p>
      <w:pPr>
        <w:spacing w:after="0"/>
        <w:sectPr>
          <w:pgSz w:w="11900" w:h="16840"/>
          <w:pgMar w:header="1119" w:footer="1113" w:top="1520" w:bottom="1300" w:left="1020" w:right="1020"/>
        </w:sectPr>
      </w:pPr>
    </w:p>
    <w:p>
      <w:pPr>
        <w:pStyle w:val="BodyText"/>
        <w:spacing w:before="80"/>
      </w:pPr>
      <w:r>
        <w:rPr/>
        <w:t>2. 100.0.145.1</w:t>
      </w:r>
    </w:p>
    <w:p>
      <w:pPr>
        <w:pStyle w:val="BodyText"/>
      </w:pPr>
      <w:r>
        <w:rPr/>
        <w:t>3. 182.0.179.254</w:t>
      </w:r>
    </w:p>
    <w:p>
      <w:pPr>
        <w:pStyle w:val="BodyText"/>
      </w:pPr>
      <w:r>
        <w:rPr/>
        <w:t>4.   128.190.223.154</w:t>
      </w:r>
    </w:p>
    <w:p>
      <w:pPr>
        <w:pStyle w:val="BodyText"/>
      </w:pPr>
      <w:r>
        <w:rPr/>
        <w:t>5.   191.18.200.149</w:t>
      </w:r>
    </w:p>
    <w:p>
      <w:pPr>
        <w:pStyle w:val="BodyText"/>
      </w:pPr>
      <w:r>
        <w:rPr/>
        <w:t>6. 195.20.40.58</w:t>
      </w:r>
    </w:p>
    <w:p>
      <w:pPr>
        <w:pStyle w:val="BodyText"/>
      </w:pPr>
      <w:r>
        <w:rPr/>
        <w:t>7. 127.0.0.1</w:t>
      </w:r>
    </w:p>
    <w:p>
      <w:pPr>
        <w:pStyle w:val="BodyText"/>
      </w:pPr>
      <w:r>
        <w:rPr/>
        <w:t>8.</w:t>
      </w:r>
      <w:r>
        <w:rPr>
          <w:spacing w:val="59"/>
        </w:rPr>
        <w:t> </w:t>
      </w:r>
      <w:r>
        <w:rPr/>
        <w:t>192.205.110.99</w:t>
      </w:r>
    </w:p>
    <w:p>
      <w:pPr>
        <w:pStyle w:val="BodyText"/>
      </w:pPr>
      <w:r>
        <w:rPr/>
        <w:t>9. 223.27.236.54</w:t>
      </w:r>
    </w:p>
    <w:p>
      <w:pPr>
        <w:pStyle w:val="BodyText"/>
        <w:ind w:left="0"/>
      </w:pPr>
    </w:p>
    <w:p>
      <w:pPr>
        <w:pStyle w:val="Heading1"/>
      </w:pPr>
      <w:r>
        <w:rPr/>
        <w:t>Exercice 3</w:t>
      </w:r>
    </w:p>
    <w:p>
      <w:pPr>
        <w:pStyle w:val="BodyText"/>
        <w:ind w:left="0"/>
        <w:rPr>
          <w:b/>
        </w:rPr>
      </w:pPr>
    </w:p>
    <w:p>
      <w:pPr>
        <w:pStyle w:val="BodyText"/>
        <w:ind w:left="115"/>
      </w:pPr>
      <w:r>
        <w:rPr/>
        <w:t>Donner la partie hôte des adresses IP suivantes (en se basant sur les masques de sous-réseaux par défaut)</w:t>
      </w:r>
    </w:p>
    <w:p>
      <w:pPr>
        <w:pStyle w:val="BodyText"/>
        <w:ind w:left="0"/>
      </w:pPr>
    </w:p>
    <w:p>
      <w:pPr>
        <w:pStyle w:val="BodyText"/>
      </w:pPr>
      <w:r>
        <w:rPr/>
        <w:t>1. 168.234.150.19</w:t>
      </w:r>
    </w:p>
    <w:p>
      <w:pPr>
        <w:pStyle w:val="BodyText"/>
      </w:pPr>
      <w:r>
        <w:rPr/>
        <w:t>2.   65.200.45.99</w:t>
      </w:r>
    </w:p>
    <w:p>
      <w:pPr>
        <w:pStyle w:val="BodyText"/>
      </w:pPr>
      <w:r>
        <w:rPr/>
        <w:t>3.   202.130.199.1</w:t>
      </w:r>
    </w:p>
    <w:p>
      <w:pPr>
        <w:pStyle w:val="BodyText"/>
      </w:pPr>
      <w:r>
        <w:rPr/>
        <w:t>4. 193.130.224.254</w:t>
      </w:r>
    </w:p>
    <w:p>
      <w:pPr>
        <w:pStyle w:val="BodyText"/>
      </w:pPr>
      <w:r>
        <w:rPr/>
        <w:t>5. 191.218.20.4</w:t>
      </w:r>
    </w:p>
    <w:p>
      <w:pPr>
        <w:pStyle w:val="BodyText"/>
      </w:pPr>
      <w:r>
        <w:rPr/>
        <w:t>6. 195.209.140.65</w:t>
      </w:r>
    </w:p>
    <w:p>
      <w:pPr>
        <w:pStyle w:val="BodyText"/>
      </w:pPr>
      <w:r>
        <w:rPr/>
        <w:t>7. 127.0.0.1</w:t>
      </w:r>
    </w:p>
    <w:p>
      <w:pPr>
        <w:pStyle w:val="BodyText"/>
      </w:pPr>
      <w:r>
        <w:rPr/>
        <w:t>8.   10.215.10.199</w:t>
      </w:r>
    </w:p>
    <w:p>
      <w:pPr>
        <w:pStyle w:val="BodyText"/>
      </w:pPr>
      <w:r>
        <w:rPr/>
        <w:t>9.   223.27.236.54</w:t>
      </w:r>
    </w:p>
    <w:p>
      <w:pPr>
        <w:pStyle w:val="BodyText"/>
        <w:ind w:left="0"/>
      </w:pPr>
    </w:p>
    <w:p>
      <w:pPr>
        <w:pStyle w:val="Heading1"/>
      </w:pPr>
      <w:r>
        <w:rPr/>
        <w:t>Exercice 4</w:t>
      </w:r>
    </w:p>
    <w:p>
      <w:pPr>
        <w:pStyle w:val="BodyText"/>
        <w:ind w:left="0"/>
        <w:rPr>
          <w:b/>
        </w:rPr>
      </w:pPr>
    </w:p>
    <w:p>
      <w:pPr>
        <w:pStyle w:val="BodyText"/>
        <w:ind w:left="115"/>
      </w:pPr>
      <w:r>
        <w:rPr/>
        <w:t>Donner la partie réseau des adresses IP suivantes (en se basant sur les masques de sous-réseaux par défaut)</w:t>
      </w:r>
    </w:p>
    <w:p>
      <w:pPr>
        <w:pStyle w:val="BodyText"/>
        <w:ind w:left="0"/>
      </w:pPr>
    </w:p>
    <w:p>
      <w:pPr>
        <w:pStyle w:val="BodyText"/>
      </w:pPr>
      <w:r>
        <w:rPr/>
        <w:t>1.</w:t>
      </w:r>
      <w:r>
        <w:rPr>
          <w:spacing w:val="59"/>
        </w:rPr>
        <w:t> </w:t>
      </w:r>
      <w:r>
        <w:rPr/>
        <w:t>24.195.54.111</w:t>
      </w:r>
    </w:p>
    <w:p>
      <w:pPr>
        <w:pStyle w:val="BodyText"/>
      </w:pPr>
      <w:r>
        <w:rPr/>
        <w:t>2.   130.60.15.95</w:t>
      </w:r>
    </w:p>
    <w:p>
      <w:pPr>
        <w:pStyle w:val="BodyText"/>
      </w:pPr>
      <w:r>
        <w:rPr/>
        <w:t>3.   193.245.3.19</w:t>
      </w:r>
    </w:p>
    <w:p>
      <w:pPr>
        <w:pStyle w:val="BodyText"/>
      </w:pPr>
      <w:r>
        <w:rPr/>
        <w:t>4.   220.10.213.54</w:t>
      </w:r>
    </w:p>
    <w:p>
      <w:pPr>
        <w:pStyle w:val="BodyText"/>
      </w:pPr>
      <w:r>
        <w:rPr/>
        <w:t>5.   191.189.45.149</w:t>
      </w:r>
    </w:p>
    <w:p>
      <w:pPr>
        <w:pStyle w:val="BodyText"/>
      </w:pPr>
      <w:r>
        <w:rPr/>
        <w:t>6.   60.250.140.58</w:t>
      </w:r>
    </w:p>
    <w:p>
      <w:pPr>
        <w:pStyle w:val="BodyText"/>
      </w:pPr>
      <w:r>
        <w:rPr/>
        <w:t>7. </w:t>
      </w:r>
      <w:r>
        <w:rPr>
          <w:spacing w:val="50"/>
        </w:rPr>
        <w:t> </w:t>
      </w:r>
      <w:r>
        <w:rPr/>
        <w:t>169.254.165.115</w:t>
      </w:r>
    </w:p>
    <w:p>
      <w:pPr>
        <w:pStyle w:val="BodyText"/>
      </w:pPr>
      <w:r>
        <w:rPr/>
        <w:t>8. </w:t>
      </w:r>
      <w:r>
        <w:rPr>
          <w:spacing w:val="50"/>
        </w:rPr>
        <w:t> </w:t>
      </w:r>
      <w:r>
        <w:rPr/>
        <w:t>192.254.165.115</w:t>
      </w:r>
    </w:p>
    <w:p>
      <w:pPr>
        <w:pStyle w:val="BodyText"/>
      </w:pPr>
      <w:r>
        <w:rPr/>
        <w:t>9.</w:t>
      </w:r>
      <w:r>
        <w:rPr>
          <w:spacing w:val="59"/>
        </w:rPr>
        <w:t> </w:t>
      </w:r>
      <w:r>
        <w:rPr/>
        <w:t>192.25.110.199</w:t>
      </w:r>
    </w:p>
    <w:p>
      <w:pPr>
        <w:pStyle w:val="BodyText"/>
      </w:pPr>
      <w:r>
        <w:rPr/>
        <w:t>10. 23.127.26.254</w:t>
      </w:r>
    </w:p>
    <w:p>
      <w:pPr>
        <w:pStyle w:val="BodyText"/>
        <w:ind w:left="0"/>
      </w:pPr>
    </w:p>
    <w:p>
      <w:pPr>
        <w:pStyle w:val="Heading1"/>
        <w:numPr>
          <w:ilvl w:val="0"/>
          <w:numId w:val="1"/>
        </w:numPr>
        <w:tabs>
          <w:tab w:pos="516" w:val="left" w:leader="none"/>
        </w:tabs>
        <w:spacing w:line="240" w:lineRule="auto" w:before="0" w:after="0"/>
        <w:ind w:left="515" w:right="0" w:hanging="401"/>
        <w:jc w:val="left"/>
      </w:pPr>
      <w:r>
        <w:rPr>
          <w:u w:val="single"/>
        </w:rPr>
        <w:t>Les adresses</w:t>
      </w:r>
      <w:r>
        <w:rPr>
          <w:spacing w:val="-1"/>
          <w:u w:val="single"/>
        </w:rPr>
        <w:t> </w:t>
      </w:r>
      <w:r>
        <w:rPr>
          <w:u w:val="single"/>
        </w:rPr>
        <w:t>remarquables</w:t>
      </w:r>
    </w:p>
    <w:p>
      <w:pPr>
        <w:pStyle w:val="BodyText"/>
        <w:spacing w:before="2"/>
        <w:ind w:left="0"/>
        <w:rPr>
          <w:b/>
          <w:sz w:val="16"/>
        </w:rPr>
      </w:pPr>
    </w:p>
    <w:p>
      <w:pPr>
        <w:spacing w:before="90"/>
        <w:ind w:left="115" w:right="0" w:firstLine="0"/>
        <w:jc w:val="left"/>
        <w:rPr>
          <w:b/>
          <w:sz w:val="24"/>
        </w:rPr>
      </w:pPr>
      <w:r>
        <w:rPr>
          <w:b/>
          <w:sz w:val="24"/>
        </w:rPr>
        <w:t>Exercice 1</w:t>
      </w:r>
    </w:p>
    <w:p>
      <w:pPr>
        <w:pStyle w:val="BodyText"/>
        <w:ind w:left="0"/>
        <w:rPr>
          <w:b/>
        </w:rPr>
      </w:pPr>
    </w:p>
    <w:p>
      <w:pPr>
        <w:pStyle w:val="BodyText"/>
        <w:spacing w:before="1"/>
        <w:ind w:left="115"/>
      </w:pPr>
      <w:r>
        <w:rPr/>
        <w:t>Répondre par vrai ou faux aux affirmations suivantes:</w:t>
      </w:r>
    </w:p>
    <w:p>
      <w:pPr>
        <w:pStyle w:val="BodyText"/>
        <w:spacing w:before="11"/>
        <w:ind w:left="0"/>
        <w:rPr>
          <w:sz w:val="23"/>
        </w:rPr>
      </w:pPr>
    </w:p>
    <w:p>
      <w:pPr>
        <w:pStyle w:val="BodyText"/>
        <w:ind w:left="548"/>
      </w:pPr>
      <w:r>
        <w:rPr/>
        <w:t>1. Les adresses privées de la classe A vont de 172.16.0.0 255.255.0.0 à 172.31.0.0 255.255.0.0</w:t>
      </w:r>
    </w:p>
    <w:p>
      <w:pPr>
        <w:pStyle w:val="ListParagraph"/>
        <w:numPr>
          <w:ilvl w:val="1"/>
          <w:numId w:val="1"/>
        </w:numPr>
        <w:tabs>
          <w:tab w:pos="776" w:val="left" w:leader="none"/>
        </w:tabs>
        <w:spacing w:line="240" w:lineRule="auto" w:before="0" w:after="0"/>
        <w:ind w:left="776" w:right="0" w:hanging="241"/>
        <w:jc w:val="left"/>
        <w:rPr>
          <w:sz w:val="24"/>
        </w:rPr>
      </w:pPr>
      <w:r>
        <w:rPr>
          <w:sz w:val="24"/>
        </w:rPr>
        <w:t>On peut utiliser l'adresse 127.0.0.1 255.0.0.0 pour adresser une</w:t>
      </w:r>
      <w:r>
        <w:rPr>
          <w:spacing w:val="-4"/>
          <w:sz w:val="24"/>
        </w:rPr>
        <w:t> </w:t>
      </w:r>
      <w:r>
        <w:rPr>
          <w:sz w:val="24"/>
        </w:rPr>
        <w:t>machine</w:t>
      </w:r>
    </w:p>
    <w:p>
      <w:pPr>
        <w:pStyle w:val="ListParagraph"/>
        <w:numPr>
          <w:ilvl w:val="1"/>
          <w:numId w:val="1"/>
        </w:numPr>
        <w:tabs>
          <w:tab w:pos="836" w:val="left" w:leader="none"/>
        </w:tabs>
        <w:spacing w:line="240" w:lineRule="auto" w:before="0" w:after="0"/>
        <w:ind w:left="836" w:right="0" w:hanging="312"/>
        <w:jc w:val="left"/>
        <w:rPr>
          <w:sz w:val="24"/>
        </w:rPr>
      </w:pPr>
      <w:r>
        <w:rPr>
          <w:sz w:val="24"/>
        </w:rPr>
        <w:t>L'adresse 169.254.0.1 255.255.0.0 est une adresse réservée utilisée pour les clients</w:t>
      </w:r>
      <w:r>
        <w:rPr>
          <w:spacing w:val="-14"/>
          <w:sz w:val="24"/>
        </w:rPr>
        <w:t> </w:t>
      </w:r>
      <w:r>
        <w:rPr>
          <w:sz w:val="24"/>
        </w:rPr>
        <w:t>avec</w:t>
      </w:r>
    </w:p>
    <w:p>
      <w:pPr>
        <w:spacing w:after="0" w:line="240" w:lineRule="auto"/>
        <w:jc w:val="left"/>
        <w:rPr>
          <w:sz w:val="24"/>
        </w:rPr>
        <w:sectPr>
          <w:pgSz w:w="11900" w:h="16840"/>
          <w:pgMar w:header="1119" w:footer="1113" w:top="1520" w:bottom="1300" w:left="1020" w:right="1020"/>
        </w:sectPr>
      </w:pPr>
    </w:p>
    <w:p>
      <w:pPr>
        <w:pStyle w:val="BodyText"/>
        <w:spacing w:before="80"/>
        <w:ind w:left="811"/>
      </w:pPr>
      <w:r>
        <w:rPr/>
        <w:t>configuration automatique qui ne trouvent pas de serveur DHCP au démarrage.</w:t>
      </w:r>
    </w:p>
    <w:p>
      <w:pPr>
        <w:pStyle w:val="ListParagraph"/>
        <w:numPr>
          <w:ilvl w:val="1"/>
          <w:numId w:val="1"/>
        </w:numPr>
        <w:tabs>
          <w:tab w:pos="836" w:val="left" w:leader="none"/>
        </w:tabs>
        <w:spacing w:line="240" w:lineRule="auto" w:before="0" w:after="0"/>
        <w:ind w:left="524" w:right="868" w:firstLine="0"/>
        <w:jc w:val="left"/>
        <w:rPr>
          <w:sz w:val="24"/>
        </w:rPr>
      </w:pPr>
      <w:r>
        <w:rPr>
          <w:sz w:val="24"/>
        </w:rPr>
        <w:t>Les adresses de classes A, B, C et D possèdent des classes réservées à un usage</w:t>
      </w:r>
      <w:r>
        <w:rPr>
          <w:spacing w:val="-43"/>
          <w:sz w:val="24"/>
        </w:rPr>
        <w:t> </w:t>
      </w:r>
      <w:r>
        <w:rPr>
          <w:sz w:val="24"/>
        </w:rPr>
        <w:t>privé 5. On peut utiliser les adresses de 192.168.0.1 255.255.255.0 jusqu'à 192.168.255.254</w:t>
      </w:r>
    </w:p>
    <w:p>
      <w:pPr>
        <w:pStyle w:val="BodyText"/>
        <w:ind w:left="811"/>
      </w:pPr>
      <w:r>
        <w:rPr/>
        <w:t>255.255.255.0 dans un réseau privé de classe C.</w:t>
      </w:r>
    </w:p>
    <w:p>
      <w:pPr>
        <w:pStyle w:val="BodyText"/>
        <w:ind w:left="524"/>
      </w:pPr>
      <w:r>
        <w:rPr/>
        <w:t>6. Le réseau de classe A utilisé en adresses privées commence par 10</w:t>
      </w:r>
    </w:p>
    <w:p>
      <w:pPr>
        <w:pStyle w:val="BodyText"/>
        <w:spacing w:before="11"/>
        <w:ind w:left="0"/>
        <w:rPr>
          <w:sz w:val="23"/>
        </w:rPr>
      </w:pPr>
    </w:p>
    <w:p>
      <w:pPr>
        <w:pStyle w:val="Heading1"/>
      </w:pPr>
      <w:r>
        <w:rPr/>
        <w:t>Exercice 2</w:t>
      </w:r>
    </w:p>
    <w:p>
      <w:pPr>
        <w:pStyle w:val="BodyText"/>
        <w:ind w:left="0"/>
        <w:rPr>
          <w:b/>
        </w:rPr>
      </w:pPr>
    </w:p>
    <w:p>
      <w:pPr>
        <w:pStyle w:val="BodyText"/>
        <w:ind w:left="115" w:right="260"/>
      </w:pPr>
      <w:r>
        <w:rPr/>
        <w:t>Indiquer si les adresses suivantes sont valides ou pas pour un hôte. Le masque est celui associé par défaut à la classe d'adresses.</w:t>
      </w:r>
    </w:p>
    <w:p>
      <w:pPr>
        <w:pStyle w:val="BodyText"/>
        <w:ind w:left="0"/>
      </w:pPr>
    </w:p>
    <w:p>
      <w:pPr>
        <w:pStyle w:val="BodyText"/>
      </w:pPr>
      <w:r>
        <w:rPr/>
        <w:t>1.   245.123.133.102</w:t>
      </w:r>
    </w:p>
    <w:p>
      <w:pPr>
        <w:pStyle w:val="BodyText"/>
      </w:pPr>
      <w:r>
        <w:rPr/>
        <w:t>2.   123.123.123.123</w:t>
      </w:r>
    </w:p>
    <w:p>
      <w:pPr>
        <w:pStyle w:val="BodyText"/>
      </w:pPr>
      <w:r>
        <w:rPr/>
        <w:t>3.   198.234.17.255</w:t>
      </w:r>
    </w:p>
    <w:p>
      <w:pPr>
        <w:pStyle w:val="BodyText"/>
      </w:pPr>
      <w:r>
        <w:rPr/>
        <w:t>4.   198.23.254.0</w:t>
      </w:r>
    </w:p>
    <w:p>
      <w:pPr>
        <w:pStyle w:val="BodyText"/>
      </w:pPr>
      <w:r>
        <w:rPr/>
        <w:t>5.   156.26.12.103</w:t>
      </w:r>
    </w:p>
    <w:p>
      <w:pPr>
        <w:pStyle w:val="BodyText"/>
      </w:pPr>
      <w:r>
        <w:rPr/>
        <w:t>6.   99.0.0.12</w:t>
      </w:r>
    </w:p>
    <w:p>
      <w:pPr>
        <w:pStyle w:val="BodyText"/>
      </w:pPr>
      <w:r>
        <w:rPr/>
        <w:t>7.   155.0.0.0</w:t>
      </w:r>
    </w:p>
    <w:p>
      <w:pPr>
        <w:pStyle w:val="BodyText"/>
      </w:pPr>
      <w:r>
        <w:rPr/>
        <w:t>8. 155.0.0.255</w:t>
      </w:r>
    </w:p>
    <w:p>
      <w:pPr>
        <w:pStyle w:val="BodyText"/>
      </w:pPr>
      <w:r>
        <w:rPr/>
        <w:t>9.   190.23.255.255</w:t>
      </w:r>
    </w:p>
    <w:p>
      <w:pPr>
        <w:pStyle w:val="BodyText"/>
      </w:pPr>
      <w:r>
        <w:rPr/>
        <w:t>10. 133.255.255.0</w:t>
      </w:r>
    </w:p>
    <w:p>
      <w:pPr>
        <w:pStyle w:val="BodyText"/>
        <w:ind w:left="0"/>
      </w:pPr>
    </w:p>
    <w:p>
      <w:pPr>
        <w:pStyle w:val="Heading1"/>
        <w:spacing w:before="1"/>
      </w:pPr>
      <w:r>
        <w:rPr>
          <w:u w:val="single"/>
        </w:rPr>
        <w:t>V. Notation CIDR</w:t>
      </w:r>
    </w:p>
    <w:p>
      <w:pPr>
        <w:pStyle w:val="BodyText"/>
        <w:spacing w:before="2"/>
        <w:ind w:left="0"/>
        <w:rPr>
          <w:b/>
          <w:sz w:val="16"/>
        </w:rPr>
      </w:pPr>
    </w:p>
    <w:p>
      <w:pPr>
        <w:pStyle w:val="BodyText"/>
        <w:spacing w:before="90"/>
        <w:ind w:left="115" w:right="125"/>
      </w:pPr>
      <w:r>
        <w:rPr/>
        <w:t>CIDR signifie </w:t>
      </w:r>
      <w:r>
        <w:rPr>
          <w:i/>
        </w:rPr>
        <w:t>Classeless Inter-Domain Routing</w:t>
      </w:r>
      <w:r>
        <w:rPr/>
        <w:t>. La technique CIDR a été mise en place afin de faire face au manque d'adresses Ipv4 qui offre théoriquement plus de 4 milliard d'adresses IP (2</w:t>
      </w:r>
      <w:r>
        <w:rPr>
          <w:vertAlign w:val="superscript"/>
        </w:rPr>
        <w:t>32</w:t>
      </w:r>
      <w:r>
        <w:rPr>
          <w:vertAlign w:val="baseline"/>
        </w:rPr>
        <w:t>)</w:t>
      </w:r>
    </w:p>
    <w:p>
      <w:pPr>
        <w:pStyle w:val="BodyText"/>
        <w:spacing w:before="11"/>
        <w:ind w:left="0"/>
        <w:rPr>
          <w:sz w:val="23"/>
        </w:rPr>
      </w:pPr>
    </w:p>
    <w:p>
      <w:pPr>
        <w:pStyle w:val="BodyText"/>
        <w:ind w:left="115" w:right="141"/>
      </w:pPr>
      <w:r>
        <w:rPr/>
        <w:t>Dans le découpage en classes avec les masques de sous-réseaux classiques, de nombreuses adresses sont perdues. Par exemple, si vous avez besoin de 200 adresses, vous pouvez prendre une classe C, par contre si vous en désirez 300 , vous devez prendre une classe B, soit près de 65200 adresses perdues.Ce phénomène a posé des problèmes aussi bien pour les entreprises en privé que sur Internet. En Attendant IPv6, des nouvelles techniques ont été développées, parmi celles-ci, on trouve CIDR.</w:t>
      </w:r>
    </w:p>
    <w:p>
      <w:pPr>
        <w:pStyle w:val="BodyText"/>
        <w:ind w:left="0"/>
      </w:pPr>
    </w:p>
    <w:p>
      <w:pPr>
        <w:pStyle w:val="BodyText"/>
        <w:ind w:left="115" w:right="188"/>
      </w:pPr>
      <w:r>
        <w:rPr/>
        <w:t>L'idée principale du CIDR est de dissocier la classe de son masque de sous-réseau, ainsi on peut utiliser une adresse de classe B avec un masque de classe C et donc disposer de 256 réseaux de 254 hôtes.</w:t>
      </w:r>
    </w:p>
    <w:p>
      <w:pPr>
        <w:pStyle w:val="BodyText"/>
        <w:ind w:left="0"/>
      </w:pPr>
    </w:p>
    <w:p>
      <w:pPr>
        <w:pStyle w:val="BodyText"/>
        <w:ind w:left="115" w:right="286"/>
      </w:pPr>
      <w:r>
        <w:rPr/>
        <w:t>Les RFC (</w:t>
      </w:r>
      <w:r>
        <w:rPr>
          <w:i/>
        </w:rPr>
        <w:t>Request for Comments</w:t>
      </w:r>
      <w:r>
        <w:rPr/>
        <w:t>) définissant CIDR introduisent également une nouvelle notation. On représente le nombre de bits qui composent le masque de sous-réseau séparé par un slash, par exemple 192.168.19.30/26, ce qui correspond à 192.168.19.30 255.255.255.192</w:t>
      </w:r>
    </w:p>
    <w:p>
      <w:pPr>
        <w:pStyle w:val="BodyText"/>
        <w:ind w:left="0"/>
      </w:pPr>
    </w:p>
    <w:p>
      <w:pPr>
        <w:pStyle w:val="BodyText"/>
        <w:ind w:left="115"/>
      </w:pPr>
      <w:r>
        <w:rPr/>
        <w:t>Les exercices suivants ont pour but de vous familiariser avec cette notation.</w:t>
      </w:r>
    </w:p>
    <w:p>
      <w:pPr>
        <w:pStyle w:val="BodyText"/>
        <w:ind w:left="0"/>
      </w:pPr>
    </w:p>
    <w:p>
      <w:pPr>
        <w:pStyle w:val="Heading1"/>
        <w:spacing w:before="1"/>
      </w:pPr>
      <w:r>
        <w:rPr/>
        <w:t>Exercice 1</w:t>
      </w:r>
    </w:p>
    <w:p>
      <w:pPr>
        <w:pStyle w:val="BodyText"/>
        <w:spacing w:before="11"/>
        <w:ind w:left="0"/>
        <w:rPr>
          <w:b/>
          <w:sz w:val="23"/>
        </w:rPr>
      </w:pPr>
    </w:p>
    <w:p>
      <w:pPr>
        <w:pStyle w:val="BodyText"/>
        <w:spacing w:line="480" w:lineRule="auto"/>
        <w:ind w:right="1600" w:hanging="360"/>
      </w:pPr>
      <w:r>
        <w:rPr/>
        <w:t>Passer les adresses IP suivantes de la notation décimale pointé à la notation CIDR : 1. 10.100.55.24 255.255.240.0</w:t>
      </w:r>
    </w:p>
    <w:p>
      <w:pPr>
        <w:spacing w:after="0" w:line="480" w:lineRule="auto"/>
        <w:sectPr>
          <w:pgSz w:w="11900" w:h="16840"/>
          <w:pgMar w:header="1119" w:footer="1113" w:top="1520" w:bottom="1300" w:left="1020" w:right="1020"/>
        </w:sectPr>
      </w:pPr>
    </w:p>
    <w:p>
      <w:pPr>
        <w:pStyle w:val="BodyText"/>
        <w:spacing w:before="80"/>
      </w:pPr>
      <w:r>
        <w:rPr/>
        <w:t>2. 55.123.251.23 255.255.192.0</w:t>
      </w:r>
    </w:p>
    <w:p>
      <w:pPr>
        <w:pStyle w:val="BodyText"/>
      </w:pPr>
      <w:r>
        <w:rPr/>
        <w:t>3.   80.240.60.35 255.224.0.0</w:t>
      </w:r>
    </w:p>
    <w:p>
      <w:pPr>
        <w:pStyle w:val="BodyText"/>
      </w:pPr>
      <w:r>
        <w:rPr/>
        <w:t>4.   130.45.54.13 255.254.0.0</w:t>
      </w:r>
    </w:p>
    <w:p>
      <w:pPr>
        <w:pStyle w:val="BodyText"/>
      </w:pPr>
      <w:r>
        <w:rPr/>
        <w:t>5. 190.76.26.96 255.255.255.192</w:t>
      </w:r>
    </w:p>
    <w:p>
      <w:pPr>
        <w:pStyle w:val="BodyText"/>
      </w:pPr>
      <w:r>
        <w:rPr/>
        <w:t>6. 192.168.100.24 255.255.255.252</w:t>
      </w:r>
    </w:p>
    <w:p>
      <w:pPr>
        <w:pStyle w:val="BodyText"/>
      </w:pPr>
      <w:r>
        <w:rPr/>
        <w:t>7.   200.24.154.130 255.255.0.0</w:t>
      </w:r>
    </w:p>
    <w:p>
      <w:pPr>
        <w:pStyle w:val="BodyText"/>
      </w:pPr>
      <w:r>
        <w:rPr/>
        <w:t>8.   212.45.143.54 255.255.192.0</w:t>
      </w:r>
    </w:p>
    <w:p>
      <w:pPr>
        <w:pStyle w:val="BodyText"/>
        <w:spacing w:before="11"/>
        <w:ind w:left="0"/>
        <w:rPr>
          <w:sz w:val="23"/>
        </w:rPr>
      </w:pPr>
    </w:p>
    <w:p>
      <w:pPr>
        <w:pStyle w:val="Heading1"/>
      </w:pPr>
      <w:r>
        <w:rPr/>
        <w:t>Exercice 2</w:t>
      </w:r>
    </w:p>
    <w:p>
      <w:pPr>
        <w:pStyle w:val="BodyText"/>
        <w:spacing w:line="550" w:lineRule="atLeast" w:before="2"/>
        <w:ind w:right="1600" w:hanging="360"/>
      </w:pPr>
      <w:r>
        <w:rPr/>
        <w:t>Passer les adresses IP suivantes de la notation CIDR à la notation décimale pointée : 1.</w:t>
      </w:r>
      <w:r>
        <w:rPr>
          <w:spacing w:val="59"/>
        </w:rPr>
        <w:t> </w:t>
      </w:r>
      <w:r>
        <w:rPr/>
        <w:t>25.45.12.200/12</w:t>
      </w:r>
    </w:p>
    <w:p>
      <w:pPr>
        <w:pStyle w:val="BodyText"/>
        <w:spacing w:before="2"/>
      </w:pPr>
      <w:r>
        <w:rPr/>
        <w:t>2. </w:t>
      </w:r>
      <w:r>
        <w:rPr>
          <w:spacing w:val="59"/>
        </w:rPr>
        <w:t> </w:t>
      </w:r>
      <w:r>
        <w:rPr/>
        <w:t>75.230.130.24/30</w:t>
      </w:r>
    </w:p>
    <w:p>
      <w:pPr>
        <w:pStyle w:val="BodyText"/>
      </w:pPr>
      <w:r>
        <w:rPr/>
        <w:t>3. </w:t>
      </w:r>
      <w:r>
        <w:rPr>
          <w:spacing w:val="59"/>
        </w:rPr>
        <w:t> </w:t>
      </w:r>
      <w:r>
        <w:rPr/>
        <w:t>120.250.65.99/14</w:t>
      </w:r>
    </w:p>
    <w:p>
      <w:pPr>
        <w:pStyle w:val="BodyText"/>
      </w:pPr>
      <w:r>
        <w:rPr/>
        <w:t>4. </w:t>
      </w:r>
      <w:r>
        <w:rPr>
          <w:spacing w:val="59"/>
        </w:rPr>
        <w:t> </w:t>
      </w:r>
      <w:r>
        <w:rPr/>
        <w:t>136.45.78.199/13</w:t>
      </w:r>
    </w:p>
    <w:p>
      <w:pPr>
        <w:pStyle w:val="BodyText"/>
      </w:pPr>
      <w:r>
        <w:rPr/>
        <w:t>5. </w:t>
      </w:r>
      <w:r>
        <w:rPr>
          <w:spacing w:val="59"/>
        </w:rPr>
        <w:t> </w:t>
      </w:r>
      <w:r>
        <w:rPr/>
        <w:t>180.64.15.220/20</w:t>
      </w:r>
    </w:p>
    <w:p>
      <w:pPr>
        <w:pStyle w:val="BodyText"/>
      </w:pPr>
      <w:r>
        <w:rPr/>
        <w:t>6.</w:t>
      </w:r>
      <w:r>
        <w:rPr>
          <w:spacing w:val="59"/>
        </w:rPr>
        <w:t> </w:t>
      </w:r>
      <w:r>
        <w:rPr/>
        <w:t>191.198.24.1/22</w:t>
      </w:r>
    </w:p>
    <w:p>
      <w:pPr>
        <w:pStyle w:val="BodyText"/>
      </w:pPr>
      <w:r>
        <w:rPr/>
        <w:t>7.</w:t>
      </w:r>
      <w:r>
        <w:rPr>
          <w:spacing w:val="59"/>
        </w:rPr>
        <w:t> </w:t>
      </w:r>
      <w:r>
        <w:rPr/>
        <w:t>193.19.251.24/21</w:t>
      </w:r>
    </w:p>
    <w:p>
      <w:pPr>
        <w:pStyle w:val="BodyText"/>
      </w:pPr>
      <w:r>
        <w:rPr/>
        <w:t>8.</w:t>
      </w:r>
      <w:r>
        <w:rPr>
          <w:spacing w:val="59"/>
        </w:rPr>
        <w:t> </w:t>
      </w:r>
      <w:r>
        <w:rPr/>
        <w:t>213.43.12.64/29</w:t>
      </w:r>
    </w:p>
    <w:p>
      <w:pPr>
        <w:pStyle w:val="BodyText"/>
        <w:ind w:left="0"/>
      </w:pPr>
    </w:p>
    <w:p>
      <w:pPr>
        <w:pStyle w:val="Heading2"/>
        <w:rPr>
          <w:i/>
          <w:u w:val="none"/>
        </w:rPr>
      </w:pPr>
      <w:r>
        <w:rPr>
          <w:i/>
          <w:u w:val="single"/>
        </w:rPr>
        <w:t>Annexe:</w:t>
      </w:r>
    </w:p>
    <w:p>
      <w:pPr>
        <w:pStyle w:val="BodyText"/>
        <w:spacing w:before="2"/>
        <w:ind w:left="0"/>
        <w:rPr>
          <w:b/>
          <w:i/>
          <w:sz w:val="16"/>
        </w:rPr>
      </w:pPr>
    </w:p>
    <w:p>
      <w:pPr>
        <w:spacing w:before="90"/>
        <w:ind w:left="115" w:right="98" w:firstLine="0"/>
        <w:jc w:val="both"/>
        <w:rPr>
          <w:i/>
          <w:sz w:val="24"/>
        </w:rPr>
      </w:pPr>
      <w:r>
        <w:rPr>
          <w:b/>
          <w:i/>
          <w:sz w:val="24"/>
        </w:rPr>
        <w:t>APIPA </w:t>
      </w:r>
      <w:r>
        <w:rPr>
          <w:i/>
          <w:sz w:val="24"/>
        </w:rPr>
        <w:t>(</w:t>
      </w:r>
      <w:r>
        <w:rPr>
          <w:b/>
          <w:i/>
          <w:sz w:val="24"/>
        </w:rPr>
        <w:t>A</w:t>
      </w:r>
      <w:r>
        <w:rPr>
          <w:i/>
          <w:sz w:val="24"/>
        </w:rPr>
        <w:t>utomatic </w:t>
      </w:r>
      <w:r>
        <w:rPr>
          <w:b/>
          <w:i/>
          <w:sz w:val="24"/>
        </w:rPr>
        <w:t>P</w:t>
      </w:r>
      <w:r>
        <w:rPr>
          <w:i/>
          <w:sz w:val="24"/>
        </w:rPr>
        <w:t>rivate </w:t>
      </w:r>
      <w:r>
        <w:rPr>
          <w:b/>
          <w:i/>
          <w:sz w:val="24"/>
        </w:rPr>
        <w:t>I</w:t>
      </w:r>
      <w:r>
        <w:rPr>
          <w:i/>
          <w:sz w:val="24"/>
        </w:rPr>
        <w:t>nternet </w:t>
      </w:r>
      <w:r>
        <w:rPr>
          <w:b/>
          <w:i/>
          <w:sz w:val="24"/>
        </w:rPr>
        <w:t>P</w:t>
      </w:r>
      <w:r>
        <w:rPr>
          <w:i/>
          <w:sz w:val="24"/>
        </w:rPr>
        <w:t>rotocol </w:t>
      </w:r>
      <w:r>
        <w:rPr>
          <w:b/>
          <w:i/>
          <w:sz w:val="24"/>
        </w:rPr>
        <w:t>A</w:t>
      </w:r>
      <w:r>
        <w:rPr>
          <w:i/>
          <w:sz w:val="24"/>
        </w:rPr>
        <w:t>ddressing) ou </w:t>
      </w:r>
      <w:r>
        <w:rPr>
          <w:color w:val="00007F"/>
          <w:sz w:val="24"/>
          <w:u w:val="single" w:color="00007F"/>
        </w:rPr>
        <w:t>IPv4LL</w:t>
      </w:r>
      <w:r>
        <w:rPr>
          <w:color w:val="00007F"/>
          <w:sz w:val="24"/>
        </w:rPr>
        <w:t> </w:t>
      </w:r>
      <w:r>
        <w:rPr>
          <w:i/>
          <w:sz w:val="24"/>
        </w:rPr>
        <w:t>est un processus qui permet à </w:t>
      </w:r>
      <w:r>
        <w:rPr>
          <w:i/>
          <w:sz w:val="24"/>
        </w:rPr>
        <w:t>un </w:t>
      </w:r>
      <w:r>
        <w:rPr>
          <w:color w:val="00007F"/>
          <w:sz w:val="24"/>
          <w:u w:val="single" w:color="00007F"/>
        </w:rPr>
        <w:t>système d'exploitation</w:t>
      </w:r>
      <w:r>
        <w:rPr>
          <w:color w:val="00007F"/>
          <w:sz w:val="24"/>
        </w:rPr>
        <w:t> </w:t>
      </w:r>
      <w:r>
        <w:rPr>
          <w:i/>
          <w:sz w:val="24"/>
        </w:rPr>
        <w:t>de s'attribuer automatiquement une </w:t>
      </w:r>
      <w:hyperlink r:id="rId7">
        <w:r>
          <w:rPr>
            <w:color w:val="00007F"/>
            <w:sz w:val="24"/>
            <w:u w:val="single" w:color="00007F"/>
          </w:rPr>
          <w:t>adresse IP</w:t>
        </w:r>
      </w:hyperlink>
      <w:r>
        <w:rPr>
          <w:i/>
          <w:sz w:val="24"/>
        </w:rPr>
        <w:t>, lorsque le serveur </w:t>
      </w:r>
      <w:hyperlink r:id="rId8">
        <w:r>
          <w:rPr>
            <w:b/>
            <w:i/>
            <w:color w:val="00007F"/>
            <w:sz w:val="24"/>
            <w:u w:val="single" w:color="00007F"/>
          </w:rPr>
          <w:t>DHCP</w:t>
        </w:r>
      </w:hyperlink>
      <w:r>
        <w:rPr>
          <w:b/>
          <w:i/>
          <w:color w:val="00007F"/>
          <w:sz w:val="24"/>
        </w:rPr>
        <w:t> </w:t>
      </w:r>
      <w:r>
        <w:rPr>
          <w:i/>
          <w:sz w:val="24"/>
        </w:rPr>
        <w:t>est hors service.</w:t>
      </w:r>
    </w:p>
    <w:p>
      <w:pPr>
        <w:spacing w:before="121"/>
        <w:ind w:left="115" w:right="133" w:firstLine="0"/>
        <w:jc w:val="both"/>
        <w:rPr>
          <w:i/>
          <w:sz w:val="24"/>
        </w:rPr>
      </w:pPr>
      <w:r>
        <w:rPr>
          <w:i/>
          <w:sz w:val="24"/>
        </w:rPr>
        <w:t>APIPA utilise la plage d'adresses IP 169.254.0.0/16 (qu'on peut également noter </w:t>
      </w:r>
      <w:r>
        <w:rPr>
          <w:i/>
          <w:sz w:val="24"/>
        </w:rPr>
        <w:t>169.254.0.0/255.255.0.0), c'est-à-dire la plage dont les adresses vont de 169.254.0.0 à 169.254.255.255. Cette plage est réservée à cet usage auprès de l'</w:t>
      </w:r>
      <w:hyperlink r:id="rId9">
        <w:r>
          <w:rPr>
            <w:color w:val="00007F"/>
            <w:sz w:val="24"/>
            <w:u w:val="single" w:color="00007F"/>
          </w:rPr>
          <w:t>IANA</w:t>
        </w:r>
      </w:hyperlink>
      <w:r>
        <w:rPr>
          <w:i/>
          <w:sz w:val="24"/>
        </w:rPr>
        <w:t>.</w:t>
      </w:r>
    </w:p>
    <w:p>
      <w:pPr>
        <w:spacing w:before="120"/>
        <w:ind w:left="115" w:right="132" w:firstLine="0"/>
        <w:jc w:val="both"/>
        <w:rPr>
          <w:i/>
          <w:sz w:val="24"/>
        </w:rPr>
      </w:pPr>
      <w:r>
        <w:rPr>
          <w:i/>
          <w:sz w:val="24"/>
        </w:rPr>
        <w:t>Dans certaines situations, il est préférable de désactiver APIPA afin d'empêcher l'attribution </w:t>
      </w:r>
      <w:r>
        <w:rPr>
          <w:i/>
          <w:sz w:val="24"/>
        </w:rPr>
        <w:t>automatique d'une adresse IP par le système (en fait pour éviter de laisser penser qu'un serveur DHCP a répondu lorsque ce dernier est en fait arrêté et que plusieurs machines se sont placées dans la même plage d'adresses).</w:t>
      </w:r>
    </w:p>
    <w:p>
      <w:pPr>
        <w:pStyle w:val="BodyText"/>
        <w:ind w:left="0"/>
        <w:rPr>
          <w:i/>
          <w:sz w:val="20"/>
        </w:rPr>
      </w:pPr>
    </w:p>
    <w:p>
      <w:pPr>
        <w:pStyle w:val="BodyText"/>
        <w:ind w:left="0"/>
        <w:rPr>
          <w:i/>
          <w:sz w:val="20"/>
        </w:rPr>
      </w:pPr>
    </w:p>
    <w:p>
      <w:pPr>
        <w:pStyle w:val="BodyText"/>
        <w:ind w:left="0"/>
        <w:rPr>
          <w:i/>
          <w:sz w:val="20"/>
        </w:rPr>
      </w:pPr>
    </w:p>
    <w:p>
      <w:pPr>
        <w:pStyle w:val="BodyText"/>
        <w:spacing w:before="2"/>
        <w:ind w:left="0"/>
        <w:rPr>
          <w:i/>
          <w:sz w:val="18"/>
        </w:rPr>
      </w:pPr>
      <w:r>
        <w:rPr/>
        <w:pict>
          <v:shape style="position:absolute;margin-left:56.799999pt;margin-top:12.656837pt;width:270pt;height:.1pt;mso-position-horizontal-relative:page;mso-position-vertical-relative:paragraph;z-index:-251658240;mso-wrap-distance-left:0;mso-wrap-distance-right:0" coordorigin="1136,253" coordsize="5400,0" path="m1136,253l6536,253e" filled="false" stroked="true" strokeweight=".48pt" strokecolor="#000000">
            <v:path arrowok="t"/>
            <v:stroke dashstyle="solid"/>
            <w10:wrap type="topAndBottom"/>
          </v:shape>
        </w:pict>
      </w:r>
    </w:p>
    <w:p>
      <w:pPr>
        <w:spacing w:line="247" w:lineRule="exact" w:before="0"/>
        <w:ind w:left="115" w:right="0" w:firstLine="0"/>
        <w:jc w:val="left"/>
        <w:rPr>
          <w:sz w:val="24"/>
        </w:rPr>
      </w:pPr>
      <w:r>
        <w:rPr>
          <w:i/>
          <w:sz w:val="20"/>
        </w:rPr>
        <w:t>Bibliographie: Les TP informatiques d'Aurélien Roux, editions eni</w:t>
      </w:r>
      <w:r>
        <w:rPr>
          <w:sz w:val="24"/>
        </w:rPr>
        <w:t>.</w:t>
      </w:r>
    </w:p>
    <w:sectPr>
      <w:pgSz w:w="11900" w:h="16840"/>
      <w:pgMar w:header="1119" w:footer="1113" w:top="1520" w:bottom="130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5.799999pt;margin-top:775.371094pt;width:31.4pt;height:10.9pt;mso-position-horizontal-relative:page;mso-position-vertical-relative:page;z-index:-251917312" type="#_x0000_t202" filled="false" stroked="false">
          <v:textbox inset="0,0,0,0">
            <w:txbxContent>
              <w:p>
                <w:pPr>
                  <w:spacing w:before="13"/>
                  <w:ind w:left="20" w:right="0" w:firstLine="0"/>
                  <w:jc w:val="left"/>
                  <w:rPr>
                    <w:sz w:val="16"/>
                  </w:rPr>
                </w:pPr>
                <w:r>
                  <w:rPr>
                    <w:sz w:val="16"/>
                  </w:rPr>
                  <w:t>K. Jarray</w:t>
                </w:r>
              </w:p>
            </w:txbxContent>
          </v:textbox>
          <w10:wrap type="none"/>
        </v:shape>
      </w:pict>
    </w:r>
    <w:r>
      <w:rPr/>
      <w:pict>
        <v:shape style="position:absolute;margin-left:289.600006pt;margin-top:775.371094pt;width:14.3pt;height:10.9pt;mso-position-horizontal-relative:page;mso-position-vertical-relative:page;z-index:-25191628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w:t>
                </w:r>
                <w:r>
                  <w:rPr/>
                  <w:fldChar w:fldCharType="end"/>
                </w:r>
                <w:r>
                  <w:rPr>
                    <w:sz w:val="16"/>
                  </w:rPr>
                  <w:t>/5</w:t>
                </w:r>
              </w:p>
            </w:txbxContent>
          </v:textbox>
          <w10:wrap type="none"/>
        </v:shape>
      </w:pict>
    </w:r>
    <w:r>
      <w:rPr/>
      <w:pict>
        <v:shape style="position:absolute;margin-left:509.200012pt;margin-top:775.371094pt;width:30.45pt;height:10.9pt;mso-position-horizontal-relative:page;mso-position-vertical-relative:page;z-index:-251915264" type="#_x0000_t202" filled="false" stroked="false">
          <v:textbox inset="0,0,0,0">
            <w:txbxContent>
              <w:p>
                <w:pPr>
                  <w:spacing w:before="13"/>
                  <w:ind w:left="20" w:right="0" w:firstLine="0"/>
                  <w:jc w:val="left"/>
                  <w:rPr>
                    <w:sz w:val="16"/>
                  </w:rPr>
                </w:pPr>
                <w:r>
                  <w:rPr>
                    <w:sz w:val="16"/>
                  </w:rPr>
                  <w:t>19/09/10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5.900002pt;margin-top:56.071095pt;width:112.65pt;height:10.9pt;mso-position-horizontal-relative:page;mso-position-vertical-relative:page;z-index:-251920384" type="#_x0000_t202" filled="false" stroked="false">
          <v:textbox inset="0,0,0,0">
            <w:txbxContent>
              <w:p>
                <w:pPr>
                  <w:spacing w:before="13"/>
                  <w:ind w:left="20" w:right="0" w:firstLine="0"/>
                  <w:jc w:val="left"/>
                  <w:rPr>
                    <w:sz w:val="16"/>
                  </w:rPr>
                </w:pPr>
                <w:r>
                  <w:rPr>
                    <w:sz w:val="16"/>
                  </w:rPr>
                  <w:t>Lycée Le Corbusier – Aubervillers</w:t>
                </w:r>
              </w:p>
            </w:txbxContent>
          </v:textbox>
          <w10:wrap type="none"/>
        </v:shape>
      </w:pict>
    </w:r>
    <w:r>
      <w:rPr/>
      <w:pict>
        <v:shape style="position:absolute;margin-left:283.200012pt;margin-top:56.071095pt;width:29.3pt;height:10.9pt;mso-position-horizontal-relative:page;mso-position-vertical-relative:page;z-index:-251919360" type="#_x0000_t202" filled="false" stroked="false">
          <v:textbox inset="0,0,0,0">
            <w:txbxContent>
              <w:p>
                <w:pPr>
                  <w:spacing w:before="13"/>
                  <w:ind w:left="20" w:right="0" w:firstLine="0"/>
                  <w:jc w:val="left"/>
                  <w:rPr>
                    <w:sz w:val="16"/>
                  </w:rPr>
                </w:pPr>
                <w:r>
                  <w:rPr>
                    <w:sz w:val="16"/>
                  </w:rPr>
                  <w:t>TP SN1</w:t>
                </w:r>
              </w:p>
            </w:txbxContent>
          </v:textbox>
          <w10:wrap type="none"/>
        </v:shape>
      </w:pict>
    </w:r>
    <w:r>
      <w:rPr/>
      <w:pict>
        <v:shape style="position:absolute;margin-left:495.299988pt;margin-top:56.071095pt;width:44.45pt;height:10.9pt;mso-position-horizontal-relative:page;mso-position-vertical-relative:page;z-index:-251918336" type="#_x0000_t202" filled="false" stroked="false">
          <v:textbox inset="0,0,0,0">
            <w:txbxContent>
              <w:p>
                <w:pPr>
                  <w:spacing w:before="13"/>
                  <w:ind w:left="20" w:right="0" w:firstLine="0"/>
                  <w:jc w:val="left"/>
                  <w:rPr>
                    <w:sz w:val="16"/>
                  </w:rPr>
                </w:pPr>
                <w:r>
                  <w:rPr>
                    <w:sz w:val="16"/>
                  </w:rPr>
                  <w:t>Adressage IP</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327" w:hanging="212"/>
        <w:jc w:val="left"/>
      </w:pPr>
      <w:rPr>
        <w:rFonts w:hint="default" w:ascii="Times New Roman" w:hAnsi="Times New Roman" w:eastAsia="Times New Roman" w:cs="Times New Roman"/>
        <w:b/>
        <w:bCs/>
        <w:spacing w:val="-5"/>
        <w:w w:val="100"/>
        <w:sz w:val="24"/>
        <w:szCs w:val="24"/>
        <w:u w:val="single" w:color="000000"/>
        <w:lang w:val="fr-FR" w:eastAsia="fr-FR" w:bidi="fr-FR"/>
      </w:rPr>
    </w:lvl>
    <w:lvl w:ilvl="1">
      <w:start w:val="2"/>
      <w:numFmt w:val="decimal"/>
      <w:lvlText w:val="%2."/>
      <w:lvlJc w:val="left"/>
      <w:pPr>
        <w:ind w:left="776" w:hanging="240"/>
        <w:jc w:val="left"/>
      </w:pPr>
      <w:rPr>
        <w:rFonts w:hint="default" w:ascii="Times New Roman" w:hAnsi="Times New Roman" w:eastAsia="Times New Roman" w:cs="Times New Roman"/>
        <w:spacing w:val="-3"/>
        <w:w w:val="100"/>
        <w:sz w:val="24"/>
        <w:szCs w:val="24"/>
        <w:lang w:val="fr-FR" w:eastAsia="fr-FR" w:bidi="fr-FR"/>
      </w:rPr>
    </w:lvl>
    <w:lvl w:ilvl="2">
      <w:start w:val="0"/>
      <w:numFmt w:val="bullet"/>
      <w:lvlText w:val="•"/>
      <w:lvlJc w:val="left"/>
      <w:pPr>
        <w:ind w:left="1788" w:hanging="240"/>
      </w:pPr>
      <w:rPr>
        <w:rFonts w:hint="default"/>
        <w:lang w:val="fr-FR" w:eastAsia="fr-FR" w:bidi="fr-FR"/>
      </w:rPr>
    </w:lvl>
    <w:lvl w:ilvl="3">
      <w:start w:val="0"/>
      <w:numFmt w:val="bullet"/>
      <w:lvlText w:val="•"/>
      <w:lvlJc w:val="left"/>
      <w:pPr>
        <w:ind w:left="2797" w:hanging="240"/>
      </w:pPr>
      <w:rPr>
        <w:rFonts w:hint="default"/>
        <w:lang w:val="fr-FR" w:eastAsia="fr-FR" w:bidi="fr-FR"/>
      </w:rPr>
    </w:lvl>
    <w:lvl w:ilvl="4">
      <w:start w:val="0"/>
      <w:numFmt w:val="bullet"/>
      <w:lvlText w:val="•"/>
      <w:lvlJc w:val="left"/>
      <w:pPr>
        <w:ind w:left="3806" w:hanging="240"/>
      </w:pPr>
      <w:rPr>
        <w:rFonts w:hint="default"/>
        <w:lang w:val="fr-FR" w:eastAsia="fr-FR" w:bidi="fr-FR"/>
      </w:rPr>
    </w:lvl>
    <w:lvl w:ilvl="5">
      <w:start w:val="0"/>
      <w:numFmt w:val="bullet"/>
      <w:lvlText w:val="•"/>
      <w:lvlJc w:val="left"/>
      <w:pPr>
        <w:ind w:left="4815" w:hanging="240"/>
      </w:pPr>
      <w:rPr>
        <w:rFonts w:hint="default"/>
        <w:lang w:val="fr-FR" w:eastAsia="fr-FR" w:bidi="fr-FR"/>
      </w:rPr>
    </w:lvl>
    <w:lvl w:ilvl="6">
      <w:start w:val="0"/>
      <w:numFmt w:val="bullet"/>
      <w:lvlText w:val="•"/>
      <w:lvlJc w:val="left"/>
      <w:pPr>
        <w:ind w:left="5824" w:hanging="240"/>
      </w:pPr>
      <w:rPr>
        <w:rFonts w:hint="default"/>
        <w:lang w:val="fr-FR" w:eastAsia="fr-FR" w:bidi="fr-FR"/>
      </w:rPr>
    </w:lvl>
    <w:lvl w:ilvl="7">
      <w:start w:val="0"/>
      <w:numFmt w:val="bullet"/>
      <w:lvlText w:val="•"/>
      <w:lvlJc w:val="left"/>
      <w:pPr>
        <w:ind w:left="6833" w:hanging="240"/>
      </w:pPr>
      <w:rPr>
        <w:rFonts w:hint="default"/>
        <w:lang w:val="fr-FR" w:eastAsia="fr-FR" w:bidi="fr-FR"/>
      </w:rPr>
    </w:lvl>
    <w:lvl w:ilvl="8">
      <w:start w:val="0"/>
      <w:numFmt w:val="bullet"/>
      <w:lvlText w:val="•"/>
      <w:lvlJc w:val="left"/>
      <w:pPr>
        <w:ind w:left="7842" w:hanging="240"/>
      </w:pPr>
      <w:rPr>
        <w:rFonts w:hint="default"/>
        <w:lang w:val="fr-FR" w:eastAsia="fr-FR" w:bidi="fr-FR"/>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fr-FR" w:bidi="fr-FR"/>
    </w:rPr>
  </w:style>
  <w:style w:styleId="BodyText" w:type="paragraph">
    <w:name w:val="Body Text"/>
    <w:basedOn w:val="Normal"/>
    <w:uiPriority w:val="1"/>
    <w:qFormat/>
    <w:pPr>
      <w:ind w:left="475"/>
    </w:pPr>
    <w:rPr>
      <w:rFonts w:ascii="Times New Roman" w:hAnsi="Times New Roman" w:eastAsia="Times New Roman" w:cs="Times New Roman"/>
      <w:sz w:val="24"/>
      <w:szCs w:val="24"/>
      <w:lang w:val="fr-FR" w:eastAsia="fr-FR" w:bidi="fr-FR"/>
    </w:rPr>
  </w:style>
  <w:style w:styleId="Heading1" w:type="paragraph">
    <w:name w:val="Heading 1"/>
    <w:basedOn w:val="Normal"/>
    <w:uiPriority w:val="1"/>
    <w:qFormat/>
    <w:pPr>
      <w:ind w:left="115"/>
      <w:outlineLvl w:val="1"/>
    </w:pPr>
    <w:rPr>
      <w:rFonts w:ascii="Times New Roman" w:hAnsi="Times New Roman" w:eastAsia="Times New Roman" w:cs="Times New Roman"/>
      <w:b/>
      <w:bCs/>
      <w:sz w:val="24"/>
      <w:szCs w:val="24"/>
      <w:lang w:val="fr-FR" w:eastAsia="fr-FR" w:bidi="fr-FR"/>
    </w:rPr>
  </w:style>
  <w:style w:styleId="Heading2" w:type="paragraph">
    <w:name w:val="Heading 2"/>
    <w:basedOn w:val="Normal"/>
    <w:uiPriority w:val="1"/>
    <w:qFormat/>
    <w:pPr>
      <w:ind w:left="115"/>
      <w:outlineLvl w:val="2"/>
    </w:pPr>
    <w:rPr>
      <w:rFonts w:ascii="Times New Roman" w:hAnsi="Times New Roman" w:eastAsia="Times New Roman" w:cs="Times New Roman"/>
      <w:b/>
      <w:bCs/>
      <w:i/>
      <w:sz w:val="24"/>
      <w:szCs w:val="24"/>
      <w:u w:val="single" w:color="000000"/>
      <w:lang w:val="fr-FR" w:eastAsia="fr-FR" w:bidi="fr-FR"/>
    </w:rPr>
  </w:style>
  <w:style w:styleId="ListParagraph" w:type="paragraph">
    <w:name w:val="List Paragraph"/>
    <w:basedOn w:val="Normal"/>
    <w:uiPriority w:val="1"/>
    <w:qFormat/>
    <w:pPr>
      <w:ind w:left="327" w:hanging="401"/>
    </w:pPr>
    <w:rPr>
      <w:rFonts w:ascii="Times New Roman" w:hAnsi="Times New Roman" w:eastAsia="Times New Roman" w:cs="Times New Roman"/>
      <w:lang w:val="fr-FR" w:eastAsia="fr-FR" w:bidi="fr-FR"/>
    </w:rPr>
  </w:style>
  <w:style w:styleId="TableParagraph" w:type="paragraph">
    <w:name w:val="Table Paragraph"/>
    <w:basedOn w:val="Normal"/>
    <w:uiPriority w:val="1"/>
    <w:qFormat/>
    <w:pPr/>
    <w:rPr>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file://localhost/H:/wiki/Adresse_IP" TargetMode="External"/><Relationship Id="rId8" Type="http://schemas.openxmlformats.org/officeDocument/2006/relationships/hyperlink" Target="file://localhost/H:/wiki/Dynamic_Host_Configuration_Protocol" TargetMode="External"/><Relationship Id="rId9" Type="http://schemas.openxmlformats.org/officeDocument/2006/relationships/hyperlink" Target="file://localhost/H:/wiki/IANA"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2020-07-20T19:49:27Z</dcterms:created>
  <dcterms:modified xsi:type="dcterms:W3CDTF">2020-07-20T19:49:27Z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2016-09-08T00:00:00Z</vt:filetime>
  </property>
  <property fmtid="{D5CDD505-2E9C-101B-9397-08002B2CF9AE}" pid="3" name="Creator">
    <vt:lpwstr>Writer</vt:lpwstr>
  </property>
  <property fmtid="{D5CDD505-2E9C-101B-9397-08002B2CF9AE}" pid="4" name="LastSaved">
    <vt:filetime>2016-09-08T00:00:00Z</vt:filetime>
  </property>
</Properties>
</file>