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308EEFE0"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4F5488">
        <w:t>.</w:t>
      </w:r>
      <w:r w:rsidR="00AC3168">
        <w:t xml:space="preserve"> </w:t>
      </w:r>
    </w:p>
    <w:p w14:paraId="16D61559" w14:textId="3FF8252C"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general idea is to statistically characterize the retention of acids, bases and neutral 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xml:space="preserve">, Germany) was selected to find all the matches per formula using “Batch Targeted Feature Extraction” (containing </w:t>
      </w:r>
      <w:r w:rsidRPr="00CB00D3">
        <w:lastRenderedPageBreak/>
        <w:t>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687B7B"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687B7B"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687B7B"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687B7B"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687B7B"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E629E68"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w:t>
      </w:r>
      <w:r w:rsidRPr="00015E77">
        <w:lastRenderedPageBreak/>
        <w:t>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19C9589B" w:rsidR="008451C4" w:rsidRDefault="008451C4" w:rsidP="008451C4">
      <w:pPr>
        <w:pStyle w:val="TAMainText"/>
      </w:pPr>
      <w:r>
        <w:rPr>
          <w:b/>
          <w:bCs/>
        </w:rPr>
        <w:t xml:space="preserve">Decision making. </w:t>
      </w:r>
      <w:r>
        <w:t xml:space="preserve">The Bayesian optimal decision is </w:t>
      </w:r>
      <w:r w:rsidR="00607981">
        <w:t>sought based</w:t>
      </w:r>
      <w:r w:rsidR="007D15FF">
        <w:t xml:space="preserve"> on the</w:t>
      </w:r>
      <w:r>
        <w:t xml:space="preserve"> </w:t>
      </w:r>
      <w:r w:rsidR="007D15FF">
        <w:t>maximum of</w:t>
      </w:r>
      <w:r>
        <w:t xml:space="preserve"> expected utility. To find th</w:t>
      </w:r>
      <w:r w:rsidR="007D15FF">
        <w:t>at</w:t>
      </w:r>
      <w:r>
        <w:t xml:space="preserve"> maximum </w:t>
      </w:r>
      <w:r w:rsidR="002B70F2">
        <w:t>one need to</w:t>
      </w:r>
      <w:r>
        <w:t xml:space="preserve"> specify a notion of utility to each uncertainty chromatogram predicted for</w:t>
      </w:r>
      <w:r w:rsidRPr="008451C4">
        <w:t xml:space="preserve"> a wide range of chromatographic conditions</w:t>
      </w:r>
      <w:r>
        <w:t xml:space="preserve">. </w:t>
      </w:r>
      <w:r w:rsidR="00413AAC">
        <w:t>We used individual and limited predictions</w:t>
      </w:r>
      <w:r w:rsidR="002B70F2">
        <w:t xml:space="preserve"> in this work</w:t>
      </w:r>
      <w:r w:rsidR="00413AAC">
        <w:t xml:space="preserve">. </w:t>
      </w:r>
      <w:r>
        <w:t xml:space="preserve">The utility function </w:t>
      </w:r>
      <w:r w:rsidR="00413AAC">
        <w:t>(</w:t>
      </w:r>
      <w:r w:rsidR="00413AAC" w:rsidRPr="00413AAC">
        <w:rPr>
          <w:i/>
          <w:iCs/>
        </w:rPr>
        <w:t>U</w:t>
      </w:r>
      <w:r w:rsidR="00413AAC">
        <w:t xml:space="preserve">) </w:t>
      </w:r>
      <w:r w:rsidR="002B70F2">
        <w:t>was</w:t>
      </w:r>
      <w:r>
        <w:t xml:space="preserve"> calculated 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 less than 2 min, or the difference in retention times is less than 2. Otherwise, it favor</w:t>
      </w:r>
      <w:r w:rsidR="002B70F2">
        <w:t>ed</w:t>
      </w:r>
      <w:r>
        <w:t xml:space="preserve"> shorter runs. </w:t>
      </w:r>
    </w:p>
    <w:p w14:paraId="45EB89BA" w14:textId="5B5BB51D" w:rsidR="008451C4" w:rsidRDefault="00687B7B"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5867E32D" w:rsidR="007D15FF" w:rsidRPr="00413AAC" w:rsidRDefault="007D15FF" w:rsidP="008451C4">
      <w:pPr>
        <w:rPr>
          <w:sz w:val="14"/>
          <w:szCs w:val="14"/>
        </w:rPr>
      </w:pPr>
      <w:r>
        <w:rPr>
          <w:szCs w:val="19"/>
        </w:rPr>
        <w:t xml:space="preserve">The expected utility was plotted </w:t>
      </w:r>
      <w:r w:rsidR="00607981">
        <w:rPr>
          <w:szCs w:val="19"/>
        </w:rPr>
        <w:t>for a dense set of</w:t>
      </w:r>
      <w:r>
        <w:rPr>
          <w:szCs w:val="19"/>
        </w:rPr>
        <w:t xml:space="preserve"> chromatographic conditions to find the maximum (expected utility map). </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77777777"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4F36EC">
        <w:t xml:space="preserve">. </w:t>
      </w:r>
      <w:r w:rsidR="00CB7D4B">
        <w:t>It</w:t>
      </w:r>
      <w:r w:rsidR="004F36EC">
        <w:t xml:space="preserve"> </w:t>
      </w:r>
      <w:r w:rsidR="00CB7D4B">
        <w:t xml:space="preserve">also </w:t>
      </w:r>
      <w:r w:rsidR="004F36EC">
        <w:t>allow</w:t>
      </w:r>
      <w:r w:rsidR="00CB7D4B">
        <w:t xml:space="preserve"> </w:t>
      </w:r>
      <w:r w:rsidR="004F36EC">
        <w:t>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w:t>
      </w:r>
      <w:r w:rsidR="00D46423">
        <w:t>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7A0836E6"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p>
    <w:p w14:paraId="3C0CF511" w14:textId="77777777" w:rsidR="008E0518" w:rsidRDefault="008E0518" w:rsidP="00D46423"/>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6B3ECF04" w14:textId="67C7E0D9" w:rsidR="00681A67" w:rsidRPr="00AF079C" w:rsidRDefault="00D40272" w:rsidP="006F1F34">
      <w:pPr>
        <w:pStyle w:val="TAMainText"/>
      </w:pPr>
      <w:r>
        <w:rPr>
          <w:noProof/>
        </w:rPr>
        <w:lastRenderedPageBreak/>
        <w:drawing>
          <wp:inline distT="0" distB="0" distL="0" distR="0" wp14:anchorId="7A09D0CD" wp14:editId="35FB0999">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6BB18C7" w:rsidR="006F1F34" w:rsidRDefault="00681A67" w:rsidP="006F1F34">
      <w:pPr>
        <w:pStyle w:val="VAFigureCaption"/>
      </w:pPr>
      <w:r w:rsidRPr="0046593F">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3E3FDA7A" w14:textId="77777777" w:rsid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p>
    <w:p w14:paraId="72B253A5" w14:textId="77777777" w:rsidR="00CB7D4B" w:rsidRPr="00CB7D4B" w:rsidRDefault="00CB7D4B" w:rsidP="00CB7D4B"/>
    <w:p w14:paraId="04A1DF6C" w14:textId="0BD743EB" w:rsidR="009257C7" w:rsidRPr="00AF079C" w:rsidRDefault="00410C59" w:rsidP="00D46423">
      <w:r>
        <w:tab/>
      </w:r>
      <w:r w:rsidR="00607981">
        <w:rPr>
          <w:noProof/>
        </w:rPr>
        <w:drawing>
          <wp:inline distT="0" distB="0" distL="0" distR="0" wp14:anchorId="5C5532DC" wp14:editId="3F3F019D">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2C228F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43CD0650" w:rsidR="009B77F4" w:rsidRDefault="00795055" w:rsidP="009B77F4">
      <w:r>
        <w:t>The model provides quantitative results allowing to predict likely chromatogram</w:t>
      </w:r>
      <w:r w:rsidR="00D0227F">
        <w:t xml:space="preserve"> given various </w:t>
      </w:r>
      <w:r w:rsidR="00911FDD">
        <w:t>number of experimental data</w:t>
      </w:r>
      <w:r>
        <w:t>.</w:t>
      </w:r>
      <w:r w:rsidR="00D0227F">
        <w:t xml:space="preserve"> In this work we show t</w:t>
      </w:r>
      <w:r w:rsidR="00681A67" w:rsidRPr="00AF079C">
        <w:t xml:space="preserve">he comparison of </w:t>
      </w:r>
      <w:r w:rsidR="006866F8">
        <w:t xml:space="preserve">individual, </w:t>
      </w:r>
      <w:r w:rsidR="00681A67" w:rsidRPr="00AF079C">
        <w:t>population</w:t>
      </w:r>
      <w:r w:rsidR="006866F8">
        <w:t xml:space="preserve"> </w:t>
      </w:r>
      <w:r w:rsidR="00681A67" w:rsidRPr="00AF079C">
        <w:t>and limited data predictions</w:t>
      </w:r>
      <w:r w:rsidR="006866F8">
        <w:t>.</w:t>
      </w:r>
      <w:r w:rsidR="001E1C52">
        <w:rPr>
          <w:bCs/>
        </w:rPr>
        <w:t xml:space="preserve"> Simulations </w:t>
      </w:r>
      <w:r w:rsidR="00681A67" w:rsidRPr="00AF079C">
        <w:t xml:space="preserve">are shown </w:t>
      </w:r>
      <w:r w:rsidR="00681A67" w:rsidRPr="00AF079C">
        <w:lastRenderedPageBreak/>
        <w:t xml:space="preserve">in Figures </w:t>
      </w:r>
      <w:r w:rsidR="004F18AB">
        <w:t>5</w:t>
      </w:r>
      <w:r w:rsidR="00681A67" w:rsidRPr="00AF079C">
        <w:t xml:space="preserve">. </w:t>
      </w:r>
      <w:r w:rsidR="00124D57">
        <w:t xml:space="preserve">The population predictions </w:t>
      </w:r>
      <w:r w:rsidR="006866F8">
        <w:t>are very uncertain and of l</w:t>
      </w:r>
      <w:r w:rsidR="00124D57">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 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9B77F4">
        <w:rPr>
          <w:rFonts w:ascii="Times New Roman" w:hAnsi="Times New Roman"/>
        </w:rPr>
        <w:t xml:space="preserve">It indicates that 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simple problems involving few analytes.</w:t>
      </w:r>
    </w:p>
    <w:p w14:paraId="3AB28ECA" w14:textId="30A709CC" w:rsidR="00DF55E7" w:rsidRPr="00C64622" w:rsidRDefault="002B70F2" w:rsidP="006F1F34">
      <w:pPr>
        <w:pStyle w:val="TAMainText"/>
        <w:rPr>
          <w:rFonts w:ascii="Times New Roman" w:hAnsi="Times New Roman"/>
        </w:rPr>
      </w:pPr>
      <w:r>
        <w:t>The model can be used for various decision making by providing the likely chromatogram for a wide range of analytes and chromatographic conditions.</w:t>
      </w:r>
    </w:p>
    <w:p w14:paraId="3866F199" w14:textId="0C7CF496" w:rsidR="00681A67" w:rsidRPr="00AF079C" w:rsidRDefault="001D632D" w:rsidP="006F1F34">
      <w:pPr>
        <w:pStyle w:val="TAMainText"/>
      </w:pPr>
      <w:r>
        <w:rPr>
          <w:noProof/>
        </w:rPr>
        <w:drawing>
          <wp:inline distT="0" distB="0" distL="0" distR="0" wp14:anchorId="30BFC3E2" wp14:editId="609A5530">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267CEAB1"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FE2A16">
        <w:t>individual (sharp peaks) and population (broad peaks) predictions</w:t>
      </w:r>
      <w:r w:rsidRPr="00B73148">
        <w:t>. Each peak represents the range of analyte retention factors compatible with prior and preliminary data.</w:t>
      </w:r>
      <w:r w:rsidRPr="00AF079C">
        <w:t xml:space="preserve"> </w:t>
      </w:r>
      <w:r w:rsidR="002266B0">
        <w:t xml:space="preserve"> </w:t>
      </w:r>
      <w:r w:rsidR="002837E9">
        <w:t xml:space="preserve">The chromatographic conditions were </w:t>
      </w:r>
      <w:proofErr w:type="spellStart"/>
      <w:r w:rsidR="002837E9">
        <w:t>pHo</w:t>
      </w:r>
      <w:proofErr w:type="spellEnd"/>
      <w:r w:rsidR="002837E9">
        <w:t>=8.9</w:t>
      </w:r>
      <w:r w:rsidR="00A61E58">
        <w:t xml:space="preserve">, ACN, </w:t>
      </w:r>
      <w:r w:rsidR="006866F8">
        <w:t xml:space="preserve"> </w:t>
      </w:r>
      <w:r w:rsidR="002837E9">
        <w:t>25</w:t>
      </w:r>
      <w:r w:rsidR="002837E9" w:rsidRPr="002266B0">
        <w:rPr>
          <w:vertAlign w:val="superscript"/>
        </w:rPr>
        <w:t>o</w:t>
      </w:r>
      <w:r w:rsidR="002837E9">
        <w:t>C</w:t>
      </w:r>
      <w:r w:rsidR="00A61E58">
        <w:t xml:space="preserve">, </w:t>
      </w:r>
      <w:proofErr w:type="spellStart"/>
      <w:r w:rsidR="002837E9">
        <w:t>tg</w:t>
      </w:r>
      <w:proofErr w:type="spellEnd"/>
      <w:r w:rsidR="002837E9">
        <w:t xml:space="preserve"> </w:t>
      </w:r>
      <w:r w:rsidR="00A61E58">
        <w:t xml:space="preserve">= </w:t>
      </w:r>
      <w:r w:rsidR="002837E9">
        <w:t>90 min.</w:t>
      </w:r>
    </w:p>
    <w:p w14:paraId="604F3CAB" w14:textId="09780173" w:rsidR="00681A67" w:rsidRDefault="007D15FF" w:rsidP="007D15FF">
      <w:pPr>
        <w:pStyle w:val="VAFigureCaption"/>
        <w:tabs>
          <w:tab w:val="left" w:pos="709"/>
        </w:tabs>
      </w:pPr>
      <w:r>
        <w:rPr>
          <w:noProof/>
        </w:rPr>
        <w:drawing>
          <wp:inline distT="0" distB="0" distL="0" distR="0" wp14:anchorId="5BDC3EEA" wp14:editId="2E61C3D6">
            <wp:extent cx="3044825" cy="3044825"/>
            <wp:effectExtent l="0" t="0" r="3175"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2DCBBD2C" w:rsidR="00681A67" w:rsidRDefault="00681A67" w:rsidP="006F1F34">
      <w:pPr>
        <w:pStyle w:val="VAFigureCaption"/>
      </w:pPr>
      <w:r w:rsidRPr="00AF079C">
        <w:t xml:space="preserve">Figure </w:t>
      </w:r>
      <w:r w:rsidR="00463CEB">
        <w:t>6</w:t>
      </w:r>
      <w:r w:rsidRPr="00AF079C">
        <w:t xml:space="preserve">. </w:t>
      </w:r>
      <w:r w:rsidRPr="00B73148">
        <w:t>Uncertainty chromatograms displaying the predictions for 6 selected analytes based on</w:t>
      </w:r>
      <w:r w:rsidR="00C47C14">
        <w:t xml:space="preserve"> the </w:t>
      </w:r>
      <w:r w:rsidR="009B77F4">
        <w:t>proposed</w:t>
      </w:r>
      <w:r w:rsidR="00C47C14">
        <w:t xml:space="preserve"> model and</w:t>
      </w:r>
      <w:r w:rsidRPr="00B73148">
        <w:t xml:space="preserve">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r w:rsidR="002266B0" w:rsidRPr="002266B0">
        <w:t xml:space="preserve"> </w:t>
      </w:r>
      <w:r w:rsidR="00CF1D44">
        <w:t xml:space="preserve">The chromatographic conditions were </w:t>
      </w:r>
      <w:proofErr w:type="spellStart"/>
      <w:r w:rsidR="00CF1D44">
        <w:t>pHo</w:t>
      </w:r>
      <w:proofErr w:type="spellEnd"/>
      <w:r w:rsidR="00CF1D44">
        <w:t>=8.9, ACN,  25</w:t>
      </w:r>
      <w:r w:rsidR="00CF1D44" w:rsidRPr="002266B0">
        <w:rPr>
          <w:vertAlign w:val="superscript"/>
        </w:rPr>
        <w:t>o</w:t>
      </w:r>
      <w:r w:rsidR="00CF1D44">
        <w:t xml:space="preserve">C, </w:t>
      </w:r>
      <w:proofErr w:type="spellStart"/>
      <w:r w:rsidR="00CF1D44">
        <w:t>tg</w:t>
      </w:r>
      <w:proofErr w:type="spellEnd"/>
      <w:r w:rsidR="00CF1D44">
        <w:t xml:space="preserve"> = 90 min</w:t>
      </w:r>
      <w:r w:rsidR="002266B0">
        <w:t xml:space="preserve">. </w:t>
      </w:r>
    </w:p>
    <w:p w14:paraId="7C2511E7" w14:textId="352CD1B7" w:rsidR="003E5B4E" w:rsidRDefault="003E5B4E" w:rsidP="003E5B4E"/>
    <w:p w14:paraId="374E3177" w14:textId="07EAEE1B" w:rsidR="003E5B4E" w:rsidRDefault="007D15FF" w:rsidP="003E5B4E">
      <w:pPr>
        <w:pStyle w:val="VAFigureCaption"/>
      </w:pPr>
      <w:r>
        <w:rPr>
          <w:noProof/>
        </w:rPr>
        <w:drawing>
          <wp:inline distT="0" distB="0" distL="0" distR="0" wp14:anchorId="5ABD2D0A" wp14:editId="765525E0">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388F5722" w:rsidR="003E5B4E" w:rsidRDefault="003E5B4E" w:rsidP="003E5B4E">
      <w:pPr>
        <w:pStyle w:val="VAFigureCaption"/>
      </w:pPr>
      <w:r w:rsidRPr="00AF079C">
        <w:t xml:space="preserve">Figure </w:t>
      </w:r>
      <w:r>
        <w:t>6</w:t>
      </w:r>
      <w:r w:rsidRPr="00AF079C">
        <w:t xml:space="preserve">. </w:t>
      </w:r>
      <w:r>
        <w:t>Application of decision making in the search for the best chromatogram</w:t>
      </w:r>
      <w:r w:rsidR="002B70F2">
        <w:t xml:space="preserve"> based on individual predictions</w:t>
      </w:r>
    </w:p>
    <w:p w14:paraId="74E0500D" w14:textId="0AE13017" w:rsidR="00463CEB" w:rsidRDefault="002B70F2" w:rsidP="00463CEB">
      <w:r>
        <w:t xml:space="preserve">The proposed model is complex </w:t>
      </w:r>
      <w:r w:rsidR="009B77F4">
        <w:t xml:space="preserve">but there are </w:t>
      </w:r>
      <w:r>
        <w:t xml:space="preserve">still </w:t>
      </w:r>
      <w:r w:rsidR="009B77F4">
        <w:t xml:space="preserve">some uncounted complexities </w:t>
      </w:r>
      <w:r w:rsidR="00607981">
        <w:t>that can be added</w:t>
      </w:r>
      <w:r w:rsidR="00607981">
        <w:t xml:space="preserve"> </w:t>
      </w:r>
      <w:r w:rsidR="009B77F4">
        <w:t>(</w:t>
      </w:r>
      <w:r w:rsidR="00607981">
        <w:t xml:space="preserve">e.g. </w:t>
      </w:r>
      <w:r w:rsidR="009B77F4">
        <w:t xml:space="preserve">temperature effects for the dissociated forms, BAV for S2 and </w:t>
      </w:r>
      <w:proofErr w:type="spellStart"/>
      <w:r w:rsidR="009B77F4">
        <w:t>apH</w:t>
      </w:r>
      <w:proofErr w:type="spellEnd"/>
      <w:r w:rsidR="009B77F4">
        <w:t>, etc.</w:t>
      </w:r>
      <w:r w:rsidR="0021715D">
        <w:t>)</w:t>
      </w:r>
      <w:r>
        <w:t xml:space="preserve">.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difficulties that required </w:t>
      </w:r>
      <w:r>
        <w:t xml:space="preserve">several </w:t>
      </w:r>
      <w:r w:rsidR="009B77F4">
        <w:t xml:space="preserve">simplifications to run the </w:t>
      </w:r>
      <w:r>
        <w:lastRenderedPageBreak/>
        <w:t>MCMC</w:t>
      </w:r>
      <w:r w:rsidR="009B77F4">
        <w:t xml:space="preserve"> without </w:t>
      </w:r>
      <w:r>
        <w:t>problems</w:t>
      </w:r>
      <w:r w:rsidR="009B77F4">
        <w:t>, e.g. excluding analytes with more than 2 dissociations steps.</w:t>
      </w:r>
    </w:p>
    <w:p w14:paraId="735360B1" w14:textId="77777777" w:rsidR="00620323" w:rsidRDefault="00620323" w:rsidP="00620323">
      <w:r>
        <w:t xml:space="preserve">There are possible several modification of the proposed model. For example one could include column as a random effects and add column-level predictors. It would allow to build a model that generalized to other columns in a similar way the proposed model generalized to other analytes. This idea is worth pursuing, however requires data collected for a wide range of columns. </w:t>
      </w:r>
    </w:p>
    <w:p w14:paraId="3F806172" w14:textId="08DD6637" w:rsidR="00305636" w:rsidRDefault="00AC37A5" w:rsidP="00463CEB">
      <w:r>
        <w:t xml:space="preserve">One possible application is to use the model to find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5A8AE6EE"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AC37A5">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1DB7000E"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7E7A5D">
        <w:t xml:space="preserve"> across a range of columns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5C68A9D7"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9</w:t>
      </w:r>
      <w:r>
        <w:rPr>
          <w:b w:val="0"/>
          <w:bCs w:val="0"/>
          <w:kern w:val="20"/>
          <w:sz w:val="18"/>
        </w:rPr>
        <w:t>. </w:t>
      </w:r>
      <w:r w:rsidRPr="00C47C14">
        <w:rPr>
          <w:b w:val="0"/>
          <w:bCs w:val="0"/>
          <w:kern w:val="20"/>
          <w:sz w:val="18"/>
        </w:rPr>
        <w:t>Figure S7. Individual isocratic predictions</w:t>
      </w:r>
      <w:r>
        <w:rPr>
          <w:b w:val="0"/>
          <w:bCs w:val="0"/>
          <w:kern w:val="20"/>
          <w:sz w:val="18"/>
        </w:rPr>
        <w:t>;</w:t>
      </w:r>
      <w:r w:rsidRPr="00C47C14">
        <w:rPr>
          <w:b w:val="0"/>
          <w:bCs w:val="0"/>
          <w:kern w:val="20"/>
          <w:sz w:val="18"/>
        </w:rPr>
        <w:t xml:space="preserve"> 10</w:t>
      </w:r>
      <w:r>
        <w:rPr>
          <w:b w:val="0"/>
          <w:bCs w:val="0"/>
          <w:kern w:val="20"/>
          <w:sz w:val="18"/>
        </w:rPr>
        <w:t>. </w:t>
      </w:r>
      <w:r w:rsidRPr="00C47C14">
        <w:rPr>
          <w:b w:val="0"/>
          <w:bCs w:val="0"/>
          <w:kern w:val="20"/>
          <w:sz w:val="18"/>
        </w:rPr>
        <w:t>Figure S8. Population isocratic predictions</w:t>
      </w:r>
      <w:r>
        <w:rPr>
          <w:b w:val="0"/>
          <w:bCs w:val="0"/>
          <w:kern w:val="20"/>
          <w:sz w:val="18"/>
        </w:rPr>
        <w:t>;</w:t>
      </w:r>
      <w:r w:rsidRPr="00C47C14">
        <w:rPr>
          <w:b w:val="0"/>
          <w:bCs w:val="0"/>
          <w:kern w:val="20"/>
          <w:sz w:val="18"/>
        </w:rPr>
        <w:t xml:space="preserve"> </w:t>
      </w:r>
      <w:r w:rsidR="007D15FF">
        <w:rPr>
          <w:b w:val="0"/>
          <w:bCs w:val="0"/>
          <w:kern w:val="20"/>
          <w:sz w:val="18"/>
        </w:rPr>
        <w:t xml:space="preserve">11. </w:t>
      </w:r>
      <w:r w:rsidR="007D15FF" w:rsidRPr="007D15FF">
        <w:rPr>
          <w:b w:val="0"/>
          <w:bCs w:val="0"/>
          <w:kern w:val="20"/>
          <w:sz w:val="18"/>
        </w:rPr>
        <w:t xml:space="preserve">Figure S9. Utility maps based on individual </w:t>
      </w:r>
      <w:r w:rsidR="007D15FF" w:rsidRPr="007D15FF">
        <w:rPr>
          <w:b w:val="0"/>
          <w:bCs w:val="0"/>
          <w:kern w:val="20"/>
          <w:sz w:val="18"/>
        </w:rPr>
        <w:t>predictions</w:t>
      </w:r>
      <w:r w:rsidR="007D15FF">
        <w:rPr>
          <w:b w:val="0"/>
          <w:bCs w:val="0"/>
          <w:kern w:val="20"/>
          <w:sz w:val="18"/>
        </w:rPr>
        <w:t xml:space="preserve">; 12. </w:t>
      </w:r>
      <w:r w:rsidR="007D15FF" w:rsidRPr="007D15FF">
        <w:rPr>
          <w:b w:val="0"/>
          <w:bCs w:val="0"/>
          <w:kern w:val="20"/>
          <w:sz w:val="18"/>
        </w:rPr>
        <w:t xml:space="preserve">Figure S10. Utility maps based on limited data </w:t>
      </w:r>
      <w:r w:rsidR="007D15FF" w:rsidRPr="007D15FF">
        <w:rPr>
          <w:b w:val="0"/>
          <w:bCs w:val="0"/>
          <w:kern w:val="20"/>
          <w:sz w:val="18"/>
        </w:rPr>
        <w:t>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lastRenderedPageBreak/>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8"/>
      <w:footerReference w:type="even" r:id="rId19"/>
      <w:footerReference w:type="default" r:id="rId20"/>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C3E0" w14:textId="77777777" w:rsidR="00687B7B" w:rsidRDefault="00687B7B" w:rsidP="006F1F34">
      <w:r>
        <w:separator/>
      </w:r>
    </w:p>
  </w:endnote>
  <w:endnote w:type="continuationSeparator" w:id="0">
    <w:p w14:paraId="06561A27" w14:textId="77777777" w:rsidR="00687B7B" w:rsidRDefault="00687B7B"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687B7B"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687B7B"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687B7B" w:rsidP="006F1F34">
    <w:pPr>
      <w:pStyle w:val="Stopka"/>
    </w:pPr>
  </w:p>
  <w:p w14:paraId="0EB6940F" w14:textId="77777777" w:rsidR="001F383C" w:rsidRDefault="00687B7B"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687B7B" w:rsidP="006F1F34">
    <w:pPr>
      <w:pStyle w:val="Stopka"/>
    </w:pPr>
  </w:p>
  <w:p w14:paraId="2B7B92A3" w14:textId="77777777" w:rsidR="001F383C" w:rsidRDefault="00687B7B"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7E8C" w14:textId="77777777" w:rsidR="00687B7B" w:rsidRDefault="00687B7B" w:rsidP="006F1F34">
      <w:r>
        <w:separator/>
      </w:r>
    </w:p>
  </w:footnote>
  <w:footnote w:type="continuationSeparator" w:id="0">
    <w:p w14:paraId="3FB46D64" w14:textId="77777777" w:rsidR="00687B7B" w:rsidRDefault="00687B7B"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687B7B"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83091"/>
    <w:rsid w:val="00093166"/>
    <w:rsid w:val="00094A15"/>
    <w:rsid w:val="000C3724"/>
    <w:rsid w:val="000E335C"/>
    <w:rsid w:val="00122CCD"/>
    <w:rsid w:val="0012449B"/>
    <w:rsid w:val="00124D57"/>
    <w:rsid w:val="00131473"/>
    <w:rsid w:val="0013477C"/>
    <w:rsid w:val="00137E59"/>
    <w:rsid w:val="0014607D"/>
    <w:rsid w:val="0015589D"/>
    <w:rsid w:val="001733D5"/>
    <w:rsid w:val="00183DB3"/>
    <w:rsid w:val="001B5589"/>
    <w:rsid w:val="001D010E"/>
    <w:rsid w:val="001D632D"/>
    <w:rsid w:val="001E1C52"/>
    <w:rsid w:val="001E7337"/>
    <w:rsid w:val="001F2B31"/>
    <w:rsid w:val="0021715D"/>
    <w:rsid w:val="002266B0"/>
    <w:rsid w:val="00230674"/>
    <w:rsid w:val="002409A8"/>
    <w:rsid w:val="00247329"/>
    <w:rsid w:val="002549F9"/>
    <w:rsid w:val="00256A0B"/>
    <w:rsid w:val="002652A0"/>
    <w:rsid w:val="002837E9"/>
    <w:rsid w:val="0028542A"/>
    <w:rsid w:val="0029085A"/>
    <w:rsid w:val="00296662"/>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84D2E"/>
    <w:rsid w:val="003936B1"/>
    <w:rsid w:val="003E4501"/>
    <w:rsid w:val="003E5361"/>
    <w:rsid w:val="003E5B4E"/>
    <w:rsid w:val="00402BC0"/>
    <w:rsid w:val="00402FF4"/>
    <w:rsid w:val="00410C59"/>
    <w:rsid w:val="00411B27"/>
    <w:rsid w:val="00413AAC"/>
    <w:rsid w:val="0042715D"/>
    <w:rsid w:val="00431F86"/>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9350D"/>
    <w:rsid w:val="005D07B9"/>
    <w:rsid w:val="005F4D6F"/>
    <w:rsid w:val="005F7416"/>
    <w:rsid w:val="00601F64"/>
    <w:rsid w:val="00607981"/>
    <w:rsid w:val="006135C1"/>
    <w:rsid w:val="00620323"/>
    <w:rsid w:val="00630434"/>
    <w:rsid w:val="00633951"/>
    <w:rsid w:val="00637B4A"/>
    <w:rsid w:val="00640555"/>
    <w:rsid w:val="006506B4"/>
    <w:rsid w:val="0065085B"/>
    <w:rsid w:val="00652AA5"/>
    <w:rsid w:val="00671B2F"/>
    <w:rsid w:val="00681A67"/>
    <w:rsid w:val="0068285E"/>
    <w:rsid w:val="006866F8"/>
    <w:rsid w:val="00687B7B"/>
    <w:rsid w:val="00694B05"/>
    <w:rsid w:val="006A0461"/>
    <w:rsid w:val="006A10B9"/>
    <w:rsid w:val="006A1943"/>
    <w:rsid w:val="006A518C"/>
    <w:rsid w:val="006D2D0E"/>
    <w:rsid w:val="006D65BE"/>
    <w:rsid w:val="006E17D8"/>
    <w:rsid w:val="006F1F34"/>
    <w:rsid w:val="006F70CF"/>
    <w:rsid w:val="00702372"/>
    <w:rsid w:val="00706B62"/>
    <w:rsid w:val="00714AAE"/>
    <w:rsid w:val="00715825"/>
    <w:rsid w:val="00715AD8"/>
    <w:rsid w:val="007540D5"/>
    <w:rsid w:val="00772DE4"/>
    <w:rsid w:val="00791772"/>
    <w:rsid w:val="00795055"/>
    <w:rsid w:val="007B157B"/>
    <w:rsid w:val="007D15FF"/>
    <w:rsid w:val="007D28FC"/>
    <w:rsid w:val="007D65B7"/>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5947"/>
    <w:rsid w:val="008F36E2"/>
    <w:rsid w:val="00911FDD"/>
    <w:rsid w:val="009257C7"/>
    <w:rsid w:val="00936EA2"/>
    <w:rsid w:val="00940E44"/>
    <w:rsid w:val="00943BF4"/>
    <w:rsid w:val="00956DB6"/>
    <w:rsid w:val="009821A7"/>
    <w:rsid w:val="00987F1B"/>
    <w:rsid w:val="00992DD5"/>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33E70"/>
    <w:rsid w:val="00C3623F"/>
    <w:rsid w:val="00C363AC"/>
    <w:rsid w:val="00C4733B"/>
    <w:rsid w:val="00C47C14"/>
    <w:rsid w:val="00C51848"/>
    <w:rsid w:val="00C64622"/>
    <w:rsid w:val="00C85A68"/>
    <w:rsid w:val="00C92446"/>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110E"/>
    <w:rsid w:val="00E96D90"/>
    <w:rsid w:val="00EA4F0C"/>
    <w:rsid w:val="00EB6340"/>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7</Pages>
  <Words>9281</Words>
  <Characters>52907</Characters>
  <Application>Microsoft Office Word</Application>
  <DocSecurity>0</DocSecurity>
  <Lines>440</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143</cp:revision>
  <dcterms:created xsi:type="dcterms:W3CDTF">2023-05-26T10:37:00Z</dcterms:created>
  <dcterms:modified xsi:type="dcterms:W3CDTF">2023-09-03T15:38:00Z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