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5B83822A"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 The proposed method seems to be an interesting alternative to existing methods  and approaches used to compare chromatographic stationary phases.</w:t>
      </w:r>
    </w:p>
    <w:p w14:paraId="16D61559" w14:textId="3919FF08"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 xml:space="preserve">and </w:t>
      </w:r>
      <w:r w:rsidR="00862064">
        <w:t>fairly</w:t>
      </w:r>
      <w:r w:rsidR="009A05DF">
        <w:t xml:space="preserve"> </w:t>
      </w:r>
      <w:r w:rsidR="0040478C">
        <w:t>limited set of chromatographic conditions</w:t>
      </w:r>
      <w:r w:rsidRPr="00EC5A87">
        <w:t xml:space="preserve">. </w:t>
      </w:r>
      <w:r w:rsidR="00AC3168">
        <w:t>Th</w:t>
      </w:r>
      <w:r w:rsidR="00C26B67">
        <w:t>ese</w:t>
      </w:r>
      <w:r w:rsidR="00AC3168">
        <w:t xml:space="preserve"> method provide</w:t>
      </w:r>
      <w:r w:rsidR="00C26B67">
        <w:t>s an approximate e</w:t>
      </w:r>
      <w:r w:rsidR="00AC3168">
        <w:t xml:space="preserve">stimates of </w:t>
      </w:r>
      <w:r w:rsidR="0040478C">
        <w:t xml:space="preserve">analyte </w:t>
      </w:r>
      <w:r w:rsidR="00AC3168">
        <w:t>retention</w:t>
      </w:r>
      <w:r w:rsidR="00C26B67">
        <w:t xml:space="preserve"> </w:t>
      </w:r>
      <w:r w:rsidR="009A05DF">
        <w:t>and as such</w:t>
      </w:r>
      <w:r w:rsidR="00C26B67">
        <w:t xml:space="preserve"> have limited usefulness in extrapolating the results to other analytes and</w:t>
      </w:r>
      <w:r w:rsidR="001B3F13">
        <w:t xml:space="preserve"> to</w:t>
      </w:r>
      <w:r w:rsidR="00C26B67">
        <w:t xml:space="preserve"> 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40D6378"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690DE95F"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9A05DF">
        <w:t xml:space="preserve">build a </w:t>
      </w:r>
      <w:r w:rsidR="009A05DF">
        <w:t>mechanistic model 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9A05DF">
        <w:t xml:space="preserve">to </w:t>
      </w:r>
      <w:r w:rsidR="00E34BFB">
        <w:t xml:space="preserve">estimate the column effects on parameters characterizing retention </w:t>
      </w:r>
      <w:r w:rsidR="004F5488">
        <w:t>of acids, bases and neutral analytes</w:t>
      </w:r>
      <w:r w:rsidR="001B3F13">
        <w:t xml:space="preserve">, to quantify various sources of variation, and characterize uncertainty. </w:t>
      </w:r>
      <w:r w:rsidR="00E34BFB">
        <w:t>T</w:t>
      </w:r>
      <w:r w:rsidRPr="00AF079C">
        <w:t>he usefulness of the model</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w:t>
      </w:r>
      <w:r w:rsidRPr="00CB00D3">
        <w:lastRenderedPageBreak/>
        <w:t xml:space="preserve">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9845FF"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9845FF"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9845FF"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w:t>
      </w:r>
      <w:r w:rsidRPr="006771DE">
        <w:t xml:space="preserve">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9845FF"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9845FF"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1A3D903"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w:t>
      </w:r>
      <w:r w:rsidRPr="00015E77">
        <w:lastRenderedPageBreak/>
        <w:t>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3760F6F0"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t xml:space="preserve">. </w:t>
      </w:r>
    </w:p>
    <w:p w14:paraId="45EB89BA" w14:textId="5B5BB51D" w:rsidR="008451C4" w:rsidRDefault="009845FF"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0A9F18F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 xml:space="preserve">expected utility map.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136950">
        <w:t xml:space="preserve"> given access to various 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777777"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77777777"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 factor</w:t>
      </w:r>
      <w:r w:rsidR="00E2235F">
        <w:t>s</w:t>
      </w:r>
      <w:r w:rsidR="00684304">
        <w:t xml:space="preserve"> of neutral forms of analytes in neat water eluents</w:t>
      </w:r>
      <w:r w:rsidR="008677E5">
        <w:t>)</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 xml:space="preserve">for retention factor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4BE5B91E" w14:textId="51A010EE" w:rsidR="008E0518" w:rsidRPr="000927BB" w:rsidRDefault="00715AD8" w:rsidP="00D46423">
      <w:pPr>
        <w:rPr>
          <w:rFonts w:ascii="Times New Roman" w:hAnsi="Times New Roman"/>
        </w:rPr>
      </w:pPr>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w:t>
      </w:r>
      <w:r>
        <w:lastRenderedPageBreak/>
        <w:t xml:space="preserve">parameter are small. The largest difference is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t xml:space="preserve">(about 0.1). </w:t>
      </w:r>
    </w:p>
    <w:p w14:paraId="0373903A" w14:textId="77777777" w:rsidR="009448A6" w:rsidRDefault="009448A6" w:rsidP="009448A6">
      <w:r>
        <w:t xml:space="preserve">The </w:t>
      </w:r>
      <w:r w:rsidRPr="00135F49">
        <w:rPr>
          <w:i/>
          <w:iCs/>
        </w:rPr>
        <w:t>S1</w:t>
      </w:r>
      <w:r>
        <w:t xml:space="preserve"> is higher in ACN than in MeOH by 0.61 for </w:t>
      </w:r>
      <w:proofErr w:type="spellStart"/>
      <w:r>
        <w:t>XBridge</w:t>
      </w:r>
      <w:proofErr w:type="spellEnd"/>
      <w:r>
        <w:t xml:space="preserve"> Shield RP18 column, and additionally is higher by 0.15 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w:t>
      </w:r>
    </w:p>
    <w:p w14:paraId="0370B586" w14:textId="77777777" w:rsidR="009448A6" w:rsidRDefault="009448A6" w:rsidP="009448A6">
      <w:r>
        <w:t xml:space="preserve">The S2 parameter of the Neue equation is </w:t>
      </w:r>
      <w:r w:rsidRPr="0027491C">
        <w:t>0.4</w:t>
      </w:r>
      <w:r>
        <w:t xml:space="preserve">9 in MeOH and 1.3 in ACN. </w:t>
      </w:r>
    </w:p>
    <w:p w14:paraId="1D817E03" w14:textId="5BC86E53" w:rsidR="00122CCD" w:rsidRDefault="00715AD8" w:rsidP="00D46423">
      <w:r>
        <w:t xml:space="preserve">The </w:t>
      </w:r>
      <w:r w:rsidR="008677E5">
        <w:t xml:space="preserve">temperature </w:t>
      </w:r>
      <w:r>
        <w:t>effect</w:t>
      </w:r>
      <w:r w:rsidR="008677E5">
        <w:t xml:space="preserve"> is</w:t>
      </w:r>
      <w:r>
        <w:t xml:space="preserve"> small and consisted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Pr="000927BB">
        <w:t>.</w:t>
      </w:r>
      <w:r>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27491C">
        <w:t xml:space="preserve"> can be expected for </w:t>
      </w:r>
      <w:proofErr w:type="spellStart"/>
      <w:r w:rsidR="0027491C">
        <w:t>XBridge</w:t>
      </w:r>
      <w:proofErr w:type="spellEnd"/>
      <w:r w:rsidR="0027491C">
        <w:t xml:space="preserve"> Phenyl</w:t>
      </w:r>
      <w:r w:rsidR="008677E5">
        <w:t xml:space="preserve">. </w:t>
      </w:r>
    </w:p>
    <w:p w14:paraId="512F7319" w14:textId="31502BED" w:rsidR="00E95769" w:rsidRDefault="00D46423" w:rsidP="00E95769">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xml:space="preserve">. The pH effects on </w:t>
      </w:r>
      <w:proofErr w:type="spellStart"/>
      <w:r>
        <w:t>logkw</w:t>
      </w:r>
      <w:proofErr w:type="spellEnd"/>
      <w:r>
        <w:t xml:space="preserve"> for acids and bases (</w:t>
      </w:r>
      <w:proofErr w:type="spellStart"/>
      <w:r>
        <w:t>apH</w:t>
      </w:r>
      <w:proofErr w:type="spellEnd"/>
      <w:r>
        <w:t>) are small and negative for acids</w:t>
      </w:r>
      <w:r w:rsidR="0027491C">
        <w:t xml:space="preserve"> </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w:t>
      </w:r>
      <w:proofErr w:type="spellStart"/>
      <w:r w:rsidR="0027491C">
        <w:t>XBridge</w:t>
      </w:r>
      <w:proofErr w:type="spellEnd"/>
      <w:r w:rsidR="0027491C">
        <w:t xml:space="preserve"> Shield RP18. The column effect</w:t>
      </w:r>
      <w:r w:rsidR="00E95769">
        <w:t>s</w:t>
      </w:r>
      <w:r w:rsidR="0027491C">
        <w:t xml:space="preserve"> for </w:t>
      </w:r>
      <w:proofErr w:type="spellStart"/>
      <w:r w:rsidR="0027491C" w:rsidRPr="00E95769">
        <w:rPr>
          <w:i/>
          <w:iCs/>
        </w:rPr>
        <w:t>apH</w:t>
      </w:r>
      <w:proofErr w:type="spellEnd"/>
      <w:r w:rsidR="0027491C">
        <w:t xml:space="preserve"> </w:t>
      </w:r>
      <w:r w:rsidR="00E95769">
        <w:t xml:space="preserve">are small for acids (-0.02-0) and slightly larger for bases ((0.05)- (-0.01)).The S1m for acids and bases is higher by 0.17 and 0.12 on </w:t>
      </w:r>
      <w:proofErr w:type="spellStart"/>
      <w:r w:rsidR="00E95769">
        <w:t>XBridge</w:t>
      </w:r>
      <w:proofErr w:type="spellEnd"/>
      <w:r w:rsidR="00E95769">
        <w:t xml:space="preserve"> Shield RP18 with BAV of 0.69. The column effects for that parameter very from </w:t>
      </w:r>
      <w:r w:rsidR="00E95769" w:rsidRPr="00E95769">
        <w:t>-0.49</w:t>
      </w:r>
      <w:r w:rsidR="00E95769">
        <w:t xml:space="preserve"> to </w:t>
      </w:r>
      <w:r w:rsidR="00E95769" w:rsidRPr="00E95769">
        <w:t>0.36</w:t>
      </w:r>
      <w:r w:rsidR="00E95769">
        <w:t xml:space="preserve"> depending on column an analyte form with BAV ranging from 0.04-0.20. The slope for acids and bases is different in ACN (relative to S1m) by 0.28 and -0.67 on </w:t>
      </w:r>
      <w:proofErr w:type="spellStart"/>
      <w:r w:rsidR="00E95769">
        <w:t>XBridge</w:t>
      </w:r>
      <w:proofErr w:type="spellEnd"/>
      <w:r w:rsidR="00E95769">
        <w:t xml:space="preserve"> Shield RP18 with BAV of 0.55. The column effects for that parameter very from </w:t>
      </w:r>
      <w:r w:rsidR="00E95769" w:rsidRPr="00E95769">
        <w:t>-0.</w:t>
      </w:r>
      <w:r w:rsidR="00E95769">
        <w:t xml:space="preserve">04 to </w:t>
      </w:r>
      <w:r w:rsidR="00E95769" w:rsidRPr="00E95769">
        <w:t>0.</w:t>
      </w:r>
      <w:r w:rsidR="00E95769">
        <w:t>57 depending on column an analyte form with BAV ranging from 0.0</w:t>
      </w:r>
      <w:r w:rsidR="00DD21B6">
        <w:t>7</w:t>
      </w:r>
      <w:r w:rsidR="00E95769">
        <w:t>-0.</w:t>
      </w:r>
      <w:r w:rsidR="00DD21B6">
        <w:t>72</w:t>
      </w:r>
      <w:r w:rsidR="00E95769">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5C7701FC"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104F3A5" w14:textId="41A35066" w:rsidR="009257C7" w:rsidRDefault="00410C59" w:rsidP="009448A6">
      <w:r>
        <w:tab/>
      </w:r>
    </w:p>
    <w:p w14:paraId="19D7BE07" w14:textId="7EEC7569"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7307F35E" w14:textId="5BFA6D49" w:rsidR="00681A67" w:rsidRPr="00AF079C" w:rsidRDefault="0073794A" w:rsidP="006F1F34">
      <w:pPr>
        <w:pStyle w:val="TAMainText"/>
      </w:pPr>
      <w:r>
        <w:rPr>
          <w:noProof/>
        </w:rPr>
        <w:drawing>
          <wp:inline distT="0" distB="0" distL="0" distR="0" wp14:anchorId="313F6D53" wp14:editId="03AB43BD">
            <wp:extent cx="3044825" cy="3803650"/>
            <wp:effectExtent l="0" t="0" r="3175" b="63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3CC01EA9"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present to improve </w:t>
      </w:r>
      <w:r w:rsidR="0006411C" w:rsidRPr="00CF20D2">
        <w:t>readability</w:t>
      </w:r>
      <w:r w:rsidR="00FE2A16">
        <w:t>.</w:t>
      </w:r>
    </w:p>
    <w:p w14:paraId="74F4BA00" w14:textId="3C392A64" w:rsidR="009448A6" w:rsidRPr="00CB7D4B" w:rsidRDefault="009448A6" w:rsidP="009448A6">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w:t>
      </w:r>
      <w:r>
        <w:lastRenderedPageBreak/>
        <w:t>applicability for predictions. The individual and population predictions for several analytes are also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w:t>
      </w:r>
      <w:r w:rsidR="007D7C0E">
        <w:t>at the</w:t>
      </w:r>
      <w:r>
        <w:t xml:space="preserve"> added predicted value of </w:t>
      </w:r>
      <w:proofErr w:type="spellStart"/>
      <w:r>
        <w:t>XBridge</w:t>
      </w:r>
      <w:proofErr w:type="spellEnd"/>
      <w:r>
        <w:t xml:space="preserve"> Shield RP18 data</w:t>
      </w:r>
      <w:r w:rsidR="007D7C0E">
        <w:t xml:space="preserve"> is large</w:t>
      </w:r>
      <w:r>
        <w:t xml:space="preserve">. 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p>
    <w:p w14:paraId="35E223A7" w14:textId="678A3DC6" w:rsidR="009448A6" w:rsidRPr="0046593F" w:rsidRDefault="009448A6" w:rsidP="009448A6">
      <w:r>
        <w:t>All model parameters jointly affect analyte retention. To better illustrate the joined effect of parameters, we simulated the retention factors for the typical acidic, basic and neutral analyte with log P of 0, 3 and 6. The results are present in Figure 4.</w:t>
      </w:r>
      <w:r w:rsidR="008036F3">
        <w:t xml:space="preserve"> Based on that graph one is able to quickly compare column characteristics across a wide range of conditions. </w:t>
      </w:r>
      <w:r>
        <w:t>We also provide various isocratic prediction for 6 selected analytes to illustrate the impact of parameters on isocratic retention (Figure S8 and S9).</w:t>
      </w:r>
    </w:p>
    <w:p w14:paraId="12EC0BA3" w14:textId="77777777" w:rsidR="009448A6" w:rsidRDefault="009448A6" w:rsidP="009448A6">
      <w:pPr>
        <w:pStyle w:val="VAFigureCaption"/>
      </w:pPr>
      <w:r>
        <w:rPr>
          <w:noProof/>
        </w:rPr>
        <w:drawing>
          <wp:inline distT="0" distB="0" distL="0" distR="0" wp14:anchorId="4DEBE594" wp14:editId="6DD330CF">
            <wp:extent cx="3044825" cy="3803650"/>
            <wp:effectExtent l="0" t="0" r="3175" b="63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306E4F7C" w14:textId="5A04716E" w:rsidR="009448A6" w:rsidRDefault="009448A6" w:rsidP="009448A6">
      <w:pPr>
        <w:pStyle w:val="VAFigureCaption"/>
      </w:pPr>
      <w:r w:rsidRPr="00AF079C">
        <w:t xml:space="preserve">Figure </w:t>
      </w:r>
      <w:r>
        <w:t>5</w:t>
      </w:r>
      <w:r w:rsidRPr="00AF079C">
        <w:t xml:space="preserve">. </w:t>
      </w:r>
      <w:r>
        <w:t>The optimal Bayesian-based chromatographic conditions found based on individual data predictions.</w:t>
      </w:r>
    </w:p>
    <w:p w14:paraId="6884AA81" w14:textId="77777777" w:rsidR="007D7C0E" w:rsidRDefault="007D7C0E" w:rsidP="007D7C0E">
      <w:pPr>
        <w:rPr>
          <w:rFonts w:ascii="Times New Roman" w:hAnsi="Times New Roman"/>
        </w:rPr>
      </w:pPr>
      <w:r>
        <w:t xml:space="preserve">The population predictions are very uncertain and of limited usefulness. Basically, they are driven by unexplained BAV </w:t>
      </w:r>
      <w:r w:rsidRPr="004C3D84">
        <w:rPr>
          <w:rFonts w:ascii="Times New Roman" w:hAnsi="Times New Roman"/>
          <w:i/>
          <w:iCs/>
        </w:rPr>
        <w:t>ω</w:t>
      </w:r>
      <w:r>
        <w:t xml:space="preserve">, which is large. However, by adding experimental information one can decrease this uncertainty. For example, including all the experimental data provides a very accurate predictions (individual predictions). For the limited data predictions the uncertainty is almost entirely reduced for </w:t>
      </w:r>
      <w:proofErr w:type="spellStart"/>
      <w:r>
        <w:t>XBridge</w:t>
      </w:r>
      <w:proofErr w:type="spellEnd"/>
      <w:r>
        <w:t xml:space="preserve"> Shield RP18 column (as there is a lot of data collect using that particular column). For other columns there is still some proportion of uncertainty left, here mostly driven by </w:t>
      </w:r>
      <w:proofErr w:type="spellStart"/>
      <w:r>
        <w:t>c</w:t>
      </w:r>
      <w:r w:rsidRPr="004C3D84">
        <w:rPr>
          <w:rFonts w:ascii="Times New Roman" w:hAnsi="Times New Roman"/>
          <w:i/>
          <w:iCs/>
        </w:rPr>
        <w:t>ω</w:t>
      </w:r>
      <w:proofErr w:type="spellEnd"/>
      <w:r>
        <w:rPr>
          <w:rFonts w:ascii="Times New Roman" w:hAnsi="Times New Roman"/>
        </w:rPr>
        <w:t>. Since</w:t>
      </w:r>
      <w:r w:rsidRPr="004C3D84">
        <w:rPr>
          <w:rFonts w:ascii="Times New Roman" w:hAnsi="Times New Roman"/>
        </w:rPr>
        <w:t xml:space="preserve"> </w:t>
      </w:r>
      <w:proofErr w:type="spellStart"/>
      <w:r w:rsidRPr="004C3D84">
        <w:t>c</w:t>
      </w:r>
      <w:r w:rsidRPr="004C3D84">
        <w:rPr>
          <w:rFonts w:ascii="Times New Roman" w:hAnsi="Times New Roman"/>
        </w:rPr>
        <w:t>ω</w:t>
      </w:r>
      <w:proofErr w:type="spellEnd"/>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 xml:space="preserve">one can expect a fairly </w:t>
      </w:r>
      <w:r>
        <w:rPr>
          <w:rFonts w:ascii="Times New Roman" w:hAnsi="Times New Roman"/>
        </w:rPr>
        <w:t>precise predictions, i.e. one is able to predict isocratic retention factor with an uncertainty of about 20-25%. It might be of practical usefulness for simple problems involving few analytes.</w:t>
      </w:r>
    </w:p>
    <w:p w14:paraId="7C2511E7" w14:textId="0DF37DCB"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high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 </w:t>
      </w:r>
      <w:r w:rsidR="008D509C">
        <w:t>was identified</w:t>
      </w:r>
      <w:r w:rsidR="00646BD1">
        <w:t xml:space="preserve"> for</w:t>
      </w:r>
      <w:r w:rsidR="00232FD8">
        <w:t xml:space="preserve"> </w:t>
      </w:r>
      <w:r w:rsidR="00232FD8" w:rsidRPr="00232FD8">
        <w:t>Xterra MS C8</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fairly </w:t>
      </w:r>
      <w:r w:rsidR="00967558">
        <w:t>small</w:t>
      </w:r>
      <w:r w:rsidR="00DD21B6">
        <w:t xml:space="preserve"> across the te</w:t>
      </w:r>
      <w:r w:rsidR="008D509C">
        <w:t>s</w:t>
      </w:r>
      <w:r w:rsidR="00DD21B6">
        <w:t>ted columns</w:t>
      </w:r>
      <w:r w:rsidR="00540A9F">
        <w:t xml:space="preserve"> </w:t>
      </w:r>
      <w:r w:rsidR="008D509C">
        <w:t>which suggest</w:t>
      </w:r>
      <w:r w:rsidR="00540A9F">
        <w:t xml:space="preserve"> that similar separation (with respect to the proposed utility) can</w:t>
      </w:r>
      <w:r w:rsidR="008D509C">
        <w:t xml:space="preserve"> also</w:t>
      </w:r>
      <w:r w:rsidR="00540A9F">
        <w:t xml:space="preserve"> be identified</w:t>
      </w:r>
      <w:r w:rsidR="008D509C">
        <w:t xml:space="preserve"> for other columns</w:t>
      </w:r>
      <w:r w:rsidR="00967558">
        <w:t xml:space="preserve">. </w:t>
      </w:r>
      <w:r w:rsidR="00DD21B6">
        <w:t xml:space="preserve">Based on utility maps one can </w:t>
      </w:r>
      <w:r w:rsidR="00540A9F">
        <w:t xml:space="preserve">also </w:t>
      </w:r>
      <w:r w:rsidR="00DD21B6">
        <w:t>identify all the</w:t>
      </w:r>
      <w:r w:rsidR="00967558">
        <w:t xml:space="preserve"> “windows of opportunity</w:t>
      </w:r>
      <w:r w:rsidR="00DD21B6">
        <w:t>”</w:t>
      </w:r>
      <w:r w:rsidR="00540A9F">
        <w:t xml:space="preserve"> understood as a regions of chromatographic conditions leading to similar separations.</w:t>
      </w:r>
    </w:p>
    <w:p w14:paraId="24A3214C" w14:textId="6EB738F3" w:rsidR="002933E5" w:rsidRDefault="00BB4B46" w:rsidP="002933E5">
      <w:r>
        <w:t>Similarly</w:t>
      </w:r>
      <w:r w:rsidR="00540A9F">
        <w:t>,</w:t>
      </w:r>
      <w:r>
        <w:t xml:space="preserve"> </w:t>
      </w:r>
      <w:r w:rsidR="00540A9F">
        <w:t>it is possible to</w:t>
      </w:r>
      <w:r>
        <w:t xml:space="preserve"> identify optimal conditions based on limited data predictions (e.g. conditional on </w:t>
      </w:r>
      <w:proofErr w:type="spellStart"/>
      <w:r>
        <w:t>XBridge</w:t>
      </w:r>
      <w:proofErr w:type="spellEnd"/>
      <w:r>
        <w:t xml:space="preserve"> Shield RP18 data). This is a situation of trying to predict retention on other column having a fairly good understanding of retention</w:t>
      </w:r>
      <w:r w:rsidR="008D509C">
        <w:t xml:space="preserve"> of analytes</w:t>
      </w:r>
      <w:r>
        <w:t xml:space="preserve"> </w:t>
      </w:r>
      <w:r w:rsidR="00AE7D14">
        <w:t>in</w:t>
      </w:r>
      <w:r>
        <w:t xml:space="preserve"> one </w:t>
      </w:r>
      <w:r w:rsidR="00540A9F">
        <w:t xml:space="preserve">reference </w:t>
      </w:r>
      <w:r>
        <w:t xml:space="preserve">column. In </w:t>
      </w:r>
      <w:r w:rsidR="00AE7D14">
        <w:t>ou</w:t>
      </w:r>
      <w:r w:rsidR="008D509C">
        <w:t>r</w:t>
      </w:r>
      <w:r>
        <w:t xml:space="preserve"> scenario, the uncertainties of the resulting chromatograms are </w:t>
      </w:r>
      <w:r w:rsidR="008D509C">
        <w:t>rather large for our purpose (standard deviation is in a range of few minutes)</w:t>
      </w:r>
      <w:r>
        <w:t xml:space="preserve">, suggesting </w:t>
      </w:r>
      <w:r w:rsidR="00540A9F">
        <w:t xml:space="preserve">that </w:t>
      </w:r>
      <w:r>
        <w:t xml:space="preserve">additional experiments </w:t>
      </w:r>
      <w:r w:rsidR="00540A9F">
        <w:t xml:space="preserve">are required </w:t>
      </w:r>
      <w:r>
        <w:t>to improve precision.</w:t>
      </w:r>
      <w:r w:rsidR="00A2047A">
        <w:t xml:space="preserve"> </w:t>
      </w:r>
      <w:r w:rsidR="00AE7D14">
        <w:t xml:space="preserve">There are </w:t>
      </w:r>
      <w:r w:rsidR="002933E5">
        <w:t>several</w:t>
      </w:r>
      <w:r w:rsidR="00AE7D14">
        <w:t xml:space="preserve"> options of how to proceed</w:t>
      </w:r>
      <w:r w:rsidR="002933E5">
        <w:t xml:space="preserve"> in a rational manner</w:t>
      </w:r>
      <w:r w:rsidR="00AE7D14">
        <w:t xml:space="preserve"> that are beyond the scope of this work.</w:t>
      </w:r>
      <w:r w:rsidR="00A2047A">
        <w:fldChar w:fldCharType="begin"/>
      </w:r>
      <w:r w:rsidR="00A2047A">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A2047A">
        <w:fldChar w:fldCharType="separate"/>
      </w:r>
      <w:r w:rsidR="00A2047A" w:rsidRPr="00A2047A">
        <w:rPr>
          <w:szCs w:val="24"/>
          <w:vertAlign w:val="superscript"/>
        </w:rPr>
        <w:t>20</w:t>
      </w:r>
      <w:r w:rsidR="00A2047A">
        <w:fldChar w:fldCharType="end"/>
      </w:r>
      <w:r>
        <w:t xml:space="preserve"> </w:t>
      </w:r>
      <w:r w:rsidR="008D509C">
        <w:t>Once</w:t>
      </w:r>
      <w:r w:rsidR="002933E5">
        <w:t xml:space="preserve"> can </w:t>
      </w:r>
      <w:r w:rsidR="00DA4679">
        <w:t xml:space="preserve">try to </w:t>
      </w:r>
      <w:r w:rsidR="002933E5">
        <w:t xml:space="preserve">find the best experimental design ensuring the highest informativeness of a set of additional experiments. Since our model provides a prior information for subsequent analysis this prior information can be utilized for that purpose to decrease the required number of 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p>
    <w:p w14:paraId="26A5FAB6" w14:textId="1C8A145D" w:rsidR="00DA4679" w:rsidRDefault="00DA4679" w:rsidP="00DA4679">
      <w:r>
        <w:t xml:space="preserve">The proposed model is complex but there are </w:t>
      </w:r>
      <w:r w:rsidR="007D7C0E">
        <w:t xml:space="preserve">still </w:t>
      </w:r>
      <w:r>
        <w:t xml:space="preserve">some uncounted complexities present (e.g. temperature effects for the effects of dissociation or </w:t>
      </w:r>
      <w:proofErr w:type="spellStart"/>
      <w:r>
        <w:t>pK</w:t>
      </w:r>
      <w:r w:rsidRPr="002933E5">
        <w:rPr>
          <w:vertAlign w:val="subscript"/>
        </w:rPr>
        <w:t>a</w:t>
      </w:r>
      <w:proofErr w:type="spellEnd"/>
      <w:r>
        <w:t xml:space="preserve">, BAV for S2 and </w:t>
      </w:r>
      <w:proofErr w:type="spellStart"/>
      <w:r>
        <w:t>apH</w:t>
      </w:r>
      <w:proofErr w:type="spellEnd"/>
      <w:r>
        <w:t>, etc.). Specifically, the S2 parameter was assumed similar across columns. This is a strong assumptions, but justified by the fact that any small change of S2 can be equally well accounted for by changes in S1. We also encountered several technical difficulties during the model building process that required some simplifications to run the MCMC without problems, e.g. excluding analytes with more than 2 dissociations steps.</w:t>
      </w:r>
      <w:r w:rsidR="008D509C">
        <w:t xml:space="preserve"> Regardless of the assumption this model provides an interesting alternative to other methods used to compare stationary phases.  </w:t>
      </w:r>
    </w:p>
    <w:p w14:paraId="488FE598" w14:textId="70620B41" w:rsidR="00DA4679" w:rsidRDefault="00DA4679" w:rsidP="00DA4679">
      <w:r>
        <w:t xml:space="preserve">The column effect were incorporated in out model as fixed effects. It is also possible to include </w:t>
      </w:r>
      <w:r w:rsidR="008D509C">
        <w:t>than</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p>
    <w:p w14:paraId="4FE42747" w14:textId="23651DE1" w:rsidR="00DA4679" w:rsidRDefault="003C250B" w:rsidP="00DA4679">
      <w:r>
        <w:t>Our</w:t>
      </w:r>
      <w:r w:rsidR="00DA4679">
        <w:t xml:space="preserve"> results </w:t>
      </w:r>
      <w:r>
        <w:t>confirm</w:t>
      </w:r>
      <w:r w:rsidR="00DA4679">
        <w:t xml:space="preserve"> that it is rather hopeless to predict analyte retention precisely without a set of preliminary chromatographic measurements. Even having access to the </w:t>
      </w:r>
      <w:r w:rsidR="00DA4679">
        <w:lastRenderedPageBreak/>
        <w:t xml:space="preserve">extensive data collected for one column, the retention </w:t>
      </w:r>
      <w:r>
        <w:t>factor</w:t>
      </w:r>
      <w:r w:rsidR="00DA4679">
        <w:t xml:space="preserve"> can be predicted with ~25% precisions for the most optimistic scenario of a neutral compound. It might by sufficient for some </w:t>
      </w:r>
      <w:r>
        <w:t>simple problems encountered in practice</w:t>
      </w:r>
      <w:r w:rsidR="008D509C">
        <w:t>, but is not sufficient for problems involving analytes of different acidi</w:t>
      </w:r>
      <w:r w:rsidR="00871273">
        <w:t>c</w:t>
      </w:r>
      <w:r w:rsidR="008D509C">
        <w:t>/basic characteristics</w:t>
      </w:r>
      <w:r w:rsidR="00871273">
        <w:t>.</w:t>
      </w:r>
    </w:p>
    <w:p w14:paraId="7803117E" w14:textId="77777777" w:rsidR="001A093C" w:rsidRDefault="001A093C" w:rsidP="00463CEB"/>
    <w:p w14:paraId="28C30DC7" w14:textId="78B7C23F" w:rsidR="001A093C" w:rsidRPr="00AF079C" w:rsidRDefault="0073794A" w:rsidP="001A093C">
      <w:pPr>
        <w:pStyle w:val="TAMainText"/>
      </w:pPr>
      <w:r>
        <w:rPr>
          <w:noProof/>
        </w:rPr>
        <w:drawing>
          <wp:inline distT="0" distB="0" distL="0" distR="0" wp14:anchorId="3CA3E206" wp14:editId="33DC6023">
            <wp:extent cx="3044825" cy="3803650"/>
            <wp:effectExtent l="0" t="0" r="3175" b="635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7DF09D32"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estimated parameters can be used to solve various decision problems. The proposed method provides a tool allowing for a very comprehensive assessment of stationary phase properties.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xml:space="preserve">. Individual </w:t>
      </w:r>
      <w:r w:rsidRPr="00C47C14">
        <w:rPr>
          <w:b w:val="0"/>
          <w:bCs w:val="0"/>
          <w:kern w:val="20"/>
          <w:sz w:val="18"/>
        </w:rPr>
        <w:t>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15A8F087" w14:textId="77777777" w:rsidR="00A2047A" w:rsidRPr="00A2047A" w:rsidRDefault="00681A67" w:rsidP="00A2047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2047A" w:rsidRPr="00A2047A">
        <w:t>(1)</w:t>
      </w:r>
      <w:r w:rsidR="00A2047A" w:rsidRPr="00A2047A">
        <w:tab/>
        <w:t xml:space="preserve">Žuvela, P.; Skoczylas, M.; Jay Liu, J.; Ba̧czek, T.; Kaliszan, R.; Wong, M. W.; Buszewski, B. Column Characterization and Selection Systems in Reversed-Phase High-Performance Liquid Chromatography. </w:t>
      </w:r>
      <w:r w:rsidR="00A2047A" w:rsidRPr="00A2047A">
        <w:rPr>
          <w:i/>
          <w:iCs/>
        </w:rPr>
        <w:t>Chem. Rev.</w:t>
      </w:r>
      <w:r w:rsidR="00A2047A" w:rsidRPr="00A2047A">
        <w:t xml:space="preserve"> </w:t>
      </w:r>
      <w:r w:rsidR="00A2047A" w:rsidRPr="00A2047A">
        <w:rPr>
          <w:b/>
          <w:bCs/>
        </w:rPr>
        <w:t>2019</w:t>
      </w:r>
      <w:r w:rsidR="00A2047A" w:rsidRPr="00A2047A">
        <w:t xml:space="preserve">, </w:t>
      </w:r>
      <w:r w:rsidR="00A2047A" w:rsidRPr="00A2047A">
        <w:rPr>
          <w:i/>
          <w:iCs/>
        </w:rPr>
        <w:t>119</w:t>
      </w:r>
      <w:r w:rsidR="00A2047A" w:rsidRPr="00A2047A">
        <w:t xml:space="preserve"> (6), 3674–3729. https://doi.org/10.1021/acs.chemrev.8b00246.</w:t>
      </w:r>
    </w:p>
    <w:p w14:paraId="0D20226B" w14:textId="77777777" w:rsidR="00A2047A" w:rsidRPr="00A2047A" w:rsidRDefault="00A2047A" w:rsidP="00A2047A">
      <w:pPr>
        <w:pStyle w:val="Bibliografia"/>
      </w:pPr>
      <w:r w:rsidRPr="00A2047A">
        <w:t>(2)</w:t>
      </w:r>
      <w:r w:rsidRPr="00A2047A">
        <w:tab/>
        <w:t xml:space="preserve">Gritti, F.; Guiochon, G. Adsorption Mechanism in RPLC. Effect of the Nature of the Organic Modifier. </w:t>
      </w:r>
      <w:r w:rsidRPr="00A2047A">
        <w:rPr>
          <w:i/>
          <w:iCs/>
        </w:rPr>
        <w:t>Anal Chem</w:t>
      </w:r>
      <w:r w:rsidRPr="00A2047A">
        <w:t xml:space="preserve"> </w:t>
      </w:r>
      <w:r w:rsidRPr="00A2047A">
        <w:rPr>
          <w:b/>
          <w:bCs/>
        </w:rPr>
        <w:t>2005</w:t>
      </w:r>
      <w:r w:rsidRPr="00A2047A">
        <w:t xml:space="preserve">, </w:t>
      </w:r>
      <w:r w:rsidRPr="00A2047A">
        <w:rPr>
          <w:i/>
          <w:iCs/>
        </w:rPr>
        <w:t>77</w:t>
      </w:r>
      <w:r w:rsidRPr="00A2047A">
        <w:t xml:space="preserve"> (13), 4257–4272. https://doi.org/10.1021/ac0580058.</w:t>
      </w:r>
    </w:p>
    <w:p w14:paraId="24D51F44" w14:textId="77777777" w:rsidR="00A2047A" w:rsidRPr="00A2047A" w:rsidRDefault="00A2047A" w:rsidP="00A2047A">
      <w:pPr>
        <w:pStyle w:val="Bibliografia"/>
      </w:pPr>
      <w:r w:rsidRPr="00A2047A">
        <w:t>(3)</w:t>
      </w:r>
      <w:r w:rsidRPr="00A2047A">
        <w:tab/>
        <w:t xml:space="preserve">Gritti, F. Perspective on the Future Approaches to Predict Retention in Liquid Chromatography. </w:t>
      </w:r>
      <w:r w:rsidRPr="00A2047A">
        <w:rPr>
          <w:i/>
          <w:iCs/>
        </w:rPr>
        <w:t>Anal. Chem.</w:t>
      </w:r>
      <w:r w:rsidRPr="00A2047A">
        <w:t xml:space="preserve"> </w:t>
      </w:r>
      <w:r w:rsidRPr="00A2047A">
        <w:rPr>
          <w:b/>
          <w:bCs/>
        </w:rPr>
        <w:t>2021</w:t>
      </w:r>
      <w:r w:rsidRPr="00A2047A">
        <w:t xml:space="preserve">, </w:t>
      </w:r>
      <w:r w:rsidRPr="00A2047A">
        <w:rPr>
          <w:i/>
          <w:iCs/>
        </w:rPr>
        <w:t>93</w:t>
      </w:r>
      <w:r w:rsidRPr="00A2047A">
        <w:t xml:space="preserve"> (14), 5653–5664. https://doi.org/10.1021/acs.analchem.0c05078.</w:t>
      </w:r>
    </w:p>
    <w:p w14:paraId="1F1D369E" w14:textId="77777777" w:rsidR="00A2047A" w:rsidRPr="00A2047A" w:rsidRDefault="00A2047A" w:rsidP="00A2047A">
      <w:pPr>
        <w:pStyle w:val="Bibliografia"/>
      </w:pPr>
      <w:r w:rsidRPr="00A2047A">
        <w:t>(4)</w:t>
      </w:r>
      <w:r w:rsidRPr="00A2047A">
        <w:tab/>
        <w:t xml:space="preserve">Kamedulska, A.; Kubik, Ł.; Jacyna, J.; Struck-Lewicka, W.; Markuszewski, M. J.; Wiczling, P. Toward the General Mechanistic Model of Liquid Chromatographic Retention. </w:t>
      </w:r>
      <w:r w:rsidRPr="00A2047A">
        <w:rPr>
          <w:i/>
          <w:iCs/>
        </w:rPr>
        <w:t>Anal. Chem.</w:t>
      </w:r>
      <w:r w:rsidRPr="00A2047A">
        <w:t xml:space="preserve"> </w:t>
      </w:r>
      <w:r w:rsidRPr="00A2047A">
        <w:rPr>
          <w:b/>
          <w:bCs/>
        </w:rPr>
        <w:t>2022</w:t>
      </w:r>
      <w:r w:rsidRPr="00A2047A">
        <w:t xml:space="preserve">, </w:t>
      </w:r>
      <w:r w:rsidRPr="00A2047A">
        <w:rPr>
          <w:i/>
          <w:iCs/>
        </w:rPr>
        <w:t>94</w:t>
      </w:r>
      <w:r w:rsidRPr="00A2047A">
        <w:t xml:space="preserve"> (31), 11070–11080. https://doi.org/10.1021/acs.analchem.2c02034.</w:t>
      </w:r>
    </w:p>
    <w:p w14:paraId="3EC506BE" w14:textId="77777777" w:rsidR="00A2047A" w:rsidRPr="00A2047A" w:rsidRDefault="00A2047A" w:rsidP="00A2047A">
      <w:pPr>
        <w:pStyle w:val="Bibliografia"/>
      </w:pPr>
      <w:r w:rsidRPr="00A2047A">
        <w:t>(5)</w:t>
      </w:r>
      <w:r w:rsidRPr="00A2047A">
        <w:tab/>
        <w:t xml:space="preserve">Kamedulska, A.; Kubik, Ł.; Wiczling, P. Statistical Analysis of Isocratic Chromatographic Data Using Bayesian Modeling. </w:t>
      </w:r>
      <w:r w:rsidRPr="00A2047A">
        <w:rPr>
          <w:i/>
          <w:iCs/>
        </w:rPr>
        <w:t>Anal Bioanal Chem</w:t>
      </w:r>
      <w:r w:rsidRPr="00A2047A">
        <w:t xml:space="preserve"> </w:t>
      </w:r>
      <w:r w:rsidRPr="00A2047A">
        <w:rPr>
          <w:b/>
          <w:bCs/>
        </w:rPr>
        <w:t>2022</w:t>
      </w:r>
      <w:r w:rsidRPr="00A2047A">
        <w:t xml:space="preserve">, </w:t>
      </w:r>
      <w:r w:rsidRPr="00A2047A">
        <w:rPr>
          <w:i/>
          <w:iCs/>
        </w:rPr>
        <w:t>414</w:t>
      </w:r>
      <w:r w:rsidRPr="00A2047A">
        <w:t xml:space="preserve"> (11), 3471–3481. https://doi.org/10.1007/s00216-022-03968-x.</w:t>
      </w:r>
    </w:p>
    <w:p w14:paraId="27A07B78" w14:textId="77777777" w:rsidR="00A2047A" w:rsidRPr="00A2047A" w:rsidRDefault="00A2047A" w:rsidP="00A2047A">
      <w:pPr>
        <w:pStyle w:val="Bibliografia"/>
      </w:pPr>
      <w:r w:rsidRPr="00A2047A">
        <w:t>(6)</w:t>
      </w:r>
      <w:r w:rsidRPr="00A2047A">
        <w:tab/>
        <w:t xml:space="preserve">Wiczling, P.; Kamedulska, A.; Kubik, L. Application of Bayesian Multilevel Modeling in the Quantitative Structure-Retention Relationship Studies of Heterogeneous Compounds. </w:t>
      </w:r>
      <w:r w:rsidRPr="00A2047A">
        <w:rPr>
          <w:i/>
          <w:iCs/>
        </w:rPr>
        <w:t>ANALYTICAL CHEMISTRY</w:t>
      </w:r>
      <w:r w:rsidRPr="00A2047A">
        <w:t xml:space="preserve">, 2021, </w:t>
      </w:r>
      <w:r w:rsidRPr="00A2047A">
        <w:rPr>
          <w:i/>
          <w:iCs/>
        </w:rPr>
        <w:t>93</w:t>
      </w:r>
      <w:r w:rsidRPr="00A2047A">
        <w:t>, 6961–6971. https://doi.org/10.1021/acs.analchem.0c05227.</w:t>
      </w:r>
    </w:p>
    <w:p w14:paraId="52AD7945" w14:textId="77777777" w:rsidR="00A2047A" w:rsidRPr="00A2047A" w:rsidRDefault="00A2047A" w:rsidP="00A2047A">
      <w:pPr>
        <w:pStyle w:val="Bibliografia"/>
      </w:pPr>
      <w:r w:rsidRPr="00A2047A">
        <w:t>(7)</w:t>
      </w:r>
      <w:r w:rsidRPr="00A2047A">
        <w:tab/>
        <w:t xml:space="preserve">Wiczling, P. Analyzing Chromatographic Data Using Multilevel Modeling. </w:t>
      </w:r>
      <w:r w:rsidRPr="00A2047A">
        <w:rPr>
          <w:i/>
          <w:iCs/>
        </w:rPr>
        <w:t>ANALYTICAL AND BIOANALYTICAL CHEMISTRY</w:t>
      </w:r>
      <w:r w:rsidRPr="00A2047A">
        <w:t xml:space="preserve">, 2018, </w:t>
      </w:r>
      <w:r w:rsidRPr="00A2047A">
        <w:rPr>
          <w:i/>
          <w:iCs/>
        </w:rPr>
        <w:t>410</w:t>
      </w:r>
      <w:r w:rsidRPr="00A2047A">
        <w:t>, 3905–3915. https://doi.org/10.1007/s00216-018-1061-3.</w:t>
      </w:r>
    </w:p>
    <w:p w14:paraId="64121B44" w14:textId="77777777" w:rsidR="00A2047A" w:rsidRPr="00A2047A" w:rsidRDefault="00A2047A" w:rsidP="00A2047A">
      <w:pPr>
        <w:pStyle w:val="Bibliografia"/>
      </w:pPr>
      <w:r w:rsidRPr="00A2047A">
        <w:t>(8)</w:t>
      </w:r>
      <w:r w:rsidRPr="00A2047A">
        <w:tab/>
        <w:t xml:space="preserve">Haider, N. Functionality Pattern Matching as an Efficient Complementary Structure/Reaction Search Tool: An Open-Source Approach. </w:t>
      </w:r>
      <w:r w:rsidRPr="00A2047A">
        <w:rPr>
          <w:i/>
          <w:iCs/>
        </w:rPr>
        <w:t>Molecules</w:t>
      </w:r>
      <w:r w:rsidRPr="00A2047A">
        <w:t xml:space="preserve"> </w:t>
      </w:r>
      <w:r w:rsidRPr="00A2047A">
        <w:rPr>
          <w:b/>
          <w:bCs/>
        </w:rPr>
        <w:t>2010</w:t>
      </w:r>
      <w:r w:rsidRPr="00A2047A">
        <w:t xml:space="preserve">, </w:t>
      </w:r>
      <w:r w:rsidRPr="00A2047A">
        <w:rPr>
          <w:i/>
          <w:iCs/>
        </w:rPr>
        <w:t>15</w:t>
      </w:r>
      <w:r w:rsidRPr="00A2047A">
        <w:t xml:space="preserve"> (8), 5079–5092. https://doi.org/10.3390/molecules15085079.</w:t>
      </w:r>
    </w:p>
    <w:p w14:paraId="25ACD952" w14:textId="77777777" w:rsidR="00A2047A" w:rsidRPr="00A2047A" w:rsidRDefault="00A2047A" w:rsidP="00A2047A">
      <w:pPr>
        <w:pStyle w:val="Bibliografia"/>
      </w:pPr>
      <w:r w:rsidRPr="00A2047A">
        <w:lastRenderedPageBreak/>
        <w:t>(9)</w:t>
      </w:r>
      <w:r w:rsidRPr="00A2047A">
        <w:tab/>
        <w:t xml:space="preserve">ACD/Labs. </w:t>
      </w:r>
      <w:r w:rsidRPr="00A2047A">
        <w:rPr>
          <w:i/>
          <w:iCs/>
        </w:rPr>
        <w:t>Release 12.0</w:t>
      </w:r>
      <w:r w:rsidRPr="00A2047A">
        <w:t>; Advanced Chemistry Development Inc.: Toronto, ON, Canada, www.acdlabs.com, 2022., 2011.</w:t>
      </w:r>
    </w:p>
    <w:p w14:paraId="7319DB8E" w14:textId="77777777" w:rsidR="00A2047A" w:rsidRPr="00A2047A" w:rsidRDefault="00A2047A" w:rsidP="00A2047A">
      <w:pPr>
        <w:pStyle w:val="Bibliografia"/>
      </w:pPr>
      <w:r w:rsidRPr="00A2047A">
        <w:t>(10)</w:t>
      </w:r>
      <w:r w:rsidRPr="00A2047A">
        <w:tab/>
        <w:t xml:space="preserve">Nikitas, P.; Pappa-Louisi, A. New Equations Describing the Combined Effect of PH and Organic Modifier Concentration on the Retention in Reversed-Phase Liquid Chromatography. </w:t>
      </w:r>
      <w:r w:rsidRPr="00A2047A">
        <w:rPr>
          <w:i/>
          <w:iCs/>
        </w:rPr>
        <w:t>J Chromatogr A</w:t>
      </w:r>
      <w:r w:rsidRPr="00A2047A">
        <w:t xml:space="preserve"> </w:t>
      </w:r>
      <w:r w:rsidRPr="00A2047A">
        <w:rPr>
          <w:b/>
          <w:bCs/>
        </w:rPr>
        <w:t>2002</w:t>
      </w:r>
      <w:r w:rsidRPr="00A2047A">
        <w:t xml:space="preserve">, </w:t>
      </w:r>
      <w:r w:rsidRPr="00A2047A">
        <w:rPr>
          <w:i/>
          <w:iCs/>
        </w:rPr>
        <w:t>971</w:t>
      </w:r>
      <w:r w:rsidRPr="00A2047A">
        <w:t xml:space="preserve"> (1–2), 47–60. https://doi.org/10.1016/s0021-9673(02)00965-2.</w:t>
      </w:r>
    </w:p>
    <w:p w14:paraId="4208BC57" w14:textId="77777777" w:rsidR="00A2047A" w:rsidRPr="00A2047A" w:rsidRDefault="00A2047A" w:rsidP="00A2047A">
      <w:pPr>
        <w:pStyle w:val="Bibliografia"/>
      </w:pPr>
      <w:r w:rsidRPr="00A2047A">
        <w:t>(11)</w:t>
      </w:r>
      <w:r w:rsidRPr="00A2047A">
        <w:tab/>
        <w:t xml:space="preserve">Nikitas, P.; Pappa-Louisi, A. Retention Models for Isocratic and Gradient Elution in Reversed-Phase Liquid Chromatography. </w:t>
      </w:r>
      <w:r w:rsidRPr="00A2047A">
        <w:rPr>
          <w:i/>
          <w:iCs/>
        </w:rPr>
        <w:t>Journal of Chromatography A</w:t>
      </w:r>
      <w:r w:rsidRPr="00A2047A">
        <w:t xml:space="preserve"> </w:t>
      </w:r>
      <w:r w:rsidRPr="00A2047A">
        <w:rPr>
          <w:b/>
          <w:bCs/>
        </w:rPr>
        <w:t>2009</w:t>
      </w:r>
      <w:r w:rsidRPr="00A2047A">
        <w:t xml:space="preserve">, </w:t>
      </w:r>
      <w:r w:rsidRPr="00A2047A">
        <w:rPr>
          <w:i/>
          <w:iCs/>
        </w:rPr>
        <w:t>1216</w:t>
      </w:r>
      <w:r w:rsidRPr="00A2047A">
        <w:t xml:space="preserve"> (10), 1737–1755. https://doi.org/10.1016/j.chroma.2008.09.051.</w:t>
      </w:r>
    </w:p>
    <w:p w14:paraId="642E22DB" w14:textId="77777777" w:rsidR="00A2047A" w:rsidRPr="00A2047A" w:rsidRDefault="00A2047A" w:rsidP="00A2047A">
      <w:pPr>
        <w:pStyle w:val="Bibliografia"/>
      </w:pPr>
      <w:r w:rsidRPr="00A2047A">
        <w:t>(12)</w:t>
      </w:r>
      <w:r w:rsidRPr="00A2047A">
        <w:tab/>
        <w:t xml:space="preserve">Jano, I.; Hardcastle, J. E.; Zhao, K.; Vermillion-Salsbury, R. General Equation for Calculating the Dissociation Constants of Polyprotic Acids and Bases from Measured Retention Factors in High-Performance Liquid Chromatography. </w:t>
      </w:r>
      <w:r w:rsidRPr="00A2047A">
        <w:rPr>
          <w:i/>
          <w:iCs/>
        </w:rPr>
        <w:t>J Chromatogr A</w:t>
      </w:r>
      <w:r w:rsidRPr="00A2047A">
        <w:t xml:space="preserve"> </w:t>
      </w:r>
      <w:r w:rsidRPr="00A2047A">
        <w:rPr>
          <w:b/>
          <w:bCs/>
        </w:rPr>
        <w:t>1997</w:t>
      </w:r>
      <w:r w:rsidRPr="00A2047A">
        <w:t xml:space="preserve">, </w:t>
      </w:r>
      <w:r w:rsidRPr="00A2047A">
        <w:rPr>
          <w:i/>
          <w:iCs/>
        </w:rPr>
        <w:t>762</w:t>
      </w:r>
      <w:r w:rsidRPr="00A2047A">
        <w:t xml:space="preserve"> (1–2), 63–72. https://doi.org/10.1016/s0021-9673(96)00739-x.</w:t>
      </w:r>
    </w:p>
    <w:p w14:paraId="58FC0FD0" w14:textId="77777777" w:rsidR="00A2047A" w:rsidRPr="00A2047A" w:rsidRDefault="00A2047A" w:rsidP="00A2047A">
      <w:pPr>
        <w:pStyle w:val="Bibliografia"/>
      </w:pPr>
      <w:r w:rsidRPr="00A2047A">
        <w:t>(13)</w:t>
      </w:r>
      <w:r w:rsidRPr="00A2047A">
        <w:tab/>
      </w:r>
      <w:r w:rsidRPr="00A2047A">
        <w:rPr>
          <w:i/>
          <w:iCs/>
        </w:rPr>
        <w:t>Stan Development Team. YEAR. Stan Modeling Language Users Guide and Reference Manual, VERSION. https://mc-stan.org</w:t>
      </w:r>
      <w:r w:rsidRPr="00A2047A">
        <w:t>. stan-dev.github.io. //mc-stan.org/users/citations/ (accessed 2022-01-18).</w:t>
      </w:r>
    </w:p>
    <w:p w14:paraId="58F779C0" w14:textId="77777777" w:rsidR="00A2047A" w:rsidRPr="00A2047A" w:rsidRDefault="00A2047A" w:rsidP="00A2047A">
      <w:pPr>
        <w:pStyle w:val="Bibliografia"/>
      </w:pPr>
      <w:r w:rsidRPr="00A2047A">
        <w:t>(14)</w:t>
      </w:r>
      <w:r w:rsidRPr="00A2047A">
        <w:tab/>
        <w:t xml:space="preserve">RStudio Team. </w:t>
      </w:r>
      <w:r w:rsidRPr="00A2047A">
        <w:rPr>
          <w:i/>
          <w:iCs/>
        </w:rPr>
        <w:t>RStudio: Integrated Development Environment for R</w:t>
      </w:r>
      <w:r w:rsidRPr="00A2047A">
        <w:t>; RStudio, PBC.: Boston, MA, 2020.</w:t>
      </w:r>
    </w:p>
    <w:p w14:paraId="290696C3" w14:textId="77777777" w:rsidR="00A2047A" w:rsidRPr="00A2047A" w:rsidRDefault="00A2047A" w:rsidP="00A2047A">
      <w:pPr>
        <w:pStyle w:val="Bibliografia"/>
      </w:pPr>
      <w:r w:rsidRPr="00A2047A">
        <w:t>(15)</w:t>
      </w:r>
      <w:r w:rsidRPr="00A2047A">
        <w:tab/>
        <w:t xml:space="preserve">Kubik, Ł.; Jacyna, J.; Struck-Lewicka, W.; Markuszewski, M. J.; Wiczling, P. LC-TOF-MS Data Collected for 300 </w:t>
      </w:r>
      <w:r w:rsidRPr="00A2047A">
        <w:t xml:space="preserve">Small Molecules. XBridge Shield RP18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https://doi.org/10.17605/OSF.IO/ZQTJ7.</w:t>
      </w:r>
    </w:p>
    <w:p w14:paraId="7CD292C6" w14:textId="77777777" w:rsidR="00A2047A" w:rsidRPr="00A2047A" w:rsidRDefault="00A2047A" w:rsidP="00A2047A">
      <w:pPr>
        <w:pStyle w:val="Bibliografia"/>
      </w:pPr>
      <w:r w:rsidRPr="00A2047A">
        <w:t>(16)</w:t>
      </w:r>
      <w:r w:rsidRPr="00A2047A">
        <w:tab/>
        <w:t xml:space="preserve">Kubik, Ł.; Jacyna, J.; Struck-Lewicka, W.; Markuszewski, M. J.; Wiczling, P. LC-TOF-MS Data Collected for 300 Small Molecules. XTerra MS C18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https://doi.org/10.17605/OSF.IO/QBV7J.</w:t>
      </w:r>
    </w:p>
    <w:p w14:paraId="3555B143" w14:textId="77777777" w:rsidR="00A2047A" w:rsidRPr="00A2047A" w:rsidRDefault="00A2047A" w:rsidP="00A2047A">
      <w:pPr>
        <w:pStyle w:val="Bibliografia"/>
      </w:pPr>
      <w:r w:rsidRPr="00A2047A">
        <w:t>(17)</w:t>
      </w:r>
      <w:r w:rsidRPr="00A2047A">
        <w:tab/>
        <w:t xml:space="preserve">Kubik, Ł.; Jacyna, J.; Struck-Lewicka, W.; Markuszewski, M. J.; Wiczling, P. LC-TOF-MS Data Collected for 300 Small Molecules. XTerra-C8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https://doi.org/10.17605/OSF.IO/2MCNW.</w:t>
      </w:r>
    </w:p>
    <w:p w14:paraId="337E3095" w14:textId="77777777" w:rsidR="00A2047A" w:rsidRPr="00A2047A" w:rsidRDefault="00A2047A" w:rsidP="00A2047A">
      <w:pPr>
        <w:pStyle w:val="Bibliografia"/>
      </w:pPr>
      <w:r w:rsidRPr="00A2047A">
        <w:t>(18)</w:t>
      </w:r>
      <w:r w:rsidRPr="00A2047A">
        <w:tab/>
        <w:t xml:space="preserve">Kubik, Ł.; Jacyna, J.; Struck-Lewicka, W.; Markuszewski, M. J.; Wiczling, P. LC-TOF-MS Data Collected for 300 Small Molecules. XBridge Phenyl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https://doi.org/10.17605/OSF.IO/EVUJ9.</w:t>
      </w:r>
    </w:p>
    <w:p w14:paraId="0B1A846C" w14:textId="77777777" w:rsidR="00A2047A" w:rsidRPr="00A2047A" w:rsidRDefault="00A2047A" w:rsidP="00A2047A">
      <w:pPr>
        <w:pStyle w:val="Bibliografia"/>
      </w:pPr>
      <w:r w:rsidRPr="00A2047A">
        <w:t>(19)</w:t>
      </w:r>
      <w:r w:rsidRPr="00A2047A">
        <w:tab/>
        <w:t xml:space="preserve">Kubik, Ł.; Jacyna, J.; Struck-Lewicka, W.; Markuszewski, M. J.; Wiczling, P. LC-TOF-MS Data Collected for 300 Small Molecules. XBridge-C8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https://doi.org/10.17605/OSF.IO/Y6S8P.</w:t>
      </w:r>
    </w:p>
    <w:p w14:paraId="1356D0DE" w14:textId="77777777" w:rsidR="00A2047A" w:rsidRPr="00A2047A" w:rsidRDefault="00A2047A" w:rsidP="00A2047A">
      <w:pPr>
        <w:pStyle w:val="Bibliografia"/>
      </w:pPr>
      <w:r w:rsidRPr="00A2047A">
        <w:t>(20)</w:t>
      </w:r>
      <w:r w:rsidRPr="00A2047A">
        <w:tab/>
        <w:t xml:space="preserve">Wiczling, P. Evaluation of Sequential Bayesian-Based Method Development Procedures for Chromatographic Problems Involving One, Two, and Three Analytes. </w:t>
      </w:r>
      <w:r w:rsidRPr="00A2047A">
        <w:rPr>
          <w:i/>
          <w:iCs/>
        </w:rPr>
        <w:t>SEPARATION SCIENCE PLUS</w:t>
      </w:r>
      <w:r w:rsidRPr="00A2047A">
        <w:t xml:space="preserve">, 2018, </w:t>
      </w:r>
      <w:r w:rsidRPr="00A2047A">
        <w:rPr>
          <w:i/>
          <w:iCs/>
        </w:rPr>
        <w:t>1</w:t>
      </w:r>
      <w:r w:rsidRPr="00A2047A">
        <w:t>, 63–75. https://doi.org/10.1002/sscp.201700037.</w:t>
      </w:r>
    </w:p>
    <w:p w14:paraId="4BC80072" w14:textId="0D5F2D58"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292F" w14:textId="77777777" w:rsidR="009845FF" w:rsidRDefault="009845FF" w:rsidP="006F1F34">
      <w:r>
        <w:separator/>
      </w:r>
    </w:p>
    <w:p w14:paraId="18E6D89A" w14:textId="77777777" w:rsidR="009845FF" w:rsidRDefault="009845FF"/>
    <w:p w14:paraId="6B104E54" w14:textId="77777777" w:rsidR="009845FF" w:rsidRDefault="009845FF" w:rsidP="001A093C"/>
  </w:endnote>
  <w:endnote w:type="continuationSeparator" w:id="0">
    <w:p w14:paraId="0AB964FE" w14:textId="77777777" w:rsidR="009845FF" w:rsidRDefault="009845FF" w:rsidP="006F1F34">
      <w:r>
        <w:continuationSeparator/>
      </w:r>
    </w:p>
    <w:p w14:paraId="05641102" w14:textId="77777777" w:rsidR="009845FF" w:rsidRDefault="009845FF"/>
    <w:p w14:paraId="6AED3E0F" w14:textId="77777777" w:rsidR="009845FF" w:rsidRDefault="009845FF"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9845FF"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9845FF"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9845FF" w:rsidP="006F1F34">
    <w:pPr>
      <w:pStyle w:val="Stopka"/>
    </w:pPr>
  </w:p>
  <w:p w14:paraId="0EB6940F" w14:textId="77777777" w:rsidR="001F383C" w:rsidRDefault="009845FF"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9845FF" w:rsidP="006F1F34">
    <w:pPr>
      <w:pStyle w:val="Stopka"/>
    </w:pPr>
  </w:p>
  <w:p w14:paraId="2B7B92A3" w14:textId="77777777" w:rsidR="001F383C" w:rsidRDefault="009845FF"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05EE" w14:textId="77777777" w:rsidR="009845FF" w:rsidRDefault="009845FF" w:rsidP="006F1F34">
      <w:r>
        <w:separator/>
      </w:r>
    </w:p>
    <w:p w14:paraId="3C3C2C3D" w14:textId="77777777" w:rsidR="009845FF" w:rsidRDefault="009845FF"/>
    <w:p w14:paraId="6B7A0383" w14:textId="77777777" w:rsidR="009845FF" w:rsidRDefault="009845FF" w:rsidP="001A093C"/>
  </w:footnote>
  <w:footnote w:type="continuationSeparator" w:id="0">
    <w:p w14:paraId="011A5F11" w14:textId="77777777" w:rsidR="009845FF" w:rsidRDefault="009845FF" w:rsidP="006F1F34">
      <w:r>
        <w:continuationSeparator/>
      </w:r>
    </w:p>
    <w:p w14:paraId="6BBDC738" w14:textId="77777777" w:rsidR="009845FF" w:rsidRDefault="009845FF"/>
    <w:p w14:paraId="6A90AA73" w14:textId="77777777" w:rsidR="009845FF" w:rsidRDefault="009845FF"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9845FF"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927BB"/>
    <w:rsid w:val="00093166"/>
    <w:rsid w:val="00094A15"/>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08A"/>
    <w:rsid w:val="002A3AAD"/>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7D7A"/>
    <w:rsid w:val="00384D2E"/>
    <w:rsid w:val="003936B1"/>
    <w:rsid w:val="003A2C68"/>
    <w:rsid w:val="003C250B"/>
    <w:rsid w:val="003D3D9A"/>
    <w:rsid w:val="003E4501"/>
    <w:rsid w:val="003E5361"/>
    <w:rsid w:val="003E5B4E"/>
    <w:rsid w:val="00402BC0"/>
    <w:rsid w:val="00402FF4"/>
    <w:rsid w:val="0040478C"/>
    <w:rsid w:val="00410C59"/>
    <w:rsid w:val="00411B27"/>
    <w:rsid w:val="00413AAC"/>
    <w:rsid w:val="0042715D"/>
    <w:rsid w:val="00431F86"/>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62064"/>
    <w:rsid w:val="008677E5"/>
    <w:rsid w:val="00871273"/>
    <w:rsid w:val="0087420D"/>
    <w:rsid w:val="00881669"/>
    <w:rsid w:val="008856E3"/>
    <w:rsid w:val="008B3F31"/>
    <w:rsid w:val="008B5CAC"/>
    <w:rsid w:val="008B749B"/>
    <w:rsid w:val="008C5307"/>
    <w:rsid w:val="008D509C"/>
    <w:rsid w:val="008E0518"/>
    <w:rsid w:val="008E26C3"/>
    <w:rsid w:val="008E5947"/>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E7D14"/>
    <w:rsid w:val="00AF1DF4"/>
    <w:rsid w:val="00AF22DD"/>
    <w:rsid w:val="00AF5FF7"/>
    <w:rsid w:val="00AF71C7"/>
    <w:rsid w:val="00AF74A3"/>
    <w:rsid w:val="00B06E86"/>
    <w:rsid w:val="00B15127"/>
    <w:rsid w:val="00B23B47"/>
    <w:rsid w:val="00B673C8"/>
    <w:rsid w:val="00B73148"/>
    <w:rsid w:val="00B76DAB"/>
    <w:rsid w:val="00B83009"/>
    <w:rsid w:val="00B91851"/>
    <w:rsid w:val="00BA74D7"/>
    <w:rsid w:val="00BB4B46"/>
    <w:rsid w:val="00BB6295"/>
    <w:rsid w:val="00BD2B31"/>
    <w:rsid w:val="00BE41B9"/>
    <w:rsid w:val="00BF045D"/>
    <w:rsid w:val="00BF194C"/>
    <w:rsid w:val="00C26B67"/>
    <w:rsid w:val="00C33E70"/>
    <w:rsid w:val="00C3623F"/>
    <w:rsid w:val="00C363AC"/>
    <w:rsid w:val="00C4733B"/>
    <w:rsid w:val="00C47C14"/>
    <w:rsid w:val="00C51848"/>
    <w:rsid w:val="00C64622"/>
    <w:rsid w:val="00C70BC1"/>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55E7"/>
    <w:rsid w:val="00E062E3"/>
    <w:rsid w:val="00E15B62"/>
    <w:rsid w:val="00E21943"/>
    <w:rsid w:val="00E2235F"/>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4F0C"/>
    <w:rsid w:val="00EB6340"/>
    <w:rsid w:val="00EC26A4"/>
    <w:rsid w:val="00EC37B7"/>
    <w:rsid w:val="00ED1641"/>
    <w:rsid w:val="00EE27A0"/>
    <w:rsid w:val="00EE360A"/>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5892</TotalTime>
  <Pages>7</Pages>
  <Words>11358</Words>
  <Characters>64742</Characters>
  <Application>Microsoft Office Word</Application>
  <DocSecurity>0</DocSecurity>
  <Lines>539</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196</cp:revision>
  <dcterms:created xsi:type="dcterms:W3CDTF">2023-05-26T10:37:00Z</dcterms:created>
  <dcterms:modified xsi:type="dcterms:W3CDTF">2023-09-05T12:28:00Z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id="PCOgqCxP"/&gt;&lt;style id="http://www.zotero.org/styles/american-chemical-society" hasBibliography="1" bibliographyStyleHasBeenSet="1"/&gt;&lt;prefs&gt;&lt;pref name="fieldType" value="Field"/&gt;&lt;/prefs&gt;&lt;/data&gt;</vt:lpwstr>
  </property>
</Properties>
</file>