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077F8697" w:rsidR="00681A67" w:rsidRPr="004A457B" w:rsidRDefault="00E15B62" w:rsidP="006F1F34">
      <w:pPr>
        <w:pStyle w:val="BBAuthorName"/>
        <w:rPr>
          <w:lang w:val="pl-PL"/>
        </w:rPr>
      </w:pPr>
      <w:r w:rsidRPr="004A457B">
        <w:rPr>
          <w:lang w:val="pl-PL"/>
        </w:rPr>
        <w:t>Paweł Wiczling*</w:t>
      </w:r>
      <w:r>
        <w:rPr>
          <w:lang w:val="pl-PL"/>
        </w:rPr>
        <w:t xml:space="preserve">, </w:t>
      </w:r>
      <w:r w:rsidR="00681A67" w:rsidRPr="004A457B">
        <w:rPr>
          <w:lang w:val="pl-PL"/>
        </w:rPr>
        <w:t xml:space="preserve">Agnieszka Kamedulska, Łukasz Kubik, Julia Jacyna, Wiktoria Struck-Lewicka, Michał J. Markuszewski </w:t>
      </w:r>
    </w:p>
    <w:p w14:paraId="25B72A5D" w14:textId="77777777" w:rsidR="00681A67" w:rsidRPr="004A457B" w:rsidRDefault="00681A67" w:rsidP="006F1F34">
      <w:pPr>
        <w:pStyle w:val="BCAuthorAddress"/>
      </w:pPr>
      <w:r w:rsidRPr="004A457B">
        <w:t xml:space="preserve">Department of Biopharmaceutics and Pharmacodynamics, Medical University of Gdańsk, Al. Gen. Hallera 107, 80-416 Gdańsk, Poland </w:t>
      </w:r>
    </w:p>
    <w:p w14:paraId="7EE0F2F8" w14:textId="14B1CD19"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r w:rsidR="008441E0" w:rsidRPr="008441E0">
        <w:t xml:space="preserve">XBridge Shield </w:t>
      </w:r>
      <w:r w:rsidR="00702372">
        <w:t>RP</w:t>
      </w:r>
      <w:r w:rsidR="008441E0" w:rsidRPr="008441E0">
        <w:t>18,</w:t>
      </w:r>
      <w:r w:rsidR="008441E0">
        <w:t xml:space="preserve"> </w:t>
      </w:r>
      <w:r w:rsidR="008441E0" w:rsidRPr="008441E0">
        <w:t>XTerra MS C18</w:t>
      </w:r>
      <w:r w:rsidR="008441E0">
        <w:t xml:space="preserve">, </w:t>
      </w:r>
      <w:r w:rsidR="008441E0" w:rsidRPr="008441E0">
        <w:t>XBridge Phenyl</w:t>
      </w:r>
      <w:r w:rsidR="008441E0">
        <w:t xml:space="preserve">, </w:t>
      </w:r>
      <w:r w:rsidR="008441E0" w:rsidRPr="008441E0">
        <w:t>XBridge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The experiments were conducted in a gradient mode for a</w:t>
      </w:r>
      <w:r w:rsidR="00B6759D">
        <w:t>n initial</w:t>
      </w:r>
      <w:r>
        <w:t xml:space="preserve">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 xml:space="preserve">differences in </w:t>
      </w:r>
      <w:r w:rsidR="00B6759D">
        <w:t xml:space="preserve">chromatographic parameters </w:t>
      </w:r>
      <w:r w:rsidRPr="004A457B">
        <w:t>of neutral, acid</w:t>
      </w:r>
      <w:r w:rsidR="00AC3168">
        <w:t xml:space="preserve">ic, </w:t>
      </w:r>
      <w:r w:rsidR="00507DB8">
        <w:t xml:space="preserve">and </w:t>
      </w:r>
      <w:r w:rsidRPr="004A457B">
        <w:t>basic</w:t>
      </w:r>
      <w:r w:rsidR="00822D3A">
        <w:t xml:space="preserve"> analytes.</w:t>
      </w:r>
      <w:r w:rsidRPr="004A457B">
        <w:t xml:space="preserve"> The </w:t>
      </w:r>
      <w:r w:rsidR="00BE4FC0">
        <w:t>analysis</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w:t>
      </w:r>
      <w:r w:rsidR="00BE4FC0">
        <w:t xml:space="preserve">. The proposed method </w:t>
      </w:r>
      <w:r w:rsidR="009113FD">
        <w:t>seems to be an interesting alternative to existing approaches</w:t>
      </w:r>
      <w:r w:rsidR="00B6759D">
        <w:t xml:space="preserve"> </w:t>
      </w:r>
      <w:r w:rsidR="009113FD">
        <w:t>used</w:t>
      </w:r>
      <w:r w:rsidR="00B6759D">
        <w:t xml:space="preserve"> </w:t>
      </w:r>
      <w:r w:rsidR="009113FD">
        <w:t>to</w:t>
      </w:r>
      <w:r w:rsidR="00B6759D">
        <w:t xml:space="preserve"> </w:t>
      </w:r>
      <w:r w:rsidR="009113FD">
        <w:t>compare</w:t>
      </w:r>
      <w:r w:rsidR="00B6759D">
        <w:t xml:space="preserve"> </w:t>
      </w:r>
      <w:r w:rsidR="009113FD">
        <w:t>chromatographic stationary phases.</w:t>
      </w:r>
    </w:p>
    <w:p w14:paraId="16D61559" w14:textId="66A5C4CA" w:rsidR="00681A67" w:rsidRPr="00EC5A87" w:rsidRDefault="00681A67" w:rsidP="006F1F34">
      <w:pPr>
        <w:pStyle w:val="TAMainText"/>
      </w:pPr>
      <w:r>
        <w:t>The selection</w:t>
      </w:r>
      <w:r w:rsidRPr="00EC5A87">
        <w:t xml:space="preserve"> of </w:t>
      </w:r>
      <w:r>
        <w:t xml:space="preserve">stationary phases is an important aspect </w:t>
      </w:r>
      <w:r w:rsidR="00C363AC">
        <w:t xml:space="preserve">of analytical work. </w:t>
      </w:r>
      <w:r>
        <w:t>There are</w:t>
      </w:r>
      <w:r w:rsidRPr="00EC5A87">
        <w:t xml:space="preserve"> </w:t>
      </w:r>
      <w:r>
        <w:t>n</w:t>
      </w:r>
      <w:r w:rsidRPr="00EC5A87">
        <w:t xml:space="preserve">umerous methods </w:t>
      </w:r>
      <w:r>
        <w:t>and approache</w:t>
      </w:r>
      <w:r w:rsidR="00AC3168">
        <w:t xml:space="preserve">s </w:t>
      </w:r>
      <w:r w:rsidR="00BE4FC0">
        <w:t xml:space="preserve">used to compare chromatographic stationary phases </w:t>
      </w:r>
      <w:r w:rsidR="005F7416">
        <w:t>available in literature</w:t>
      </w:r>
      <w:r w:rsidR="00BE4FC0">
        <w:t>.</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characterized using few probe analytes</w:t>
      </w:r>
      <w:r w:rsidR="0040478C">
        <w:t xml:space="preserve"> </w:t>
      </w:r>
      <w:r w:rsidR="00C26B67">
        <w:t xml:space="preserve">and </w:t>
      </w:r>
      <w:r w:rsidR="00BE4FC0">
        <w:t xml:space="preserve">a </w:t>
      </w:r>
      <w:r w:rsidR="00862064">
        <w:t>fairly</w:t>
      </w:r>
      <w:r w:rsidR="009A05DF">
        <w:t xml:space="preserve"> </w:t>
      </w:r>
      <w:r w:rsidR="0040478C">
        <w:t>limited set of chromatographic conditions</w:t>
      </w:r>
      <w:r w:rsidRPr="00EC5A87">
        <w:t>.</w:t>
      </w:r>
      <w:r w:rsidR="00BE4FC0">
        <w:t xml:space="preserve"> It limits</w:t>
      </w:r>
      <w:r w:rsidR="00C26B67">
        <w:t xml:space="preserve"> </w:t>
      </w:r>
      <w:r w:rsidR="00BE4FC0">
        <w:t xml:space="preserve">the practical </w:t>
      </w:r>
      <w:r w:rsidR="00C26B67">
        <w:t xml:space="preserve">usefulness </w:t>
      </w:r>
      <w:r w:rsidR="00BE4FC0">
        <w:t xml:space="preserve">of these methods </w:t>
      </w:r>
      <w:r w:rsidR="00C26B67">
        <w:t>in extrapolating results to other analytes and</w:t>
      </w:r>
      <w:r w:rsidR="00BE4FC0">
        <w:t xml:space="preserve"> </w:t>
      </w:r>
      <w:r w:rsidR="00C26B67">
        <w:t>other chromatographic conditions</w:t>
      </w:r>
      <w:r w:rsidR="00BE4FC0">
        <w:t xml:space="preserve"> than used during the test</w:t>
      </w:r>
      <w:r w:rsidR="00C26B67">
        <w:t xml:space="preserve">.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5F7416">
        <w:t xml:space="preserve">limited to </w:t>
      </w:r>
      <w:r w:rsidR="00B673C8">
        <w:t xml:space="preserve">few </w:t>
      </w:r>
      <w:r w:rsidR="00AC3168">
        <w:t>analytes</w:t>
      </w:r>
      <w:r w:rsidR="00BE4FC0">
        <w:t>.</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rsidR="00AC3168">
        <w:t xml:space="preserve"> </w:t>
      </w:r>
    </w:p>
    <w:p w14:paraId="797742E2" w14:textId="6DD01690"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based on various number of preliminary experiments (e.g. to predict retention time for a set of analytes given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BE4FC0">
        <w:t>.</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6F4DCDD0" w14:textId="185C56B8" w:rsidR="00681A67" w:rsidRPr="00AF079C"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w:t>
      </w:r>
      <w:r w:rsidR="00E34BFB">
        <w:t xml:space="preserve"> (</w:t>
      </w:r>
      <w:r w:rsidR="00E34BFB" w:rsidRPr="008441E0">
        <w:t>XBridge</w:t>
      </w:r>
      <w:r w:rsidR="00E34BFB">
        <w:t xml:space="preserve"> </w:t>
      </w:r>
      <w:r w:rsidR="00E34BFB" w:rsidRPr="008441E0">
        <w:t xml:space="preserve">Shield </w:t>
      </w:r>
      <w:r w:rsidR="00E34BFB">
        <w:t>RP</w:t>
      </w:r>
      <w:r w:rsidR="00E34BFB" w:rsidRPr="008441E0">
        <w:t>18,</w:t>
      </w:r>
      <w:r w:rsidR="00E34BFB">
        <w:t xml:space="preserve"> </w:t>
      </w:r>
      <w:r w:rsidR="00E34BFB" w:rsidRPr="008441E0">
        <w:t>XTerra MS C18</w:t>
      </w:r>
      <w:r w:rsidR="00E34BFB">
        <w:t xml:space="preserve">, </w:t>
      </w:r>
      <w:r w:rsidR="00E34BFB" w:rsidRPr="008441E0">
        <w:t>XBridge Phenyl</w:t>
      </w:r>
      <w:r w:rsidR="00E34BFB">
        <w:t xml:space="preserve">, </w:t>
      </w:r>
      <w:r w:rsidR="00E34BFB" w:rsidRPr="008441E0">
        <w:t>XBridge C8</w:t>
      </w:r>
      <w:r w:rsidR="00E34BFB">
        <w:t xml:space="preserve"> and </w:t>
      </w:r>
      <w:r w:rsidR="00E34BFB" w:rsidRPr="008441E0">
        <w:t>Xterra MS C8</w:t>
      </w:r>
      <w:r w:rsidR="00E34BFB">
        <w:t>)</w:t>
      </w:r>
      <w:r w:rsidRPr="00AF079C">
        <w:t xml:space="preserve">, and a wide range of chromatographic conditions (pH, organic modifier, temperature, gradient program). </w:t>
      </w:r>
      <w:r w:rsidR="006D65BE">
        <w:t xml:space="preserve">The </w:t>
      </w:r>
      <w:r w:rsidR="004F5488">
        <w:t xml:space="preserve">general idea is to </w:t>
      </w:r>
      <w:r w:rsidR="00BE4FC0">
        <w:t>use</w:t>
      </w:r>
      <w:r w:rsidR="009A05DF">
        <w:t xml:space="preserve"> a </w:t>
      </w:r>
      <w:r w:rsidR="009A05DF">
        <w:t xml:space="preserve">mechanistic model </w:t>
      </w:r>
      <w:r w:rsidR="00BE4FC0">
        <w:t xml:space="preserve">of chromatographic retention </w:t>
      </w:r>
      <w:r w:rsidR="009A05DF">
        <w:t>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available </w:t>
      </w:r>
      <w:r w:rsidR="009A05DF">
        <w:t>data</w:t>
      </w:r>
      <w:r w:rsidR="001B3F13">
        <w:t xml:space="preserve">, </w:t>
      </w:r>
      <w:r w:rsidR="00BE4FC0">
        <w:t xml:space="preserve">allow </w:t>
      </w:r>
      <w:r w:rsidR="009A05DF">
        <w:t xml:space="preserve">to </w:t>
      </w:r>
      <w:r w:rsidR="00E34BFB">
        <w:t xml:space="preserve">estimate the column effects on </w:t>
      </w:r>
      <w:r w:rsidR="00BE4FC0">
        <w:t xml:space="preserve">chromatographic </w:t>
      </w:r>
      <w:r w:rsidR="00E34BFB">
        <w:t xml:space="preserve">parameters </w:t>
      </w:r>
      <w:r w:rsidR="00BE4FC0">
        <w:t>for</w:t>
      </w:r>
      <w:r w:rsidR="004F5488">
        <w:t xml:space="preserve"> acids, bases and neutral analytes</w:t>
      </w:r>
      <w:r w:rsidR="001B3F13">
        <w:t>, quantify various sources of variation, and characterize</w:t>
      </w:r>
      <w:r w:rsidR="00BE4FC0">
        <w:t>s</w:t>
      </w:r>
      <w:r w:rsidR="001B3F13">
        <w:t xml:space="preserve"> uncertainty. </w:t>
      </w:r>
      <w:r w:rsidR="00E34BFB">
        <w:t>T</w:t>
      </w:r>
      <w:r w:rsidRPr="00AF079C">
        <w:t>he usefulness of the model</w:t>
      </w:r>
      <w:r w:rsidR="00BE4FC0">
        <w:t xml:space="preserve"> and results</w:t>
      </w:r>
      <w:r w:rsidR="00E34BFB">
        <w:t xml:space="preserve"> </w:t>
      </w:r>
      <w:r w:rsidR="00D92F2F">
        <w:t>in</w:t>
      </w:r>
      <w:r w:rsidR="00D92F2F" w:rsidRPr="00AF079C">
        <w:t xml:space="preserve"> decision making </w:t>
      </w:r>
      <w:r w:rsidR="00E34BFB">
        <w:t>will be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r w:rsidR="00E34BFB" w:rsidRPr="008441E0">
        <w:t>XBridge</w:t>
      </w:r>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Waldbronn, Germany) and a 6224 time of flight (TOF) mass spectrometer with a dual electrospray ionization source (Dual ESI) in positive polarity, using an </w:t>
      </w:r>
      <w:r w:rsidR="00526833" w:rsidRPr="008441E0">
        <w:t xml:space="preserve">XBridge Shield </w:t>
      </w:r>
      <w:r w:rsidR="00702372">
        <w:t>RP</w:t>
      </w:r>
      <w:r w:rsidR="00526833" w:rsidRPr="008441E0">
        <w:t>18,</w:t>
      </w:r>
      <w:r w:rsidR="00526833">
        <w:t xml:space="preserve"> </w:t>
      </w:r>
      <w:r w:rsidR="00526833" w:rsidRPr="008441E0">
        <w:t>XTerra MS C18</w:t>
      </w:r>
      <w:r w:rsidR="00526833">
        <w:t xml:space="preserve">, </w:t>
      </w:r>
      <w:r w:rsidR="00526833" w:rsidRPr="008441E0">
        <w:t>XBridge Phenyl</w:t>
      </w:r>
      <w:r w:rsidR="00526833">
        <w:t xml:space="preserve">, </w:t>
      </w:r>
      <w:r w:rsidR="00526833" w:rsidRPr="008441E0">
        <w:t>XBridge C8</w:t>
      </w:r>
      <w:r w:rsidR="00526833">
        <w:t xml:space="preserve"> and </w:t>
      </w:r>
      <w:r w:rsidR="00526833" w:rsidRPr="008441E0">
        <w:t>Xterra MS C8</w:t>
      </w:r>
      <w:r w:rsidR="00526833">
        <w:t xml:space="preserve"> </w:t>
      </w:r>
      <w:r w:rsidR="00681A67" w:rsidRPr="00CB00D3">
        <w:t>Waters Ltd., Milford, MA, USA, 3 mm × 50 mm, 2.5 μm</w:t>
      </w:r>
      <w:r w:rsidR="00526833">
        <w:t>)</w:t>
      </w:r>
      <w:r w:rsidR="00681A67" w:rsidRPr="00CB00D3">
        <w:t>. The extra column volume and system dwell volume (</w:t>
      </w:r>
      <w:r w:rsidR="00681A67" w:rsidRPr="00CB00D3">
        <w:rPr>
          <w:i/>
        </w:rPr>
        <w:t>V</w:t>
      </w:r>
      <w:r w:rsidR="00681A67" w:rsidRPr="00CB00D3">
        <w:rPr>
          <w:i/>
          <w:vertAlign w:val="subscript"/>
        </w:rPr>
        <w:t>d</w:t>
      </w:r>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formate were selected as buffers to control the pH of the mobile phase during chromatographic separation. The pH of the buffers (nominal aqueous pH) was adjusted to the desired pH (ammonium formate: 2.5, 3.3, 4.1, 8.9, and 9.7; ammonium acetate: 4.9 and 5.8; and ammonium bicarbonate: 6.8 and 10.5) </w:t>
      </w:r>
      <w:r w:rsidRPr="00CB00D3">
        <w:lastRenderedPageBreak/>
        <w:t xml:space="preserve">by an appropriate addition of formic acid, acetic acid and ammonia, respectively. The pH was measured at 25 °C and 35 °C using an S220 pH meter (Mettler Toledo, Greifensee, Switzerland) with an InLab® Routine Pro ISM electrode after mixing an organic modifier with the buffer solution. </w:t>
      </w:r>
    </w:p>
    <w:p w14:paraId="6AA202EC" w14:textId="28D021C6" w:rsidR="00681A67" w:rsidRPr="00CB00D3" w:rsidRDefault="00681A67" w:rsidP="006F1F34">
      <w:pPr>
        <w:pStyle w:val="TAMainText"/>
      </w:pPr>
      <w:r w:rsidRPr="00CB00D3">
        <w:t>The MassHunter Profinder B.08.00 (Agilent Technologies, Waldbronn,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Checkmol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r w:rsidR="00681A67" w:rsidRPr="00CB00D3">
        <w:rPr>
          <w:i/>
        </w:rPr>
        <w:t>pKalit</w:t>
      </w:r>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r w:rsidRPr="00167C8C">
        <w:rPr>
          <w:i/>
        </w:rPr>
        <w:t>r</w:t>
      </w:r>
      <w:r w:rsidRPr="00167C8C">
        <w:rPr>
          <w:i/>
          <w:vertAlign w:val="superscript"/>
        </w:rPr>
        <w:t>th</w:t>
      </w:r>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885A86"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r w:rsidRPr="00167C8C">
        <w:rPr>
          <w:i/>
        </w:rPr>
        <w:t>apH</w:t>
      </w:r>
      <w:r w:rsidRPr="00502488">
        <w:rPr>
          <w:i/>
          <w:vertAlign w:val="subscript"/>
        </w:rPr>
        <w:t>r</w:t>
      </w:r>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r w:rsidRPr="00167C8C">
        <w:rPr>
          <w:i/>
        </w:rPr>
        <w:t>pK</w:t>
      </w:r>
      <w:r w:rsidRPr="00167C8C">
        <w:rPr>
          <w:i/>
          <w:vertAlign w:val="subscript"/>
        </w:rPr>
        <w:t>a</w:t>
      </w:r>
      <w:r w:rsidRPr="00167C8C">
        <w:t xml:space="preserve"> values and organic modifier content was assumed:</w:t>
      </w:r>
    </w:p>
    <w:p w14:paraId="74455CA1" w14:textId="77777777" w:rsidR="00681A67" w:rsidRPr="00167C8C" w:rsidRDefault="00885A86"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r w:rsidRPr="00167C8C">
        <w:rPr>
          <w:i/>
        </w:rPr>
        <w:t>pK</w:t>
      </w:r>
      <w:r w:rsidRPr="00167C8C">
        <w:rPr>
          <w:i/>
          <w:vertAlign w:val="subscript"/>
        </w:rPr>
        <w:t>a</w:t>
      </w:r>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r w:rsidRPr="006771DE">
        <w:rPr>
          <w:i/>
        </w:rPr>
        <w:t>t</w:t>
      </w:r>
      <w:r w:rsidRPr="006771DE">
        <w:rPr>
          <w:i/>
          <w:vertAlign w:val="subscript"/>
        </w:rPr>
        <w:t>Robs,z</w:t>
      </w:r>
      <w:r w:rsidRPr="006771DE">
        <w:t>) were modeled using the following model:</w:t>
      </w:r>
    </w:p>
    <w:p w14:paraId="18F0384E" w14:textId="5BA2C9E2" w:rsidR="00681A67" w:rsidRPr="006771DE" w:rsidRDefault="00885A86"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r w:rsidRPr="006771DE">
        <w:rPr>
          <w:i/>
        </w:rPr>
        <w:t>z</w:t>
      </w:r>
      <w:r w:rsidRPr="006771DE">
        <w:rPr>
          <w:i/>
          <w:vertAlign w:val="superscript"/>
        </w:rPr>
        <w:t>th</w:t>
      </w:r>
      <w:r w:rsidRPr="006771DE">
        <w:rPr>
          <w:i/>
        </w:rPr>
        <w:t xml:space="preserve"> </w:t>
      </w:r>
      <w:r w:rsidRPr="006771DE">
        <w:t xml:space="preserve">measurement and </w:t>
      </w:r>
      <w:r w:rsidRPr="006771DE">
        <w:rPr>
          <w:i/>
        </w:rPr>
        <w:t>student_t</w:t>
      </w:r>
      <w:r w:rsidRPr="006771DE">
        <w:t xml:space="preserve"> denotes the student’s t-distribution with the mean given by the predicted retention time </w:t>
      </w:r>
      <w:r w:rsidRPr="006771DE">
        <w:rPr>
          <w:i/>
        </w:rPr>
        <w:t>t</w:t>
      </w:r>
      <w:r w:rsidRPr="006771DE">
        <w:rPr>
          <w:i/>
          <w:vertAlign w:val="subscript"/>
        </w:rPr>
        <w:t>R,z</w:t>
      </w:r>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r w:rsidRPr="006771DE">
        <w:rPr>
          <w:i/>
        </w:rPr>
        <w:t>t</w:t>
      </w:r>
      <w:r w:rsidRPr="006771DE">
        <w:rPr>
          <w:i/>
          <w:vertAlign w:val="subscript"/>
        </w:rPr>
        <w:t>R,z</w:t>
      </w:r>
      <w:r w:rsidRPr="006771DE">
        <w:t xml:space="preserve"> under an organic modifier gradient was calculated utilizing the well-known integral equation:</w:t>
      </w:r>
    </w:p>
    <w:p w14:paraId="4A90AAFF" w14:textId="0F27CDCE" w:rsidR="00681A67" w:rsidRPr="006771DE" w:rsidRDefault="00885A86"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r w:rsidRPr="006771DE">
        <w:rPr>
          <w:i/>
        </w:rPr>
        <w:t>t</w:t>
      </w:r>
      <w:r w:rsidRPr="006771DE">
        <w:rPr>
          <w:i/>
          <w:vertAlign w:val="subscript"/>
        </w:rPr>
        <w:t>e</w:t>
      </w:r>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The numerical solution of this integral equation was carried out using the method of steps with 4 and 10 steps for methanol and acetonitrile gradients using the method proposed by Nikitas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885A86"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7D35990E"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r w:rsidR="00F74139" w:rsidRPr="002121C8">
        <w:rPr>
          <w:i/>
        </w:rPr>
        <w:t>logP=</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r w:rsidR="00E57FAB" w:rsidRPr="00C4733B">
        <w:rPr>
          <w:i/>
          <w:iCs/>
        </w:rPr>
        <w:t>logkw</w:t>
      </w:r>
      <w:r w:rsidR="00E57FAB">
        <w:t xml:space="preserve"> and </w:t>
      </w:r>
      <w:r w:rsidR="00E57FAB" w:rsidRPr="00C4733B">
        <w:rPr>
          <w:i/>
          <w:iCs/>
        </w:rPr>
        <w:t>S1</w:t>
      </w:r>
      <w:r w:rsidR="00402BC0" w:rsidRPr="00C4733B">
        <w:rPr>
          <w:i/>
          <w:iCs/>
        </w:rPr>
        <w:t>m</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r w:rsidR="00805496" w:rsidRPr="00C4733B">
        <w:rPr>
          <w:i/>
          <w:iCs/>
        </w:rPr>
        <w:t>logP</w:t>
      </w:r>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402BC0">
        <w:t>), the effect of temperature on logkw (</w:t>
      </w:r>
      <w:r w:rsidR="00402BC0" w:rsidRPr="00C4733B">
        <w:rPr>
          <w:i/>
          <w:iCs/>
        </w:rPr>
        <w:t>dlogkT</w:t>
      </w:r>
      <w:r w:rsidR="00402BC0">
        <w:t xml:space="preserve">), the effect of dissociation </w:t>
      </w:r>
      <w:r w:rsidR="00FB169A">
        <w:t xml:space="preserve">on </w:t>
      </w:r>
      <w:r w:rsidR="00FB169A" w:rsidRPr="00C4733B">
        <w:rPr>
          <w:i/>
          <w:iCs/>
        </w:rPr>
        <w:t>logkw</w:t>
      </w:r>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r w:rsidR="00402BC0" w:rsidRPr="00C4733B">
        <w:rPr>
          <w:i/>
          <w:iCs/>
        </w:rPr>
        <w:t>dlogkw</w:t>
      </w:r>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for acids and bases</w:t>
      </w:r>
      <w:r w:rsidR="00402BC0">
        <w:t xml:space="preserve">), and the effect of column on </w:t>
      </w:r>
      <w:r w:rsidR="002A1632">
        <w:t>these</w:t>
      </w:r>
      <w:r w:rsidR="00402BC0">
        <w:t xml:space="preserve"> </w:t>
      </w:r>
      <w:r w:rsidR="00805496">
        <w:t>parameters</w:t>
      </w:r>
      <w:r w:rsidR="00402BC0">
        <w:t xml:space="preserve"> (</w:t>
      </w:r>
      <w:r w:rsidR="00402BC0" w:rsidRPr="00C4733B">
        <w:rPr>
          <w:i/>
          <w:iCs/>
        </w:rPr>
        <w:t>clogkw</w:t>
      </w:r>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r w:rsidR="00402BC0" w:rsidRPr="00C4733B">
        <w:rPr>
          <w:i/>
          <w:iCs/>
        </w:rPr>
        <w:t>cdlogkT</w:t>
      </w:r>
      <w:r w:rsidR="00402BC0">
        <w:t xml:space="preserve">, </w:t>
      </w:r>
      <w:r w:rsidR="00402BC0" w:rsidRPr="00C4733B">
        <w:rPr>
          <w:i/>
          <w:iCs/>
        </w:rPr>
        <w:t>cdlogkw</w:t>
      </w:r>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r w:rsidR="00D46423" w:rsidRPr="00C4733B">
        <w:rPr>
          <w:i/>
          <w:iCs/>
        </w:rPr>
        <w:t>clogkw</w:t>
      </w:r>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corelated (c</w:t>
      </w:r>
      <w:r w:rsidR="00D46423">
        <w:rPr>
          <w:rFonts w:ascii="Times New Roman" w:hAnsi="Times New Roman"/>
        </w:rPr>
        <w:t>ρ</w:t>
      </w:r>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r w:rsidR="00402BC0" w:rsidRPr="00C4733B">
        <w:rPr>
          <w:i/>
          <w:iCs/>
        </w:rPr>
        <w:t>apH</w:t>
      </w:r>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r w:rsidR="002A1632" w:rsidRPr="00C4733B">
        <w:rPr>
          <w:i/>
          <w:iCs/>
        </w:rPr>
        <w:t>capH</w:t>
      </w:r>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r w:rsidR="00411B27" w:rsidRPr="00C4733B">
        <w:rPr>
          <w:i/>
          <w:iCs/>
        </w:rPr>
        <w:t>pKaw</w:t>
      </w:r>
      <w:r w:rsidR="00411B27">
        <w:t xml:space="preserve"> </w:t>
      </w:r>
      <w:r w:rsidR="002A1632">
        <w:t>(</w:t>
      </w:r>
      <w:r w:rsidR="00411B27">
        <w:t xml:space="preserve">dependent on </w:t>
      </w:r>
      <w:r w:rsidR="00ED1641">
        <w:t xml:space="preserve">literature </w:t>
      </w:r>
      <w:r w:rsidR="00ED1641" w:rsidRPr="00C4733B">
        <w:rPr>
          <w:i/>
          <w:iCs/>
        </w:rPr>
        <w:t>pKa</w:t>
      </w:r>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w:t>
      </w:r>
      <w:r w:rsidR="00C4733B">
        <w:t>for the parameters of the neutral form of analyte</w:t>
      </w:r>
      <w:r w:rsidR="00A82D1C">
        <w:t xml:space="preserve"> on XBridge Shield RP18 and </w:t>
      </w:r>
      <w:r w:rsidR="0029085A">
        <w:t>c</w:t>
      </w:r>
      <w:r w:rsidR="0029085A">
        <w:rPr>
          <w:rFonts w:ascii="Times New Roman" w:hAnsi="Times New Roman"/>
        </w:rPr>
        <w:t>ω</w:t>
      </w:r>
      <w:r w:rsidR="0029085A">
        <w:t xml:space="preserve"> </w:t>
      </w:r>
      <w:r w:rsidR="00A82D1C">
        <w:t>for the difference between the other columns and XBridge Shield RP18</w:t>
      </w:r>
      <w:r w:rsidR="00C4733B">
        <w:t xml:space="preserve">, </w:t>
      </w:r>
      <w:r w:rsidR="00C4733B" w:rsidRPr="00C4733B">
        <w:rPr>
          <w:rFonts w:ascii="Times New Roman" w:hAnsi="Times New Roman"/>
          <w:i/>
          <w:iCs/>
        </w:rPr>
        <w:t>ω</w:t>
      </w:r>
      <w:r w:rsidR="00C4733B" w:rsidRPr="00C4733B">
        <w:rPr>
          <w:rFonts w:ascii="Times New Roman" w:hAnsi="Times New Roman"/>
          <w:i/>
          <w:iCs/>
          <w:vertAlign w:val="subscript"/>
        </w:rPr>
        <w:t>T</w:t>
      </w:r>
      <w:r w:rsidR="00C4733B">
        <w:rPr>
          <w:rFonts w:ascii="Times New Roman" w:hAnsi="Times New Roman"/>
          <w:vertAlign w:val="subscript"/>
        </w:rPr>
        <w:t xml:space="preserve"> </w:t>
      </w:r>
      <w:r w:rsidR="00C4733B">
        <w:t xml:space="preserve">and </w:t>
      </w:r>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r w:rsidR="00C4733B">
        <w:t xml:space="preserve"> for temperature effects, </w:t>
      </w:r>
      <w:r w:rsidR="00C4733B" w:rsidRPr="00C4733B">
        <w:t>κ</w:t>
      </w:r>
      <w:r w:rsidR="00C4733B">
        <w:t xml:space="preserve"> and c</w:t>
      </w:r>
      <w:r w:rsidR="00C4733B" w:rsidRPr="00C4733B">
        <w:t>κ</w:t>
      </w:r>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1AC26430"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A2047A">
        <w:instrText xml:space="preserve"> ADDIN ZOTERO_ITEM CSL_CITATION {"citationID":"Nayn6cTK","properties":{"formattedCitation":"\\super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X</w:t>
      </w:r>
      <w:r w:rsidR="00C4733B">
        <w:t>B</w:t>
      </w:r>
      <w:r w:rsidR="00402BC0">
        <w:t>ridge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41A3D903"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A2047A">
        <w:instrText xml:space="preserve"> ADDIN ZOTERO_ITEM CSL_CITATION {"citationID":"H14TxtW2","properties":{"formattedCitation":"\\super 13\\nosupersub{}","plainCitation":"13","noteIndex":0},"citationItems":[{"id":180,"uris":["http://zotero.org/users/local/cIlVeWgC/items/G7ERSBJU"],"itemData":{"id":180,"type":"webpage","container-title":"stan-dev.github.io","language":"en","title":"Stan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A2047A" w:rsidRPr="00A2047A">
        <w:rPr>
          <w:szCs w:val="24"/>
          <w:vertAlign w:val="superscript"/>
        </w:rPr>
        <w:t>13</w:t>
      </w:r>
      <w:r w:rsidR="00A2047A">
        <w:fldChar w:fldCharType="end"/>
      </w:r>
      <w:r w:rsidR="00A2047A">
        <w:t xml:space="preserve"> </w:t>
      </w:r>
      <w:r w:rsidRPr="00015E77">
        <w:t>software linked with Rstudio</w:t>
      </w:r>
      <w:r w:rsidR="00A2047A">
        <w:fldChar w:fldCharType="begin"/>
      </w:r>
      <w:r w:rsidR="00A2047A">
        <w:instrText xml:space="preserve"> ADDIN ZOTERO_ITEM CSL_CITATION {"citationID":"c0z0p3CC","properties":{"formattedCitation":"\\super 14\\nosupersub{}","plainCitation":"14","noteIndex":0},"citationItems":[{"id":433,"uris":["http://zotero.org/users/local/cIlVeWgC/items/6P5F3CZ2"],"itemData":{"id":433,"type":"book","event-place":"Boston,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A2047A" w:rsidRPr="00A2047A">
        <w:rPr>
          <w:szCs w:val="24"/>
          <w:vertAlign w:val="superscript"/>
        </w:rPr>
        <w:t>14</w:t>
      </w:r>
      <w:r w:rsidR="00A2047A">
        <w:fldChar w:fldCharType="end"/>
      </w:r>
      <w:r w:rsidRPr="00015E77">
        <w:t xml:space="preserve">. For the inference we used </w:t>
      </w:r>
      <w:r>
        <w:t xml:space="preserve">8 Markov chains with 500 </w:t>
      </w:r>
      <w:r w:rsidRPr="00015E77">
        <w:t>iterations</w:t>
      </w:r>
      <w:r>
        <w:t xml:space="preserve"> after </w:t>
      </w:r>
      <w:r>
        <w:lastRenderedPageBreak/>
        <w:t>1000 warm up iterations</w:t>
      </w:r>
      <w:r w:rsidRPr="00015E77">
        <w:t xml:space="preserve">. The </w:t>
      </w:r>
      <w:r w:rsidRPr="00015E77">
        <w:rPr>
          <w:i/>
        </w:rPr>
        <w:t>reduce_sum</w:t>
      </w:r>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A2047A">
        <w:instrText xml:space="preserve"> ADDIN ZOTERO_ITEM CSL_CITATION {"citationID":"rKTCO69h","properties":{"formattedCitation":"\\super 15\\uc0\\u8211{}19\\nosupersub{}","plainCitation":"15–19","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A2047A" w:rsidRPr="00A2047A">
        <w:rPr>
          <w:szCs w:val="24"/>
          <w:vertAlign w:val="superscript"/>
        </w:rPr>
        <w:t>15–19</w:t>
      </w:r>
      <w:r w:rsidR="00A2047A">
        <w:fldChar w:fldCharType="end"/>
      </w:r>
      <w:r w:rsidR="004731A6">
        <w:t xml:space="preserve">. </w:t>
      </w:r>
      <w:r>
        <w:t>T</w:t>
      </w:r>
      <w:r w:rsidRPr="000C78DD">
        <w:t>he</w:t>
      </w:r>
      <w:r>
        <w:t xml:space="preserve"> calculations were run on the</w:t>
      </w:r>
      <w:r w:rsidRPr="000C78DD">
        <w:t xml:space="preserve"> Tryton computing cluster</w:t>
      </w:r>
      <w:r>
        <w:t xml:space="preserve"> </w:t>
      </w:r>
      <w:r w:rsidRPr="000C78DD">
        <w:t>in</w:t>
      </w:r>
      <w:r>
        <w:t xml:space="preserve"> </w:t>
      </w:r>
      <w:r w:rsidRPr="000C78DD">
        <w:t>Centre of Informatics Tricity Academic Supercomputer</w:t>
      </w:r>
      <w:r>
        <w:t>.</w:t>
      </w:r>
    </w:p>
    <w:p w14:paraId="2A17B084" w14:textId="51B3A419"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for X</w:t>
      </w:r>
      <w:r w:rsidR="0068285E">
        <w:t>B</w:t>
      </w:r>
      <w:r w:rsidR="00BF194C" w:rsidRPr="00BF194C">
        <w:t>ridge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r w:rsidR="00E4437E" w:rsidRPr="00BF194C">
        <w:t>X</w:t>
      </w:r>
      <w:r w:rsidR="00E4437E">
        <w:t>B</w:t>
      </w:r>
      <w:r w:rsidR="00E4437E" w:rsidRPr="00BF194C">
        <w:t>ridge Shield</w:t>
      </w:r>
      <w:r w:rsidR="00E4437E">
        <w:t xml:space="preserve"> RP18 column)</w:t>
      </w:r>
      <w:r w:rsidR="00AD3413">
        <w:t xml:space="preserve">. </w:t>
      </w:r>
    </w:p>
    <w:p w14:paraId="6289E883" w14:textId="664F4947"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00681A67" w:rsidRPr="00DD75C0">
        <w:t>retention time within the range that the area was calculated.</w:t>
      </w:r>
    </w:p>
    <w:p w14:paraId="36D59279" w14:textId="6F7EBBB4"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t xml:space="preserve">The utility function </w:t>
      </w:r>
      <w:r w:rsidR="00413AAC">
        <w:t>(</w:t>
      </w:r>
      <w:r w:rsidR="00413AAC" w:rsidRPr="00413AAC">
        <w:rPr>
          <w:i/>
          <w:iCs/>
        </w:rPr>
        <w:t>U</w:t>
      </w:r>
      <w:r w:rsidR="00413AAC">
        <w:t xml:space="preserve">) </w:t>
      </w:r>
      <w:r w:rsidR="002B70F2">
        <w:t>was</w:t>
      </w:r>
      <w:r>
        <w:t xml:space="preserve"> </w:t>
      </w:r>
      <w:r w:rsidR="00C97DE9">
        <w:t xml:space="preserve">specified to each possible chromatogram (posterior predicted retention time). It was defined </w:t>
      </w:r>
      <w:r>
        <w:t xml:space="preserve">based on the lowest retention time </w:t>
      </w:r>
      <w:r w:rsidR="00C70BC1">
        <w:t>among</w:t>
      </w:r>
      <w:r>
        <w:t xml:space="preserve"> analytes (</w:t>
      </w:r>
      <w:r w:rsidRPr="008451C4">
        <w:rPr>
          <w:i/>
          <w:iCs/>
        </w:rPr>
        <w:t>mintr</w:t>
      </w:r>
      <w:r>
        <w:t xml:space="preserve">), the highest retention time </w:t>
      </w:r>
      <w:r w:rsidR="00C70BC1">
        <w:t>among</w:t>
      </w:r>
      <w:r>
        <w:t xml:space="preserve"> analytes (</w:t>
      </w:r>
      <w:r w:rsidRPr="008451C4">
        <w:rPr>
          <w:i/>
          <w:iCs/>
        </w:rPr>
        <w:t>maxtr</w:t>
      </w:r>
      <w:r>
        <w:t>), and the difference in retention times between the critical pair of analytes (</w:t>
      </w:r>
      <w:r w:rsidRPr="008451C4">
        <w:rPr>
          <w:i/>
          <w:iCs/>
        </w:rPr>
        <w:t>res</w:t>
      </w:r>
      <w:r>
        <w:t xml:space="preserve">). This utility </w:t>
      </w:r>
      <w:r w:rsidR="002B70F2">
        <w:t xml:space="preserve">was </w:t>
      </w:r>
      <w:r w:rsidR="00B340E6">
        <w:t>assumed</w:t>
      </w:r>
      <w:r>
        <w:t xml:space="preserve"> zero if at least one of the analytes has retention higher than 40</w:t>
      </w:r>
      <w:r w:rsidR="009B5ECC">
        <w:t xml:space="preserve"> or</w:t>
      </w:r>
      <w:r>
        <w:t xml:space="preserve"> less than 2 min, </w:t>
      </w:r>
      <w:r w:rsidR="009B5ECC">
        <w:t>and if</w:t>
      </w:r>
      <w:r>
        <w:t xml:space="preserve"> the </w:t>
      </w:r>
      <w:r w:rsidR="009B5ECC" w:rsidRPr="00D95F45">
        <w:rPr>
          <w:i/>
          <w:iCs/>
        </w:rPr>
        <w:t>res</w:t>
      </w:r>
      <w:r w:rsidR="009B5ECC">
        <w:t xml:space="preserve"> is</w:t>
      </w:r>
      <w:r>
        <w:t xml:space="preserve"> less than 2. Otherwise, </w:t>
      </w:r>
      <w:r w:rsidR="009B5ECC">
        <w:t xml:space="preserve">the utility </w:t>
      </w:r>
      <w:r w:rsidR="00587D74">
        <w:t xml:space="preserve">was linearly related to </w:t>
      </w:r>
      <w:r w:rsidR="00A356A5" w:rsidRPr="008451C4">
        <w:rPr>
          <w:i/>
          <w:iCs/>
        </w:rPr>
        <w:t>maxtr</w:t>
      </w:r>
      <w:r w:rsidR="00336A10">
        <w:rPr>
          <w:i/>
          <w:iCs/>
        </w:rPr>
        <w:t xml:space="preserve"> </w:t>
      </w:r>
      <w:r w:rsidR="00336A10">
        <w:t>favoring shorter runs</w:t>
      </w:r>
      <w:r>
        <w:t xml:space="preserve">. </w:t>
      </w:r>
    </w:p>
    <w:p w14:paraId="45EB89BA" w14:textId="36BBAC65" w:rsidR="008451C4" w:rsidRPr="002B09C4" w:rsidRDefault="002B09C4" w:rsidP="008451C4">
      <w:pPr>
        <w:rPr>
          <w:szCs w:val="19"/>
          <w:lang w:val="pl-PL"/>
        </w:rPr>
      </w:pPr>
      <w:r w:rsidRPr="002B09C4">
        <w:rPr>
          <w:sz w:val="14"/>
          <w:szCs w:val="14"/>
          <w:lang w:val="pl-PL"/>
        </w:rPr>
        <w:t xml:space="preserve">U </w:t>
      </w:r>
      <m:oMath>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rPr>
              <m:t>mintr</m:t>
            </m:r>
            <m:r>
              <w:rPr>
                <w:rFonts w:ascii="Cambria Math" w:hAnsi="Cambria Math"/>
                <w:sz w:val="14"/>
                <w:szCs w:val="14"/>
                <w:lang w:val="pl-PL"/>
              </w:rPr>
              <m:t>&gt;2</m:t>
            </m:r>
          </m:e>
        </m:d>
        <m:r>
          <w:rPr>
            <w:rFonts w:ascii="Cambria Math" w:hAnsi="Cambria Math"/>
            <w:sz w:val="14"/>
            <w:szCs w:val="14"/>
            <w:lang w:val="pl-PL"/>
          </w:rPr>
          <m:t xml:space="preserve"> ∙ </m:t>
        </m:r>
        <m:d>
          <m:dPr>
            <m:ctrlPr>
              <w:rPr>
                <w:rFonts w:ascii="Cambria Math" w:hAnsi="Cambria Math"/>
                <w:i/>
                <w:sz w:val="14"/>
                <w:szCs w:val="14"/>
              </w:rPr>
            </m:ctrlPr>
          </m:dPr>
          <m:e>
            <m:r>
              <w:rPr>
                <w:rFonts w:ascii="Cambria Math" w:hAnsi="Cambria Math"/>
                <w:sz w:val="14"/>
                <w:szCs w:val="14"/>
              </w:rPr>
              <m:t>res</m:t>
            </m:r>
            <m:r>
              <w:rPr>
                <w:rFonts w:ascii="Cambria Math" w:hAnsi="Cambria Math"/>
                <w:sz w:val="14"/>
                <w:szCs w:val="14"/>
                <w:lang w:val="pl-PL"/>
              </w:rPr>
              <m:t>&gt;2</m:t>
            </m:r>
          </m:e>
        </m:d>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lang w:val="pl-PL"/>
              </w:rPr>
              <m:t>40-</m:t>
            </m:r>
            <m:r>
              <w:rPr>
                <w:rFonts w:ascii="Cambria Math" w:hAnsi="Cambria Math"/>
                <w:sz w:val="14"/>
                <w:szCs w:val="14"/>
              </w:rPr>
              <m:t>maxtr</m:t>
            </m:r>
          </m:e>
        </m:d>
        <m:r>
          <w:rPr>
            <w:rFonts w:ascii="Cambria Math" w:hAnsi="Cambria Math"/>
            <w:sz w:val="14"/>
            <w:szCs w:val="14"/>
            <w:lang w:val="pl-PL"/>
          </w:rPr>
          <m:t>∙</m:t>
        </m:r>
        <m:r>
          <w:rPr>
            <w:rFonts w:ascii="Cambria Math" w:hAnsi="Cambria Math"/>
            <w:sz w:val="14"/>
            <w:szCs w:val="14"/>
            <w:lang w:val="pl-PL"/>
          </w:rPr>
          <m:t>(</m:t>
        </m:r>
        <m:r>
          <w:rPr>
            <w:rFonts w:ascii="Cambria Math" w:hAnsi="Cambria Math"/>
            <w:sz w:val="14"/>
            <w:szCs w:val="14"/>
          </w:rPr>
          <m:t>maxtr</m:t>
        </m:r>
        <m:r>
          <w:rPr>
            <w:rFonts w:ascii="Cambria Math" w:hAnsi="Cambria Math"/>
            <w:sz w:val="14"/>
            <w:szCs w:val="14"/>
            <w:lang w:val="pl-PL"/>
          </w:rPr>
          <m:t>&lt;40</m:t>
        </m:r>
        <m:r>
          <w:rPr>
            <w:rFonts w:ascii="Cambria Math" w:hAnsi="Cambria Math"/>
            <w:sz w:val="14"/>
            <w:szCs w:val="14"/>
            <w:lang w:val="pl-PL"/>
          </w:rPr>
          <m:t>)</m:t>
        </m:r>
      </m:oMath>
      <w:r w:rsidRPr="002B09C4">
        <w:rPr>
          <w:szCs w:val="19"/>
          <w:lang w:val="pl-PL"/>
        </w:rPr>
        <w:t xml:space="preserve"> </w:t>
      </w:r>
      <w:r>
        <w:rPr>
          <w:szCs w:val="19"/>
          <w:lang w:val="pl-PL"/>
        </w:rPr>
        <w:tab/>
      </w:r>
      <w:r w:rsidR="008451C4" w:rsidRPr="002B09C4">
        <w:rPr>
          <w:szCs w:val="19"/>
          <w:lang w:val="pl-PL"/>
        </w:rPr>
        <w:t>(</w:t>
      </w:r>
      <w:r w:rsidR="00413AAC" w:rsidRPr="002B09C4">
        <w:rPr>
          <w:szCs w:val="19"/>
          <w:lang w:val="pl-PL"/>
        </w:rPr>
        <w:t>7</w:t>
      </w:r>
      <w:r w:rsidR="008451C4" w:rsidRPr="002B09C4">
        <w:rPr>
          <w:szCs w:val="19"/>
          <w:lang w:val="pl-PL"/>
        </w:rPr>
        <w:t>)</w:t>
      </w:r>
    </w:p>
    <w:p w14:paraId="683FFC5D" w14:textId="554A6CE5"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expected utility map.</w:t>
      </w:r>
      <w:r w:rsidR="002B09C4">
        <w:rPr>
          <w:szCs w:val="19"/>
        </w:rPr>
        <w:t xml:space="preserve"> This simulations were performed for </w:t>
      </w:r>
      <w:r w:rsidR="002B09C4" w:rsidRPr="002B09C4">
        <w:rPr>
          <w:i/>
          <w:iCs/>
          <w:szCs w:val="19"/>
        </w:rPr>
        <w:t>fio</w:t>
      </w:r>
      <w:r w:rsidR="002B09C4">
        <w:rPr>
          <w:szCs w:val="19"/>
        </w:rPr>
        <w:t xml:space="preserve"> ranging from 0.05 to 0.15 by </w:t>
      </w:r>
      <w:r w:rsidR="002B09C4">
        <w:rPr>
          <w:szCs w:val="19"/>
        </w:rPr>
        <w:t>0.02</w:t>
      </w:r>
      <w:r w:rsidR="002B09C4">
        <w:rPr>
          <w:szCs w:val="19"/>
        </w:rPr>
        <w:t xml:space="preserve">, </w:t>
      </w:r>
      <w:r w:rsidR="002B09C4" w:rsidRPr="002B09C4">
        <w:rPr>
          <w:i/>
          <w:iCs/>
          <w:szCs w:val="19"/>
        </w:rPr>
        <w:t>pHo</w:t>
      </w:r>
      <w:r w:rsidR="002B09C4">
        <w:rPr>
          <w:szCs w:val="19"/>
        </w:rPr>
        <w:t xml:space="preserve"> ranging from 2.5 to 10.5 by 0.2, </w:t>
      </w:r>
      <w:r w:rsidR="002B09C4" w:rsidRPr="002B09C4">
        <w:rPr>
          <w:i/>
          <w:iCs/>
          <w:szCs w:val="19"/>
        </w:rPr>
        <w:t>tg</w:t>
      </w:r>
      <w:r w:rsidR="002B09C4">
        <w:rPr>
          <w:szCs w:val="19"/>
        </w:rPr>
        <w:t xml:space="preserve"> ranging from 20 to 200  by 20</w:t>
      </w:r>
      <w:r w:rsidR="00095461">
        <w:rPr>
          <w:szCs w:val="19"/>
        </w:rPr>
        <w:t>,</w:t>
      </w:r>
      <w:r w:rsidR="002B09C4">
        <w:rPr>
          <w:szCs w:val="19"/>
        </w:rPr>
        <w:t xml:space="preserve"> </w:t>
      </w:r>
      <w:r w:rsidR="00095461">
        <w:rPr>
          <w:szCs w:val="19"/>
        </w:rPr>
        <w:t>using</w:t>
      </w:r>
      <w:r w:rsidR="002B09C4">
        <w:rPr>
          <w:szCs w:val="19"/>
        </w:rPr>
        <w:t xml:space="preserve"> MeOH and ACN </w:t>
      </w:r>
      <w:r w:rsidR="00095461">
        <w:rPr>
          <w:szCs w:val="19"/>
        </w:rPr>
        <w:t xml:space="preserve">as organic modifiers and </w:t>
      </w:r>
      <w:r w:rsidR="002B09C4">
        <w:rPr>
          <w:szCs w:val="19"/>
        </w:rPr>
        <w:t xml:space="preserve">for five </w:t>
      </w:r>
      <w:r w:rsidR="00095461">
        <w:rPr>
          <w:szCs w:val="19"/>
        </w:rPr>
        <w:t xml:space="preserve">tested </w:t>
      </w:r>
      <w:r w:rsidR="002B09C4">
        <w:rPr>
          <w:szCs w:val="19"/>
        </w:rPr>
        <w:t>columns.</w:t>
      </w:r>
      <w:r>
        <w:rPr>
          <w:szCs w:val="19"/>
        </w:rPr>
        <w:t xml:space="preserve">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leading to the desired/optimal separation</w:t>
      </w:r>
      <w:r w:rsidR="00136950">
        <w:t xml:space="preserve"> given various </w:t>
      </w:r>
      <w:r w:rsidR="002B09C4">
        <w:t xml:space="preserve">preliminary </w:t>
      </w:r>
      <w:r w:rsidR="00136950">
        <w:t>data.</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77777777"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 xml:space="preserve">for five chromatographic </w:t>
      </w:r>
      <w:r w:rsidR="00A774C2">
        <w:t>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parameters</w:t>
      </w:r>
      <w:r w:rsidR="00CB7D4B">
        <w:t xml:space="preserve"> in chromatography</w:t>
      </w:r>
      <w:r w:rsidR="00C70BC1">
        <w:t xml:space="preserve">. It </w:t>
      </w:r>
      <w:r w:rsidR="000927BB">
        <w:t xml:space="preserve">also </w:t>
      </w:r>
      <w:r w:rsidR="00C70BC1">
        <w:t xml:space="preserve">allows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165C139A"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As an example, the typical </w:t>
      </w:r>
      <w:r w:rsidR="00D46423" w:rsidRPr="008E5304">
        <w:rPr>
          <w:i/>
          <w:iCs/>
        </w:rPr>
        <w:t>logkw</w:t>
      </w:r>
      <w:r w:rsidR="00D46423">
        <w:t xml:space="preserve"> of a neutral form of an analyte (a measure of hydrophobicity) is </w:t>
      </w:r>
      <w:r w:rsidR="00D46423" w:rsidRPr="00467A90">
        <w:t>3.6</w:t>
      </w:r>
      <w:r w:rsidR="00D46423">
        <w:t xml:space="preserve"> for XBridge Shield RP18, and is 0.42, 0.17, 0.10, and 0.17 higher for </w:t>
      </w:r>
      <w:r w:rsidR="00D46423" w:rsidRPr="008441E0">
        <w:t>XTerra MS C18</w:t>
      </w:r>
      <w:r w:rsidR="00D46423">
        <w:t xml:space="preserve">, </w:t>
      </w:r>
      <w:r w:rsidR="00D46423" w:rsidRPr="008441E0">
        <w:t>XBridge Phenyl</w:t>
      </w:r>
      <w:r w:rsidR="00D46423">
        <w:t xml:space="preserve">, </w:t>
      </w:r>
      <w:r w:rsidR="00D46423" w:rsidRPr="008441E0">
        <w:t>XBridge C8</w:t>
      </w:r>
      <w:r w:rsidR="00D46423">
        <w:t xml:space="preserve"> and </w:t>
      </w:r>
      <w:r w:rsidR="00D46423" w:rsidRPr="008441E0">
        <w:t>Xterra MS C8</w:t>
      </w:r>
      <w:r w:rsidR="00D46423">
        <w:t xml:space="preserve"> columns. </w:t>
      </w:r>
      <w:r w:rsidR="008677E5">
        <w:t>It corresponds to</w:t>
      </w:r>
      <w:r w:rsidR="00E2235F">
        <w:t xml:space="preserve"> a typical</w:t>
      </w:r>
      <w:r w:rsidR="008677E5">
        <w:t xml:space="preserve"> </w:t>
      </w:r>
      <w:r w:rsidR="008677E5" w:rsidRPr="008677E5">
        <w:t>2.6</w:t>
      </w:r>
      <w:r w:rsidR="008677E5">
        <w:t>4</w:t>
      </w:r>
      <w:r w:rsidR="008677E5" w:rsidRPr="008677E5">
        <w:t xml:space="preserve"> 1.4</w:t>
      </w:r>
      <w:r w:rsidR="008677E5">
        <w:t xml:space="preserve">8, </w:t>
      </w:r>
      <w:r w:rsidR="008677E5" w:rsidRPr="008677E5">
        <w:t>1.2</w:t>
      </w:r>
      <w:r w:rsidR="008677E5">
        <w:t>6</w:t>
      </w:r>
      <w:r w:rsidR="008677E5" w:rsidRPr="008677E5">
        <w:t xml:space="preserve"> 1.4</w:t>
      </w:r>
      <w:r w:rsidR="008677E5">
        <w:t>8-fold larger retention</w:t>
      </w:r>
      <w:r w:rsidR="00B340E6">
        <w:t xml:space="preserve"> </w:t>
      </w:r>
      <w:r w:rsidR="008677E5">
        <w:t>factor</w:t>
      </w:r>
      <w:r w:rsidR="00E2235F">
        <w:t>s</w:t>
      </w:r>
      <w:r w:rsidR="00684304">
        <w:t xml:space="preserve"> </w:t>
      </w:r>
      <w:r w:rsidR="00B340E6">
        <w:t>for  a</w:t>
      </w:r>
      <w:r w:rsidR="00684304">
        <w:t xml:space="preserve"> neutral form of </w:t>
      </w:r>
      <w:r w:rsidR="00B340E6">
        <w:t xml:space="preserve">an </w:t>
      </w:r>
      <w:r w:rsidR="00684304">
        <w:t>analyte in neat water eluents</w:t>
      </w:r>
      <w:r w:rsidR="00B340E6" w:rsidRPr="00B340E6">
        <w:t xml:space="preserve"> </w:t>
      </w:r>
      <w:r w:rsidR="00B340E6">
        <w:t>in comparison to XBridge Shield RP18</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r w:rsidR="00D46423">
        <w:t>XBridge Shield RP18 and the other columns is 0.59, -0.12, 0.36, 0.48.</w:t>
      </w:r>
      <w:r w:rsidR="00122CCD">
        <w:t xml:space="preserve"> </w:t>
      </w:r>
      <w:r w:rsidR="009B6766">
        <w:t>The BAV for logkw and S1 (</w:t>
      </w:r>
      <w:r w:rsidR="009B6766" w:rsidRPr="00B340E6">
        <w:rPr>
          <w:rFonts w:ascii="Times New Roman" w:hAnsi="Times New Roman"/>
          <w:i/>
          <w:iCs/>
        </w:rPr>
        <w:t>ω</w:t>
      </w:r>
      <w:r w:rsidR="008E0518" w:rsidRPr="00B340E6">
        <w:rPr>
          <w:i/>
          <w:iCs/>
          <w:vertAlign w:val="subscript"/>
        </w:rPr>
        <w:t>logkw</w:t>
      </w:r>
      <w:r w:rsidR="009B6766">
        <w:t xml:space="preserve"> and </w:t>
      </w:r>
      <w:r w:rsidR="009B6766" w:rsidRPr="00B340E6">
        <w:rPr>
          <w:rFonts w:ascii="Times New Roman" w:hAnsi="Times New Roman"/>
          <w:i/>
          <w:iCs/>
        </w:rPr>
        <w:t>ω</w:t>
      </w:r>
      <w:r w:rsidR="008E0518" w:rsidRPr="00B340E6">
        <w:rPr>
          <w:i/>
          <w:iCs/>
          <w:vertAlign w:val="subscript"/>
        </w:rPr>
        <w:t>S1</w:t>
      </w:r>
      <w:r w:rsidR="009B6766">
        <w:t xml:space="preserve">) for XBridge Shield RP18 is about 0.9 with a high correlation </w:t>
      </w:r>
      <w:r w:rsidR="00C70BC1">
        <w:t xml:space="preserve">of </w:t>
      </w:r>
      <w:r w:rsidR="009B6766">
        <w:t xml:space="preserve">0.87. The BAV for column effects on </w:t>
      </w:r>
      <w:r w:rsidR="009B6766" w:rsidRPr="008E5304">
        <w:rPr>
          <w:i/>
          <w:iCs/>
        </w:rPr>
        <w:t>logkw</w:t>
      </w:r>
      <w:r w:rsidR="009B6766">
        <w:t xml:space="preserve"> (</w:t>
      </w:r>
      <w:r w:rsidR="009B6766" w:rsidRPr="00B340E6">
        <w:rPr>
          <w:i/>
          <w:iCs/>
        </w:rPr>
        <w:t>c</w:t>
      </w:r>
      <w:r w:rsidR="009B6766" w:rsidRPr="00B340E6">
        <w:rPr>
          <w:rFonts w:ascii="Times New Roman" w:hAnsi="Times New Roman"/>
          <w:i/>
          <w:iCs/>
        </w:rPr>
        <w:t>ω</w:t>
      </w:r>
      <w:r w:rsidR="008E0518" w:rsidRPr="00B340E6">
        <w:rPr>
          <w:rFonts w:ascii="Times New Roman" w:hAnsi="Times New Roman"/>
          <w:i/>
          <w:iCs/>
          <w:vertAlign w:val="subscript"/>
        </w:rPr>
        <w:t>logkw</w:t>
      </w:r>
      <w:r w:rsidR="009B6766">
        <w:t xml:space="preserve">) are small </w:t>
      </w:r>
      <w:r w:rsidR="002B70F2">
        <w:t>(</w:t>
      </w:r>
      <w:r w:rsidR="008E0518">
        <w:t>0.10-0.13</w:t>
      </w:r>
      <w:r w:rsidR="002B70F2">
        <w:t>)</w:t>
      </w:r>
      <w:r w:rsidR="009B6766">
        <w:t xml:space="preserve">. They are also correlated with </w:t>
      </w:r>
      <w:r w:rsidR="002B70F2">
        <w:t>correlations (</w:t>
      </w:r>
      <w:r w:rsidR="009B6766" w:rsidRPr="00B340E6">
        <w:rPr>
          <w:i/>
          <w:iCs/>
        </w:rPr>
        <w:t>c</w:t>
      </w:r>
      <w:r w:rsidR="009B6766" w:rsidRPr="00B340E6">
        <w:rPr>
          <w:rFonts w:ascii="Times New Roman" w:hAnsi="Times New Roman"/>
          <w:i/>
          <w:iCs/>
        </w:rPr>
        <w:t>ρ</w:t>
      </w:r>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w:t>
      </w:r>
      <w:r w:rsidR="002B70F2" w:rsidRPr="00B340E6">
        <w:rPr>
          <w:i/>
          <w:iCs/>
        </w:rPr>
        <w:t>c</w:t>
      </w:r>
      <w:r w:rsidR="002B70F2" w:rsidRPr="00B340E6">
        <w:rPr>
          <w:rFonts w:ascii="Times New Roman" w:hAnsi="Times New Roman"/>
          <w:i/>
          <w:iCs/>
        </w:rPr>
        <w:t>ω</w:t>
      </w:r>
      <w:r w:rsidR="008E0518" w:rsidRPr="00B340E6">
        <w:rPr>
          <w:i/>
          <w:iCs/>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analyte variabilities are on a </w:t>
      </w:r>
      <w:r w:rsidR="00B23B47">
        <w:t>logarithmic</w:t>
      </w:r>
      <w:r w:rsidR="00DA6495">
        <w:t xml:space="preserve"> </w:t>
      </w:r>
      <w:r w:rsidR="00B23B47">
        <w:t>scale with base 10</w:t>
      </w:r>
      <w:r w:rsidR="00DA6495">
        <w:t xml:space="preserve">, all standard deviations has to be </w:t>
      </w:r>
      <w:r w:rsidR="00DA6495">
        <w:lastRenderedPageBreak/>
        <w:t>interpreted accordingly</w:t>
      </w:r>
      <w:r w:rsidR="008E0518">
        <w:t xml:space="preserve"> </w:t>
      </w:r>
      <w:r w:rsidR="00C70BC1">
        <w:t xml:space="preserve">to understand the variability </w:t>
      </w:r>
      <w:r w:rsidR="003D3D9A">
        <w:t>of</w:t>
      </w:r>
      <w:r w:rsidR="008E0518">
        <w:t xml:space="preserve"> retention factor</w:t>
      </w:r>
      <w:r w:rsidR="00DA6495">
        <w:t xml:space="preserve">. For example the between analyte variability of 0.1 for </w:t>
      </w:r>
      <w:r w:rsidR="00DA6495" w:rsidRPr="00135F49">
        <w:rPr>
          <w:i/>
          <w:iCs/>
        </w:rPr>
        <w:t>clogkw</w:t>
      </w:r>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 xml:space="preserve">for retention factor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p>
    <w:p w14:paraId="5AE43735" w14:textId="77777777" w:rsidR="00095461" w:rsidRDefault="00715AD8" w:rsidP="00E95769">
      <w:pPr>
        <w:rPr>
          <w:rFonts w:ascii="Times New Roman" w:hAnsi="Times New Roman"/>
        </w:rPr>
      </w:pPr>
      <w:r>
        <w:t xml:space="preserve">The log P effect </w:t>
      </w:r>
      <w:r w:rsidR="00230674">
        <w:t xml:space="preserve">for </w:t>
      </w:r>
      <w:r w:rsidRPr="00135F49">
        <w:rPr>
          <w:i/>
          <w:iCs/>
        </w:rPr>
        <w:t>logkw</w:t>
      </w:r>
      <w:r>
        <w:t xml:space="preserve"> and </w:t>
      </w:r>
      <w:r w:rsidRPr="00135F49">
        <w:rPr>
          <w:i/>
          <w:iCs/>
        </w:rPr>
        <w:t>S1</w:t>
      </w:r>
      <w:r w:rsidR="008E0518" w:rsidRPr="00135F49">
        <w:rPr>
          <w:i/>
          <w:iCs/>
        </w:rPr>
        <w:t>m</w:t>
      </w:r>
      <w:r>
        <w:t xml:space="preserve"> </w:t>
      </w:r>
      <w:r w:rsidR="00230674">
        <w:t xml:space="preserve">have </w:t>
      </w:r>
      <w:r>
        <w:t>slope of 0.83 and 0.48 for XBridge Shield RP 18. The effect</w:t>
      </w:r>
      <w:r w:rsidR="00230674">
        <w:t>s of</w:t>
      </w:r>
      <w:r>
        <w:t xml:space="preserve"> column</w:t>
      </w:r>
      <w:r w:rsidR="00230674">
        <w:t>s</w:t>
      </w:r>
      <w:r>
        <w:t xml:space="preserve"> on </w:t>
      </w:r>
      <w:r w:rsidR="00EF598D">
        <w:t>this</w:t>
      </w:r>
      <w:r>
        <w:t xml:space="preserve"> parameter are small. The largest </w:t>
      </w:r>
      <w:r w:rsidR="008E5304">
        <w:t>effect of 0.1</w:t>
      </w:r>
      <w:r>
        <w:t xml:space="preserve"> is</w:t>
      </w:r>
      <w:r w:rsidR="008E5304">
        <w:t xml:space="preserve"> observed</w:t>
      </w:r>
      <w:r>
        <w:t xml:space="preserve"> </w:t>
      </w:r>
      <w:r w:rsidR="000927BB">
        <w:t>for</w:t>
      </w:r>
      <w:r>
        <w:t xml:space="preserve"> XBridge </w:t>
      </w:r>
      <w:r w:rsidR="000927BB">
        <w:t>Phenyl</w:t>
      </w:r>
      <w:r>
        <w:t xml:space="preserve"> </w:t>
      </w:r>
      <w:r w:rsidR="002A3AAD" w:rsidRPr="00135F49">
        <w:rPr>
          <w:i/>
          <w:iCs/>
        </w:rPr>
        <w:t>cS1m</w:t>
      </w:r>
      <w:r w:rsidR="002A3AAD">
        <w:t xml:space="preserve"> </w:t>
      </w:r>
      <w:r w:rsidR="008F0F0A">
        <w:t>parameter</w:t>
      </w:r>
      <w:r w:rsidR="008E5304">
        <w:t>.</w:t>
      </w:r>
      <w:r>
        <w:t xml:space="preserve"> </w:t>
      </w:r>
      <w:r w:rsidR="009448A6">
        <w:t xml:space="preserve">The </w:t>
      </w:r>
      <w:r w:rsidR="009448A6" w:rsidRPr="00135F49">
        <w:rPr>
          <w:i/>
          <w:iCs/>
        </w:rPr>
        <w:t>S1</w:t>
      </w:r>
      <w:r w:rsidR="009448A6">
        <w:t xml:space="preserve"> is higher in ACN than in MeOH by 0.61 for XBridge Shield RP18 column, and additionally is higher by 0.15 0.81, 0.51, 0.04 for </w:t>
      </w:r>
      <w:r w:rsidR="009448A6" w:rsidRPr="008441E0">
        <w:t>XTerra MS C18</w:t>
      </w:r>
      <w:r w:rsidR="009448A6">
        <w:t xml:space="preserve">, </w:t>
      </w:r>
      <w:r w:rsidR="009448A6" w:rsidRPr="008441E0">
        <w:t>XBridge Phenyl</w:t>
      </w:r>
      <w:r w:rsidR="009448A6">
        <w:t xml:space="preserve">, </w:t>
      </w:r>
      <w:r w:rsidR="009448A6" w:rsidRPr="008441E0">
        <w:t>XBridge C8</w:t>
      </w:r>
      <w:r w:rsidR="009448A6">
        <w:t xml:space="preserve"> and </w:t>
      </w:r>
      <w:r w:rsidR="009448A6" w:rsidRPr="008441E0">
        <w:t>Xterra MS C8</w:t>
      </w:r>
      <w:r w:rsidR="009448A6">
        <w:t xml:space="preserve">. The BAV for </w:t>
      </w:r>
      <w:r w:rsidR="009448A6">
        <w:rPr>
          <w:rFonts w:ascii="Times New Roman" w:hAnsi="Times New Roman"/>
        </w:rPr>
        <w:t>dS1</w:t>
      </w:r>
      <w:r w:rsidR="009448A6">
        <w:t xml:space="preserve"> (</w:t>
      </w:r>
      <w:r w:rsidR="009448A6">
        <w:rPr>
          <w:rFonts w:ascii="Times New Roman" w:hAnsi="Times New Roman"/>
        </w:rPr>
        <w:t>ω</w:t>
      </w:r>
      <w:r w:rsidR="009448A6">
        <w:rPr>
          <w:vertAlign w:val="subscript"/>
        </w:rPr>
        <w:t>dS1</w:t>
      </w:r>
      <w:r w:rsidR="009448A6">
        <w:t xml:space="preserve">) </w:t>
      </w:r>
      <w:r w:rsidR="009448A6" w:rsidRPr="008E0518">
        <w:t>is about (0.55)</w:t>
      </w:r>
      <w:r w:rsidR="009448A6">
        <w:t xml:space="preserve"> and for column effects it ranges from (0.14-0.47).The S2 parameter of the Neue equation is </w:t>
      </w:r>
      <w:r w:rsidR="009448A6" w:rsidRPr="0027491C">
        <w:t>0.4</w:t>
      </w:r>
      <w:r w:rsidR="009448A6">
        <w:t xml:space="preserve">9 in MeOH and 1.3 in ACN. </w:t>
      </w:r>
      <w:r>
        <w:t xml:space="preserve">The </w:t>
      </w:r>
      <w:r w:rsidR="008677E5">
        <w:t xml:space="preserve">temperature </w:t>
      </w:r>
      <w:r>
        <w:t>effect</w:t>
      </w:r>
      <w:r w:rsidR="008F0F0A">
        <w:t xml:space="preserve"> for XBridge Shield RP18</w:t>
      </w:r>
      <w:r w:rsidR="008677E5">
        <w:t xml:space="preserve"> is</w:t>
      </w:r>
      <w:r>
        <w:t xml:space="preserve"> small and consisted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Pr="000927BB">
        <w:t>.</w:t>
      </w:r>
      <w:r>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27491C">
        <w:t xml:space="preserve"> can be expected for XBridge Phenyl</w:t>
      </w:r>
      <w:r w:rsidR="008677E5">
        <w:t xml:space="preserve">. </w:t>
      </w:r>
    </w:p>
    <w:p w14:paraId="512F7319" w14:textId="3ABA7C72" w:rsidR="00E95769" w:rsidRPr="00095461" w:rsidRDefault="00D46423" w:rsidP="00E95769">
      <w:pPr>
        <w:rPr>
          <w:rFonts w:ascii="Times New Roman" w:hAnsi="Times New Roman"/>
        </w:rPr>
      </w:pPr>
      <w:r>
        <w:t xml:space="preserve">The logkw for acids and bases is lower by </w:t>
      </w:r>
      <w:r w:rsidRPr="0047784E">
        <w:t>-0.79</w:t>
      </w:r>
      <w:r>
        <w:t xml:space="preserve"> and </w:t>
      </w:r>
      <w:r w:rsidRPr="0047784E">
        <w:t>-0.97</w:t>
      </w:r>
      <w:r>
        <w:t xml:space="preserve"> on XBridge Shield RP18</w:t>
      </w:r>
      <w:r w:rsidR="0027491C">
        <w:t xml:space="preserve"> with BAV of 0.59</w:t>
      </w:r>
      <w:r>
        <w:t xml:space="preserve">. The </w:t>
      </w:r>
      <w:r w:rsidR="00837702">
        <w:t>column effects</w:t>
      </w:r>
      <w:r>
        <w:t xml:space="preserve"> for that parameter are</w:t>
      </w:r>
      <w:r w:rsidR="00837702">
        <w:t xml:space="preserve"> very</w:t>
      </w:r>
      <w:r>
        <w:t xml:space="preserve"> small</w:t>
      </w:r>
      <w:r w:rsidR="0027491C">
        <w:t xml:space="preserve"> (from -0.04 to 0.04) with BAV ranging from 0.07-0.11</w:t>
      </w:r>
      <w:r>
        <w:t>. The pH effects on logkw for acids and bases (apH) are small and negative for acids</w:t>
      </w:r>
      <w:r w:rsidR="0027491C">
        <w:t xml:space="preserve"> </w:t>
      </w:r>
      <w:r w:rsidR="0027491C" w:rsidRPr="0027491C">
        <w:t>(-0.03</w:t>
      </w:r>
      <w:r w:rsidR="0027491C">
        <w:t xml:space="preserve"> per unit pH</w:t>
      </w:r>
      <w:r w:rsidR="0027491C" w:rsidRPr="0027491C">
        <w:t>)</w:t>
      </w:r>
      <w:r>
        <w:t xml:space="preserve"> and positive for bases</w:t>
      </w:r>
      <w:r w:rsidR="0027491C">
        <w:t xml:space="preserve"> (</w:t>
      </w:r>
      <w:r w:rsidR="0027491C" w:rsidRPr="0027491C">
        <w:t>0.08</w:t>
      </w:r>
      <w:r w:rsidR="0027491C">
        <w:t xml:space="preserve"> per unit pH) for XBridge Shield RP18. The column effect</w:t>
      </w:r>
      <w:r w:rsidR="00E95769">
        <w:t>s</w:t>
      </w:r>
      <w:r w:rsidR="0027491C">
        <w:t xml:space="preserve"> for </w:t>
      </w:r>
      <w:r w:rsidR="0027491C" w:rsidRPr="00E95769">
        <w:rPr>
          <w:i/>
          <w:iCs/>
        </w:rPr>
        <w:t>apH</w:t>
      </w:r>
      <w:r w:rsidR="0027491C">
        <w:t xml:space="preserve"> </w:t>
      </w:r>
      <w:r w:rsidR="00E95769">
        <w:t xml:space="preserve">are small for acids (-0.02-0) and slightly larger for bases ((0.05)- (-0.01)). </w:t>
      </w:r>
    </w:p>
    <w:p w14:paraId="25A61BD8" w14:textId="77777777" w:rsidR="009448A6" w:rsidRPr="00AF079C" w:rsidRDefault="009448A6" w:rsidP="009448A6">
      <w:r>
        <w:rPr>
          <w:noProof/>
        </w:rPr>
        <w:drawing>
          <wp:inline distT="0" distB="0" distL="0" distR="0" wp14:anchorId="05F9C158" wp14:editId="597AF0DC">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BB1F8E3" w14:textId="67E2B76B" w:rsidR="009448A6" w:rsidRDefault="009448A6" w:rsidP="009448A6">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XBridge Shield RP18 column (column effects)</w:t>
      </w:r>
      <w:r w:rsidRPr="006F1F34">
        <w:t>.</w:t>
      </w:r>
    </w:p>
    <w:p w14:paraId="7FA3650D" w14:textId="1F44FB68" w:rsidR="00095461" w:rsidRPr="00095461" w:rsidRDefault="00095461" w:rsidP="00095461">
      <w:r>
        <w:t xml:space="preserve">The S1m for acids and bases is higher by 0.17 and 0.12 on XBridge Shield RP18 with BAV of 0.69. The column effects for that parameter very from </w:t>
      </w:r>
      <w:r w:rsidRPr="00E95769">
        <w:t>-0.49</w:t>
      </w:r>
      <w:r>
        <w:t xml:space="preserve"> to </w:t>
      </w:r>
      <w:r w:rsidRPr="00E95769">
        <w:t>0.36</w:t>
      </w:r>
      <w:r>
        <w:t xml:space="preserve"> depending on column </w:t>
      </w:r>
      <w:r>
        <w:t xml:space="preserve">an analyte form with BAV ranging from 0.04-0.20. The slope for acids and bases is different in ACN (relative to S1m) by 0.28 and -0.67 on XBridge Shield RP18 with BAV of 0.55. The column effects for that parameter very from </w:t>
      </w:r>
      <w:r w:rsidRPr="00E95769">
        <w:t>-0.</w:t>
      </w:r>
      <w:r>
        <w:t xml:space="preserve">04 to </w:t>
      </w:r>
      <w:r w:rsidRPr="00E95769">
        <w:t>0.</w:t>
      </w:r>
      <w:r>
        <w:t>57 depending on column an analyte form with BAV ranging from 0.07-0.72.</w:t>
      </w:r>
    </w:p>
    <w:p w14:paraId="19D7BE07" w14:textId="346D7E07" w:rsidR="009257C7" w:rsidRPr="009257C7" w:rsidRDefault="00410C59" w:rsidP="009257C7">
      <w:r>
        <w:tab/>
      </w:r>
      <w:r w:rsidR="009448A6">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13B6D51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r>
        <w:t>XBridge Shield RP18 column</w:t>
      </w:r>
      <w:r w:rsidRPr="006F1F34">
        <w:t>.</w:t>
      </w:r>
    </w:p>
    <w:p w14:paraId="7307F35E" w14:textId="5BFA6D49" w:rsidR="00681A67" w:rsidRPr="00AF079C" w:rsidRDefault="0073794A" w:rsidP="006F1F34">
      <w:pPr>
        <w:pStyle w:val="TAMainText"/>
      </w:pPr>
      <w:r>
        <w:rPr>
          <w:noProof/>
        </w:rPr>
        <w:drawing>
          <wp:inline distT="0" distB="0" distL="0" distR="0" wp14:anchorId="313F6D53" wp14:editId="03AB43BD">
            <wp:extent cx="3044825" cy="3803650"/>
            <wp:effectExtent l="0" t="0" r="3175" b="635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3CC01EA9"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lastRenderedPageBreak/>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present to improve </w:t>
      </w:r>
      <w:r w:rsidR="0006411C" w:rsidRPr="00CF20D2">
        <w:t>readability</w:t>
      </w:r>
      <w:r w:rsidR="00FE2A16">
        <w:t>.</w:t>
      </w:r>
    </w:p>
    <w:p w14:paraId="74F4BA00" w14:textId="3C392A64" w:rsidR="009448A6" w:rsidRPr="00CB7D4B" w:rsidRDefault="009448A6" w:rsidP="009448A6">
      <w:r w:rsidRPr="00AF079C">
        <w:t xml:space="preserve">The model predictions are well calibrated with the data,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also shown in Figure S4 and S5. The individual prediction are very precise and close to observed data. The population predictions are also well calibrated but are less precise. The limited data predictions are shown in Figure S6. By comparing them to the population predictions one is able to assess th</w:t>
      </w:r>
      <w:r w:rsidR="007D7C0E">
        <w:t>at the</w:t>
      </w:r>
      <w:r>
        <w:t xml:space="preserve"> added predicted value of XBridge Shield RP18 data</w:t>
      </w:r>
      <w:r w:rsidR="007D7C0E">
        <w:t xml:space="preserve"> is large</w:t>
      </w:r>
      <w:r>
        <w:t xml:space="preserve">. 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given access to different data.</w:t>
      </w:r>
    </w:p>
    <w:p w14:paraId="35E223A7" w14:textId="6EDA5053" w:rsidR="009448A6" w:rsidRPr="0046593F" w:rsidRDefault="009448A6" w:rsidP="009448A6">
      <w:r>
        <w:t>All model parameters jointly affect analyte retention. To better illustrate th</w:t>
      </w:r>
      <w:r w:rsidR="00095461">
        <w:t>is</w:t>
      </w:r>
      <w:r>
        <w:t xml:space="preserve"> joined effect of parameters, we simulated the retention factors for the typical acidic, basic and neutral analyte with log P of 0, 3 and 6. The results are present in Figure 4.</w:t>
      </w:r>
      <w:r w:rsidR="008036F3">
        <w:t xml:space="preserve"> Based on that graph one is able to quickly compare column characteristics across a wide range of </w:t>
      </w:r>
      <w:r w:rsidR="00095461">
        <w:t xml:space="preserve">chromatographic </w:t>
      </w:r>
      <w:r w:rsidR="008036F3">
        <w:t xml:space="preserve">conditions. </w:t>
      </w:r>
      <w:r>
        <w:t>We also provide various isocratic prediction for 6 selected analytes to illustrate the impact of parameters on isocratic retention (Figure S8 and S9).</w:t>
      </w:r>
    </w:p>
    <w:p w14:paraId="12EC0BA3" w14:textId="4DF79CA7" w:rsidR="009448A6" w:rsidRDefault="00857755" w:rsidP="009448A6">
      <w:pPr>
        <w:pStyle w:val="VAFigureCaption"/>
      </w:pPr>
      <w:r>
        <w:rPr>
          <w:noProof/>
        </w:rPr>
        <w:drawing>
          <wp:inline distT="0" distB="0" distL="0" distR="0" wp14:anchorId="2F4183D1" wp14:editId="62869A19">
            <wp:extent cx="3044825" cy="380365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306E4F7C" w14:textId="5A04716E" w:rsidR="009448A6" w:rsidRDefault="009448A6" w:rsidP="009448A6">
      <w:pPr>
        <w:pStyle w:val="VAFigureCaption"/>
      </w:pPr>
      <w:r w:rsidRPr="00AF079C">
        <w:t xml:space="preserve">Figure </w:t>
      </w:r>
      <w:r>
        <w:t>5</w:t>
      </w:r>
      <w:r w:rsidRPr="00AF079C">
        <w:t xml:space="preserve">. </w:t>
      </w:r>
      <w:r>
        <w:t>The optimal Bayesian-based chromatographic conditions found based on individual data predictions.</w:t>
      </w:r>
    </w:p>
    <w:p w14:paraId="6884AA81" w14:textId="4AA042AB" w:rsidR="007D7C0E" w:rsidRDefault="007D7C0E" w:rsidP="007D7C0E">
      <w:pPr>
        <w:rPr>
          <w:rFonts w:ascii="Times New Roman" w:hAnsi="Times New Roman"/>
        </w:rPr>
      </w:pPr>
      <w:r>
        <w:t xml:space="preserve">The population predictions are very uncertain and of limited usefulness. Basically, they are driven by unexplained BAV </w:t>
      </w:r>
      <w:r w:rsidRPr="004C3D84">
        <w:rPr>
          <w:rFonts w:ascii="Times New Roman" w:hAnsi="Times New Roman"/>
          <w:i/>
          <w:iCs/>
        </w:rPr>
        <w:t>ω</w:t>
      </w:r>
      <w:r>
        <w:t xml:space="preserve">, which is large. However, by adding experimental information one can decrease this uncertainty. For example, including all the experimental data provides a very accurate predictions </w:t>
      </w:r>
      <w:r>
        <w:t xml:space="preserve">(individual predictions). For the limited data predictions the uncertainty is almost entirely reduced for XBridge Shield RP18 column (as there is a lot of data collect using that particular column). For </w:t>
      </w:r>
      <w:r w:rsidR="006163A4">
        <w:t xml:space="preserve">all the </w:t>
      </w:r>
      <w:r>
        <w:t>other columns there is still some proportion of uncertainty left, here mostly driven by c</w:t>
      </w:r>
      <w:r w:rsidRPr="004C3D84">
        <w:rPr>
          <w:rFonts w:ascii="Times New Roman" w:hAnsi="Times New Roman"/>
          <w:i/>
          <w:iCs/>
        </w:rPr>
        <w:t>ω</w:t>
      </w:r>
      <w:r>
        <w:rPr>
          <w:rFonts w:ascii="Times New Roman" w:hAnsi="Times New Roman"/>
        </w:rPr>
        <w:t>. Since</w:t>
      </w:r>
      <w:r w:rsidRPr="004C3D84">
        <w:rPr>
          <w:rFonts w:ascii="Times New Roman" w:hAnsi="Times New Roman"/>
        </w:rPr>
        <w:t xml:space="preserve"> </w:t>
      </w:r>
      <w:r w:rsidRPr="004C3D84">
        <w:t>c</w:t>
      </w:r>
      <w:r w:rsidRPr="004C3D84">
        <w:rPr>
          <w:rFonts w:ascii="Times New Roman" w:hAnsi="Times New Roman"/>
        </w:rPr>
        <w:t>ω</w:t>
      </w:r>
      <w:r>
        <w:rPr>
          <w:rFonts w:ascii="Times New Roman" w:hAnsi="Times New Roman"/>
          <w:i/>
          <w:iCs/>
        </w:rPr>
        <w:t xml:space="preserve"> </w:t>
      </w:r>
      <w:r w:rsidRPr="004C3D84">
        <w:t>is small (about 0.1</w:t>
      </w:r>
      <w:r>
        <w:t xml:space="preserve"> for neutral forms of analyte</w:t>
      </w:r>
      <w:r w:rsidRPr="004C3D84">
        <w:t>)</w:t>
      </w:r>
      <w:r>
        <w:rPr>
          <w:rFonts w:ascii="Times New Roman" w:hAnsi="Times New Roman"/>
          <w:i/>
          <w:iCs/>
        </w:rPr>
        <w:t xml:space="preserve"> </w:t>
      </w:r>
      <w:r>
        <w:rPr>
          <w:rFonts w:ascii="Times New Roman" w:hAnsi="Times New Roman"/>
        </w:rPr>
        <w:t>one can expect a fairly precise predictions, i.e. one is able to predict isocratic retention factor with an uncertainty of about 20-25%. It might be of practical usefulness for simple problems involving few analytes.</w:t>
      </w:r>
    </w:p>
    <w:p w14:paraId="7C2511E7" w14:textId="0C3985F9" w:rsidR="003E5B4E" w:rsidRDefault="002B70F2" w:rsidP="000707D9">
      <w:pPr>
        <w:pStyle w:val="TAMainText"/>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BB4B46">
        <w:t xml:space="preserve">using </w:t>
      </w:r>
      <w:r w:rsidR="008D509C">
        <w:t xml:space="preserve">statistical </w:t>
      </w:r>
      <w:r w:rsidR="00BB4B46">
        <w:t xml:space="preserve">decision theory. For that purpose </w:t>
      </w:r>
      <w:r w:rsidR="00540A9F">
        <w:t xml:space="preserve">we proposed </w:t>
      </w:r>
      <w:r w:rsidR="00BB4B46">
        <w:t>a</w:t>
      </w:r>
      <w:r w:rsidR="00136950">
        <w:t xml:space="preserve"> very simply utility function </w:t>
      </w:r>
      <w:r w:rsidR="00BB4B46">
        <w:t xml:space="preserve">that </w:t>
      </w:r>
      <w:r w:rsidR="00136950">
        <w:t>favor</w:t>
      </w:r>
      <w:r w:rsidR="00BB4B46">
        <w:t>s</w:t>
      </w:r>
      <w:r w:rsidR="00136950">
        <w:t xml:space="preserve"> shorter runs within a separation window </w:t>
      </w:r>
      <w:r w:rsidR="00232FD8">
        <w:t>between</w:t>
      </w:r>
      <w:r w:rsidR="00136950">
        <w:t xml:space="preserve"> 2 </w:t>
      </w:r>
      <w:r w:rsidR="00232FD8">
        <w:t xml:space="preserve">and </w:t>
      </w:r>
      <w:r w:rsidR="00136950">
        <w:t xml:space="preserve">40 min and ensuring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 </w:t>
      </w:r>
      <w:r w:rsidR="00646BD1">
        <w:t>Based on</w:t>
      </w:r>
      <w:r w:rsidR="00232FD8">
        <w:t xml:space="preserve"> </w:t>
      </w:r>
      <w:r w:rsidR="00136950">
        <w:t xml:space="preserve">individual predictions </w:t>
      </w:r>
      <w:r w:rsidR="00232FD8">
        <w:t xml:space="preserve">one can identify chromatographic conditions leading </w:t>
      </w:r>
      <w:r w:rsidR="008D509C">
        <w:t xml:space="preserve">to high expected utilities </w:t>
      </w:r>
      <w:r w:rsidR="00232FD8">
        <w:t xml:space="preserve">for all of the </w:t>
      </w:r>
      <w:r w:rsidR="008D509C">
        <w:t xml:space="preserve">analyzed </w:t>
      </w:r>
      <w:r w:rsidR="00232FD8">
        <w:t xml:space="preserve">columns. </w:t>
      </w:r>
      <w:r w:rsidR="00646BD1">
        <w:t>The highest</w:t>
      </w:r>
      <w:r w:rsidR="008D509C">
        <w:t xml:space="preserve"> expected</w:t>
      </w:r>
      <w:r w:rsidR="00646BD1">
        <w:t xml:space="preserve"> utility</w:t>
      </w:r>
      <w:r w:rsidR="006163A4">
        <w:t xml:space="preserve"> among the considered conditions</w:t>
      </w:r>
      <w:r w:rsidR="00646BD1">
        <w:t xml:space="preserve"> </w:t>
      </w:r>
      <w:r w:rsidR="008D509C">
        <w:t>was identified</w:t>
      </w:r>
      <w:r w:rsidR="00646BD1">
        <w:t xml:space="preserve"> for</w:t>
      </w:r>
      <w:r w:rsidR="00232FD8">
        <w:t xml:space="preserve"> </w:t>
      </w:r>
      <w:r w:rsidR="00232FD8" w:rsidRPr="00232FD8">
        <w:t>Xterra</w:t>
      </w:r>
      <w:r w:rsidR="006163A4">
        <w:t xml:space="preserve"> Phenyl C18</w:t>
      </w:r>
      <w:r w:rsidR="00646BD1">
        <w:t>.</w:t>
      </w:r>
      <w:r w:rsidR="00967558">
        <w:t xml:space="preserve"> </w:t>
      </w:r>
      <w:r w:rsidR="008D509C">
        <w:t>Nevertheless, t</w:t>
      </w:r>
      <w:r w:rsidR="00967558">
        <w:t>he differences</w:t>
      </w:r>
      <w:r w:rsidR="00DD21B6">
        <w:t xml:space="preserve"> in expected utility</w:t>
      </w:r>
      <w:r w:rsidR="00967558">
        <w:t xml:space="preserve"> are</w:t>
      </w:r>
      <w:r w:rsidR="008D509C">
        <w:t xml:space="preserve"> </w:t>
      </w:r>
      <w:r w:rsidR="00967558">
        <w:t>small</w:t>
      </w:r>
      <w:r w:rsidR="00DD21B6">
        <w:t xml:space="preserve"> </w:t>
      </w:r>
      <w:r w:rsidR="00F612B8">
        <w:t>suggesting</w:t>
      </w:r>
      <w:r w:rsidR="00DD21B6">
        <w:t xml:space="preserve"> </w:t>
      </w:r>
      <w:r w:rsidR="00540A9F">
        <w:t>that similar separation</w:t>
      </w:r>
      <w:r w:rsidR="00F612B8">
        <w:t>s</w:t>
      </w:r>
      <w:r w:rsidR="00540A9F">
        <w:t xml:space="preserve"> (with respect to the proposed utility) can</w:t>
      </w:r>
      <w:r w:rsidR="008D509C">
        <w:t xml:space="preserve"> </w:t>
      </w:r>
      <w:r w:rsidR="00540A9F">
        <w:t>be identified</w:t>
      </w:r>
      <w:r w:rsidR="008D509C">
        <w:t xml:space="preserve"> for other columns</w:t>
      </w:r>
      <w:r w:rsidR="00967558">
        <w:t xml:space="preserve">. </w:t>
      </w:r>
      <w:r w:rsidR="00DD21B6">
        <w:t xml:space="preserve">Based on utility maps one can </w:t>
      </w:r>
      <w:r w:rsidR="00540A9F">
        <w:t xml:space="preserve">also </w:t>
      </w:r>
      <w:r w:rsidR="00DD21B6">
        <w:t>identify all the</w:t>
      </w:r>
      <w:r w:rsidR="00967558">
        <w:t xml:space="preserve"> “windows of opportunity</w:t>
      </w:r>
      <w:r w:rsidR="00DD21B6">
        <w:t>”</w:t>
      </w:r>
      <w:r w:rsidR="00540A9F">
        <w:t xml:space="preserve"> understood as a regions of chromatographic conditions leading to similar separations.</w:t>
      </w:r>
    </w:p>
    <w:p w14:paraId="24A3214C" w14:textId="47F96F67" w:rsidR="002933E5" w:rsidRDefault="00BB4B46" w:rsidP="002933E5">
      <w:r>
        <w:t>Similarly</w:t>
      </w:r>
      <w:r w:rsidR="00540A9F">
        <w:t>,</w:t>
      </w:r>
      <w:r>
        <w:t xml:space="preserve"> </w:t>
      </w:r>
      <w:r w:rsidR="00540A9F">
        <w:t>it is possible to</w:t>
      </w:r>
      <w:r>
        <w:t xml:space="preserve"> identify optimal conditions based on </w:t>
      </w:r>
      <w:r w:rsidR="00F612B8">
        <w:t xml:space="preserve">the </w:t>
      </w:r>
      <w:r>
        <w:t xml:space="preserve">limited data (e.g. conditional on XBridge Shield RP18 data). This is a situation of trying to predict retention on </w:t>
      </w:r>
      <w:r w:rsidR="00EA06CE">
        <w:t>a different</w:t>
      </w:r>
      <w:r>
        <w:t xml:space="preserve"> column having a fairly good understanding of retention</w:t>
      </w:r>
      <w:r w:rsidR="008D509C">
        <w:t xml:space="preserve"> of analytes</w:t>
      </w:r>
      <w:r>
        <w:t xml:space="preserve"> </w:t>
      </w:r>
      <w:r w:rsidR="00F612B8">
        <w:t>for</w:t>
      </w:r>
      <w:r>
        <w:t xml:space="preserve"> one </w:t>
      </w:r>
      <w:r w:rsidR="00540A9F">
        <w:t xml:space="preserve">reference </w:t>
      </w:r>
      <w:r>
        <w:t xml:space="preserve">column. In </w:t>
      </w:r>
      <w:r w:rsidR="00AE7D14">
        <w:t>ou</w:t>
      </w:r>
      <w:r w:rsidR="008D509C">
        <w:t>r</w:t>
      </w:r>
      <w:r>
        <w:t xml:space="preserve"> scenario, the uncertainties of the resulting chromatograms are </w:t>
      </w:r>
      <w:r w:rsidR="008D509C">
        <w:t>rather large (standard deviation is in a range of few minutes)</w:t>
      </w:r>
      <w:r>
        <w:t xml:space="preserve">, suggesting </w:t>
      </w:r>
      <w:r w:rsidR="00540A9F">
        <w:t xml:space="preserve">that </w:t>
      </w:r>
      <w:r>
        <w:t xml:space="preserve">additional experiments </w:t>
      </w:r>
      <w:r w:rsidR="00540A9F">
        <w:t xml:space="preserve">are required </w:t>
      </w:r>
      <w:r>
        <w:t>to improve precision.</w:t>
      </w:r>
      <w:r w:rsidR="00A2047A">
        <w:t xml:space="preserve"> </w:t>
      </w:r>
      <w:r w:rsidR="00AE7D14">
        <w:t xml:space="preserve">There are </w:t>
      </w:r>
      <w:r w:rsidR="002933E5">
        <w:t>several</w:t>
      </w:r>
      <w:r w:rsidR="00AE7D14">
        <w:t xml:space="preserve"> options of how to proceed</w:t>
      </w:r>
      <w:r w:rsidR="00EA06CE">
        <w:t xml:space="preserve">. </w:t>
      </w:r>
      <w:r w:rsidR="008D509C">
        <w:t>Once</w:t>
      </w:r>
      <w:r w:rsidR="002933E5">
        <w:t xml:space="preserve"> can </w:t>
      </w:r>
      <w:r w:rsidR="00DA4679">
        <w:t xml:space="preserve">try to </w:t>
      </w:r>
      <w:r w:rsidR="002933E5">
        <w:t xml:space="preserve">find the best experimental design ensuring the highest informativeness of a set of additional experiments. Since our model provides a prior information for subsequent analysis this prior information can be utilized to decrease the number of </w:t>
      </w:r>
      <w:r w:rsidR="00EA06CE">
        <w:t xml:space="preserve">required </w:t>
      </w:r>
      <w:r w:rsidR="002933E5">
        <w:t xml:space="preserve">experiments. One can also </w:t>
      </w:r>
      <w:r w:rsidR="00DA4679">
        <w:t>perform experiments</w:t>
      </w:r>
      <w:r w:rsidR="002933E5">
        <w:t xml:space="preserve"> sequentially </w:t>
      </w:r>
      <w:r w:rsidR="00DA4679">
        <w:t>and refine predictions after every experiment.</w:t>
      </w:r>
      <w:r w:rsidR="00DA4679">
        <w:fldChar w:fldCharType="begin"/>
      </w:r>
      <w:r w:rsidR="00DA4679">
        <w:instrText xml:space="preserve"> ADDIN ZOTERO_ITEM CSL_CITATION {"citationID":"OIOvdPTN","properties":{"formattedCitation":"\\super 20\\nosupersub{}","plainCitation":"20","noteIndex":0},"citationItems":[{"id":281,"uris":["http://zotero.org/users/local/cIlVeWgC/items/8ZFEQITB"],"itemData":{"id":281,"type":"article-journal","abstract":"In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DA4679" w:rsidRPr="00A2047A">
        <w:rPr>
          <w:szCs w:val="24"/>
          <w:vertAlign w:val="superscript"/>
        </w:rPr>
        <w:t>20</w:t>
      </w:r>
      <w:r w:rsidR="00DA4679">
        <w:fldChar w:fldCharType="end"/>
      </w:r>
      <w:r w:rsidR="00EA06CE">
        <w:t xml:space="preserve"> </w:t>
      </w:r>
      <w:r w:rsidR="00F612B8">
        <w:t xml:space="preserve">The clear benefit of having the model that quantifies uncertainty is that it allows to identify chromatographic conditions for which the desired separation is possible. </w:t>
      </w:r>
    </w:p>
    <w:p w14:paraId="488FE598" w14:textId="1E113771" w:rsidR="00DA4679" w:rsidRDefault="00DA4679" w:rsidP="00DA4679">
      <w:r>
        <w:t xml:space="preserve">The proposed model is complex but </w:t>
      </w:r>
      <w:r w:rsidR="00B929F4">
        <w:t>at the current form has</w:t>
      </w:r>
      <w:r w:rsidR="00BA4D18">
        <w:t xml:space="preserve"> several </w:t>
      </w:r>
      <w:r w:rsidR="00B929F4">
        <w:t>complexities</w:t>
      </w:r>
      <w:r>
        <w:t xml:space="preserve"> </w:t>
      </w:r>
      <w:r w:rsidR="00BA4D18">
        <w:t xml:space="preserve">that can be </w:t>
      </w:r>
      <w:r w:rsidR="00B929F4">
        <w:t>added</w:t>
      </w:r>
      <w:r>
        <w:t xml:space="preserve"> (e.g. temperature effects for the effects of dissociation </w:t>
      </w:r>
      <w:r w:rsidR="00BA4D18">
        <w:t>and</w:t>
      </w:r>
      <w:r>
        <w:t xml:space="preserve"> </w:t>
      </w:r>
      <w:r w:rsidRPr="00441F83">
        <w:rPr>
          <w:i/>
          <w:iCs/>
        </w:rPr>
        <w:t>pK</w:t>
      </w:r>
      <w:r w:rsidRPr="00441F83">
        <w:rPr>
          <w:i/>
          <w:iCs/>
          <w:vertAlign w:val="subscript"/>
        </w:rPr>
        <w:t>a</w:t>
      </w:r>
      <w:r>
        <w:t>, BAV for S2 and apH, etc.). Specifically, the S2 parameter</w:t>
      </w:r>
      <w:r w:rsidR="00A86333">
        <w:t>s</w:t>
      </w:r>
      <w:r>
        <w:t xml:space="preserve"> was assumed similar across columns. This is a strong assumptions, but justified by the fact that any small change of S2 can be equally well accounted for by changes in S1. We also encountered several technical difficulties during the model building process that required simplifications to run the MCMC without problems, e.g. excluding analytes with more than 2 dissociations steps</w:t>
      </w:r>
      <w:r w:rsidR="00B929F4">
        <w:t xml:space="preserve"> and several analytes which were note correctly identified (there was mismatch between observed pH-profile and ACD dissociation pattern)</w:t>
      </w:r>
      <w:r>
        <w:t>.</w:t>
      </w:r>
      <w:r w:rsidR="008D509C">
        <w:t xml:space="preserve"> </w:t>
      </w:r>
      <w:r w:rsidR="000849C3">
        <w:t>I</w:t>
      </w:r>
      <w:r w:rsidR="000849C3">
        <w:t xml:space="preserve">n </w:t>
      </w:r>
      <w:r w:rsidR="000849C3">
        <w:t>the present</w:t>
      </w:r>
      <w:r w:rsidR="000849C3">
        <w:t xml:space="preserve"> model </w:t>
      </w:r>
      <w:r w:rsidR="000849C3">
        <w:t>t</w:t>
      </w:r>
      <w:r>
        <w:t xml:space="preserve">he column effect were incorporated as fixed effects. It is also possible to include </w:t>
      </w:r>
      <w:r w:rsidR="008D509C">
        <w:t>than</w:t>
      </w:r>
      <w:r>
        <w:t xml:space="preserve"> as a random effects and add column-level predictors. It would </w:t>
      </w:r>
      <w:r>
        <w:lastRenderedPageBreak/>
        <w:t xml:space="preserve">allow to build a model that generalized to other columns in a similar way the proposed model generalized to other analytes. This idea is worth pursuing, however requires data collected for a wider range of columns. </w:t>
      </w:r>
    </w:p>
    <w:p w14:paraId="4FE42747" w14:textId="38A17BE0" w:rsidR="00DA4679" w:rsidRDefault="003C250B" w:rsidP="00DA4679">
      <w:r>
        <w:t>Our</w:t>
      </w:r>
      <w:r w:rsidR="00DA4679">
        <w:t xml:space="preserve"> results </w:t>
      </w:r>
      <w:r>
        <w:t>confirm</w:t>
      </w:r>
      <w:r w:rsidR="00DA4679">
        <w:t xml:space="preserve"> that it is rather </w:t>
      </w:r>
      <w:r w:rsidR="000849C3">
        <w:t>difficult</w:t>
      </w:r>
      <w:r w:rsidR="00DA4679">
        <w:t xml:space="preserve"> to predict analyte retention precisely without a set of preliminary chromatographic measurements. Even having access to the extensive data collected for one column, the retention </w:t>
      </w:r>
      <w:r>
        <w:t>factor</w:t>
      </w:r>
      <w:r w:rsidR="00DA4679">
        <w:t xml:space="preserve"> can be predicted with ~25% precisions for the most optimistic scenario of a neutral compound. It might by sufficient for some </w:t>
      </w:r>
      <w:r>
        <w:t>simple problems encountered in practice</w:t>
      </w:r>
      <w:r w:rsidR="008D509C">
        <w:t>, but is not sufficient for problems involving analytes of different acidi</w:t>
      </w:r>
      <w:r w:rsidR="00871273">
        <w:t>c</w:t>
      </w:r>
      <w:r w:rsidR="008D509C">
        <w:t>/basic characteristics</w:t>
      </w:r>
      <w:r w:rsidR="00871273">
        <w:t>.</w:t>
      </w:r>
      <w:r w:rsidR="00A86333" w:rsidRPr="00A86333">
        <w:t xml:space="preserve"> </w:t>
      </w:r>
    </w:p>
    <w:p w14:paraId="28C30DC7" w14:textId="4A51F48A" w:rsidR="001A093C" w:rsidRPr="00AF079C" w:rsidRDefault="00857755" w:rsidP="001A093C">
      <w:pPr>
        <w:pStyle w:val="TAMainText"/>
      </w:pPr>
      <w:r>
        <w:rPr>
          <w:noProof/>
        </w:rPr>
        <w:drawing>
          <wp:inline distT="0" distB="0" distL="0" distR="0" wp14:anchorId="451F3929" wp14:editId="220E860F">
            <wp:extent cx="3044825" cy="3803650"/>
            <wp:effectExtent l="0" t="0" r="317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5DF460A3" w14:textId="1CEDF21C" w:rsidR="001A093C" w:rsidRDefault="001A093C" w:rsidP="001A093C">
      <w:pPr>
        <w:pStyle w:val="VAFigureCaption"/>
      </w:pPr>
      <w:r>
        <w:t>F</w:t>
      </w:r>
      <w:r w:rsidRPr="00AF079C">
        <w:t xml:space="preserve">igure </w:t>
      </w:r>
      <w:r w:rsidR="000707D9">
        <w:t>6</w:t>
      </w:r>
      <w:r w:rsidRPr="00AF079C">
        <w:t xml:space="preserve">. </w:t>
      </w:r>
      <w:r w:rsidR="006E2C23">
        <w:t>The optimal Bayesian-based chromatographic conditions found based on limited data predictions.</w:t>
      </w:r>
    </w:p>
    <w:p w14:paraId="4132F16F" w14:textId="77777777" w:rsidR="00681A67" w:rsidRPr="008B3F31" w:rsidRDefault="00681A67" w:rsidP="006F1F34">
      <w:pPr>
        <w:pStyle w:val="Nagwek1"/>
      </w:pPr>
      <w:r w:rsidRPr="008B3F31">
        <w:t>CONCLUSIONS</w:t>
      </w:r>
    </w:p>
    <w:p w14:paraId="5A64FEE6" w14:textId="6291A27C" w:rsidR="00681A67" w:rsidRPr="004A457B" w:rsidRDefault="00681A67" w:rsidP="006F1F34">
      <w:pPr>
        <w:pStyle w:val="TAMainText"/>
      </w:pPr>
      <w:r w:rsidRPr="004A457B">
        <w:t>This work demonstrate</w:t>
      </w:r>
      <w:r w:rsidR="004C3D84">
        <w:t>s</w:t>
      </w:r>
      <w:r w:rsidRPr="004A457B">
        <w:t xml:space="preserve"> the application of a Bayesian multilevel model to compare various stationary phases using large datasets collected for a wide range of 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w:t>
      </w:r>
      <w:r w:rsidR="00436A61">
        <w:t>es</w:t>
      </w:r>
      <w:r w:rsidR="00DA4679">
        <w:t xml:space="preserve"> the effects </w:t>
      </w:r>
      <w:r w:rsidR="004C3D84">
        <w:t xml:space="preserve">of </w:t>
      </w:r>
      <w:r w:rsidR="00640555">
        <w:t xml:space="preserve">pH, </w:t>
      </w:r>
      <w:r w:rsidR="004C3D84">
        <w:t xml:space="preserve">temperature, </w:t>
      </w:r>
      <w:r w:rsidR="00DA4679">
        <w:t xml:space="preserve">log P, </w:t>
      </w:r>
      <w:r w:rsidR="00DA4679" w:rsidRPr="00DA4679">
        <w:rPr>
          <w:i/>
          <w:iCs/>
        </w:rPr>
        <w:t>pK</w:t>
      </w:r>
      <w:r w:rsidR="00DA4679" w:rsidRPr="00DA4679">
        <w:rPr>
          <w:i/>
          <w:iCs/>
          <w:vertAlign w:val="subscript"/>
        </w:rPr>
        <w:t>a</w:t>
      </w:r>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w:t>
      </w:r>
      <w:r w:rsidR="00436A61">
        <w:t xml:space="preserve">the </w:t>
      </w:r>
      <w:r w:rsidR="00DA4679">
        <w:t>estimated parameters can be used to solve various decision problems. The proposed method provides a tool allowing for a very comprehensive assessment of stationary phase properties</w:t>
      </w:r>
      <w:r w:rsidR="00A86333">
        <w:t xml:space="preserve"> </w:t>
      </w:r>
      <w:r w:rsidR="00436A61">
        <w:t>that</w:t>
      </w:r>
      <w:r w:rsidR="00A86333">
        <w:t xml:space="preserve"> seems to be an interesting alternative to existing methods.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w:t>
      </w:r>
      <w:r w:rsidRPr="00C47C14">
        <w:rPr>
          <w:b w:val="0"/>
          <w:bCs w:val="0"/>
          <w:kern w:val="20"/>
          <w:sz w:val="18"/>
        </w:rPr>
        <w:t>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4E8C9D7" w:rsidR="00681A67" w:rsidRPr="0045566C" w:rsidRDefault="00681A67" w:rsidP="006F1F34">
      <w:pPr>
        <w:pStyle w:val="StyleFACorrespondingAuthorFootnote7pt"/>
        <w:rPr>
          <w:rStyle w:val="FAAuthorInfoSubtitleChar"/>
          <w:color w:val="auto"/>
        </w:rPr>
      </w:pPr>
      <w:r w:rsidRPr="0045566C">
        <w:rPr>
          <w:color w:val="auto"/>
        </w:rPr>
        <w:t xml:space="preserve">ŁK, JJ, WSL collected the experimental data; ŁK and AK prepared the data for analysis; 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This project was supported by the National Science Centre, Poland (grant 2015/18/E/ST4/00449). AK was also supported by the project POWR.03.02.00-00-I035/16-00 cofinanced by the European Union through the European Social Fund under the Operational Programme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15A8F087" w14:textId="77777777" w:rsidR="00A2047A" w:rsidRPr="00A2047A" w:rsidRDefault="00681A67" w:rsidP="00A2047A">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A2047A" w:rsidRPr="00A2047A">
        <w:t>(1)</w:t>
      </w:r>
      <w:r w:rsidR="00A2047A" w:rsidRPr="00A2047A">
        <w:tab/>
        <w:t xml:space="preserve">Žuvela, P.; Skoczylas, M.; Jay Liu, J.; Ba̧czek, T.; Kaliszan, R.; Wong, M. W.; Buszewski, B. Column Characterization and Selection Systems in Reversed-Phase High-Performance Liquid Chromatography. </w:t>
      </w:r>
      <w:r w:rsidR="00A2047A" w:rsidRPr="00A2047A">
        <w:rPr>
          <w:i/>
          <w:iCs/>
        </w:rPr>
        <w:t>Chem. Rev.</w:t>
      </w:r>
      <w:r w:rsidR="00A2047A" w:rsidRPr="00A2047A">
        <w:t xml:space="preserve"> </w:t>
      </w:r>
      <w:r w:rsidR="00A2047A" w:rsidRPr="00A2047A">
        <w:rPr>
          <w:b/>
          <w:bCs/>
        </w:rPr>
        <w:t>2019</w:t>
      </w:r>
      <w:r w:rsidR="00A2047A" w:rsidRPr="00A2047A">
        <w:t xml:space="preserve">, </w:t>
      </w:r>
      <w:r w:rsidR="00A2047A" w:rsidRPr="00A2047A">
        <w:rPr>
          <w:i/>
          <w:iCs/>
        </w:rPr>
        <w:t>119</w:t>
      </w:r>
      <w:r w:rsidR="00A2047A" w:rsidRPr="00A2047A">
        <w:t xml:space="preserve"> (6), 3674–3729. https://doi.org/10.1021/acs.chemrev.8b00246.</w:t>
      </w:r>
    </w:p>
    <w:p w14:paraId="0D20226B" w14:textId="77777777" w:rsidR="00A2047A" w:rsidRPr="00A2047A" w:rsidRDefault="00A2047A" w:rsidP="00A2047A">
      <w:pPr>
        <w:pStyle w:val="Bibliografia"/>
      </w:pPr>
      <w:r w:rsidRPr="00A2047A">
        <w:t>(2)</w:t>
      </w:r>
      <w:r w:rsidRPr="00A2047A">
        <w:tab/>
        <w:t xml:space="preserve">Gritti, F.; Guiochon, G. Adsorption Mechanism in RPLC. Effect of the Nature of the Organic Modifier. </w:t>
      </w:r>
      <w:r w:rsidRPr="00A2047A">
        <w:rPr>
          <w:i/>
          <w:iCs/>
        </w:rPr>
        <w:t>Anal Chem</w:t>
      </w:r>
      <w:r w:rsidRPr="00A2047A">
        <w:t xml:space="preserve"> </w:t>
      </w:r>
      <w:r w:rsidRPr="00A2047A">
        <w:rPr>
          <w:b/>
          <w:bCs/>
        </w:rPr>
        <w:t>2005</w:t>
      </w:r>
      <w:r w:rsidRPr="00A2047A">
        <w:t xml:space="preserve">, </w:t>
      </w:r>
      <w:r w:rsidRPr="00A2047A">
        <w:rPr>
          <w:i/>
          <w:iCs/>
        </w:rPr>
        <w:t>77</w:t>
      </w:r>
      <w:r w:rsidRPr="00A2047A">
        <w:t xml:space="preserve"> (13), 4257–4272. https://doi.org/10.1021/ac0580058.</w:t>
      </w:r>
    </w:p>
    <w:p w14:paraId="24D51F44" w14:textId="77777777" w:rsidR="00A2047A" w:rsidRPr="00A2047A" w:rsidRDefault="00A2047A" w:rsidP="00A2047A">
      <w:pPr>
        <w:pStyle w:val="Bibliografia"/>
      </w:pPr>
      <w:r w:rsidRPr="00A2047A">
        <w:t>(3)</w:t>
      </w:r>
      <w:r w:rsidRPr="00A2047A">
        <w:tab/>
        <w:t xml:space="preserve">Gritti, F. Perspective on the Future Approaches to Predict Retention in Liquid Chromatography. </w:t>
      </w:r>
      <w:r w:rsidRPr="00A2047A">
        <w:rPr>
          <w:i/>
          <w:iCs/>
        </w:rPr>
        <w:t>Anal. Chem.</w:t>
      </w:r>
      <w:r w:rsidRPr="00A2047A">
        <w:t xml:space="preserve"> </w:t>
      </w:r>
      <w:r w:rsidRPr="00A2047A">
        <w:rPr>
          <w:b/>
          <w:bCs/>
        </w:rPr>
        <w:t>2021</w:t>
      </w:r>
      <w:r w:rsidRPr="00A2047A">
        <w:t xml:space="preserve">, </w:t>
      </w:r>
      <w:r w:rsidRPr="00A2047A">
        <w:rPr>
          <w:i/>
          <w:iCs/>
        </w:rPr>
        <w:t>93</w:t>
      </w:r>
      <w:r w:rsidRPr="00A2047A">
        <w:t xml:space="preserve"> (14), 5653–5664. https://doi.org/10.1021/acs.analchem.0c05078.</w:t>
      </w:r>
    </w:p>
    <w:p w14:paraId="1F1D369E" w14:textId="77777777" w:rsidR="00A2047A" w:rsidRPr="00A2047A" w:rsidRDefault="00A2047A" w:rsidP="00A2047A">
      <w:pPr>
        <w:pStyle w:val="Bibliografia"/>
      </w:pPr>
      <w:r w:rsidRPr="00A2047A">
        <w:t>(4)</w:t>
      </w:r>
      <w:r w:rsidRPr="00A2047A">
        <w:tab/>
        <w:t xml:space="preserve">Kamedulska, A.; Kubik, Ł.; Jacyna, J.; Struck-Lewicka, W.; Markuszewski, M. J.; Wiczling, P. Toward the General Mechanistic Model of Liquid Chromatographic Retention. </w:t>
      </w:r>
      <w:r w:rsidRPr="00A2047A">
        <w:rPr>
          <w:i/>
          <w:iCs/>
        </w:rPr>
        <w:t>Anal. Chem.</w:t>
      </w:r>
      <w:r w:rsidRPr="00A2047A">
        <w:t xml:space="preserve"> </w:t>
      </w:r>
      <w:r w:rsidRPr="00A2047A">
        <w:rPr>
          <w:b/>
          <w:bCs/>
        </w:rPr>
        <w:t>2022</w:t>
      </w:r>
      <w:r w:rsidRPr="00A2047A">
        <w:t xml:space="preserve">, </w:t>
      </w:r>
      <w:r w:rsidRPr="00A2047A">
        <w:rPr>
          <w:i/>
          <w:iCs/>
        </w:rPr>
        <w:t>94</w:t>
      </w:r>
      <w:r w:rsidRPr="00A2047A">
        <w:t xml:space="preserve"> (31), 11070–11080. https://doi.org/10.1021/acs.analchem.2c02034.</w:t>
      </w:r>
    </w:p>
    <w:p w14:paraId="3EC506BE" w14:textId="77777777" w:rsidR="00A2047A" w:rsidRPr="00A2047A" w:rsidRDefault="00A2047A" w:rsidP="00A2047A">
      <w:pPr>
        <w:pStyle w:val="Bibliografia"/>
      </w:pPr>
      <w:r w:rsidRPr="00A2047A">
        <w:t>(5)</w:t>
      </w:r>
      <w:r w:rsidRPr="00A2047A">
        <w:tab/>
        <w:t xml:space="preserve">Kamedulska, A.; Kubik, Ł.; Wiczling, P. Statistical Analysis of Isocratic Chromatographic Data Using Bayesian Modeling. </w:t>
      </w:r>
      <w:r w:rsidRPr="00A2047A">
        <w:rPr>
          <w:i/>
          <w:iCs/>
        </w:rPr>
        <w:t>Anal Bioanal Chem</w:t>
      </w:r>
      <w:r w:rsidRPr="00A2047A">
        <w:t xml:space="preserve"> </w:t>
      </w:r>
      <w:r w:rsidRPr="00A2047A">
        <w:rPr>
          <w:b/>
          <w:bCs/>
        </w:rPr>
        <w:t>2022</w:t>
      </w:r>
      <w:r w:rsidRPr="00A2047A">
        <w:t xml:space="preserve">, </w:t>
      </w:r>
      <w:r w:rsidRPr="00A2047A">
        <w:rPr>
          <w:i/>
          <w:iCs/>
        </w:rPr>
        <w:t>414</w:t>
      </w:r>
      <w:r w:rsidRPr="00A2047A">
        <w:t xml:space="preserve"> (11), 3471–3481. https://doi.org/10.1007/s00216-022-03968-x.</w:t>
      </w:r>
    </w:p>
    <w:p w14:paraId="27A07B78" w14:textId="77777777" w:rsidR="00A2047A" w:rsidRPr="00A2047A" w:rsidRDefault="00A2047A" w:rsidP="00A2047A">
      <w:pPr>
        <w:pStyle w:val="Bibliografia"/>
      </w:pPr>
      <w:r w:rsidRPr="00A2047A">
        <w:t>(6)</w:t>
      </w:r>
      <w:r w:rsidRPr="00A2047A">
        <w:tab/>
        <w:t xml:space="preserve">Wiczling, P.; Kamedulska, A.; Kubik, L. Application of Bayesian Multilevel Modeling in the Quantitative Structure-Retention Relationship Studies of Heterogeneous Compounds. </w:t>
      </w:r>
      <w:r w:rsidRPr="00A2047A">
        <w:rPr>
          <w:i/>
          <w:iCs/>
        </w:rPr>
        <w:t>ANALYTICAL CHEMISTRY</w:t>
      </w:r>
      <w:r w:rsidRPr="00A2047A">
        <w:t xml:space="preserve">, 2021, </w:t>
      </w:r>
      <w:r w:rsidRPr="00A2047A">
        <w:rPr>
          <w:i/>
          <w:iCs/>
        </w:rPr>
        <w:t>93</w:t>
      </w:r>
      <w:r w:rsidRPr="00A2047A">
        <w:t>, 6961–6971. https://doi.org/10.1021/acs.analchem.0c05227.</w:t>
      </w:r>
    </w:p>
    <w:p w14:paraId="52AD7945" w14:textId="77777777" w:rsidR="00A2047A" w:rsidRPr="00A2047A" w:rsidRDefault="00A2047A" w:rsidP="00A2047A">
      <w:pPr>
        <w:pStyle w:val="Bibliografia"/>
      </w:pPr>
      <w:r w:rsidRPr="00A2047A">
        <w:t>(7)</w:t>
      </w:r>
      <w:r w:rsidRPr="00A2047A">
        <w:tab/>
        <w:t xml:space="preserve">Wiczling, P. Analyzing Chromatographic Data Using Multilevel Modeling. </w:t>
      </w:r>
      <w:r w:rsidRPr="00A2047A">
        <w:rPr>
          <w:i/>
          <w:iCs/>
        </w:rPr>
        <w:t xml:space="preserve">ANALYTICAL AND </w:t>
      </w:r>
      <w:r w:rsidRPr="00A2047A">
        <w:rPr>
          <w:i/>
          <w:iCs/>
        </w:rPr>
        <w:lastRenderedPageBreak/>
        <w:t>BIOANALYTICAL CHEMISTRY</w:t>
      </w:r>
      <w:r w:rsidRPr="00A2047A">
        <w:t xml:space="preserve">, 2018, </w:t>
      </w:r>
      <w:r w:rsidRPr="00A2047A">
        <w:rPr>
          <w:i/>
          <w:iCs/>
        </w:rPr>
        <w:t>410</w:t>
      </w:r>
      <w:r w:rsidRPr="00A2047A">
        <w:t>, 3905–3915. https://doi.org/10.1007/s00216-018-1061-3.</w:t>
      </w:r>
    </w:p>
    <w:p w14:paraId="64121B44" w14:textId="77777777" w:rsidR="00A2047A" w:rsidRPr="00A2047A" w:rsidRDefault="00A2047A" w:rsidP="00A2047A">
      <w:pPr>
        <w:pStyle w:val="Bibliografia"/>
      </w:pPr>
      <w:r w:rsidRPr="00A2047A">
        <w:t>(8)</w:t>
      </w:r>
      <w:r w:rsidRPr="00A2047A">
        <w:tab/>
        <w:t xml:space="preserve">Haider, N. Functionality Pattern Matching as an Efficient Complementary Structure/Reaction Search Tool: An Open-Source Approach. </w:t>
      </w:r>
      <w:r w:rsidRPr="00A2047A">
        <w:rPr>
          <w:i/>
          <w:iCs/>
        </w:rPr>
        <w:t>Molecules</w:t>
      </w:r>
      <w:r w:rsidRPr="00A2047A">
        <w:t xml:space="preserve"> </w:t>
      </w:r>
      <w:r w:rsidRPr="00A2047A">
        <w:rPr>
          <w:b/>
          <w:bCs/>
        </w:rPr>
        <w:t>2010</w:t>
      </w:r>
      <w:r w:rsidRPr="00A2047A">
        <w:t xml:space="preserve">, </w:t>
      </w:r>
      <w:r w:rsidRPr="00A2047A">
        <w:rPr>
          <w:i/>
          <w:iCs/>
        </w:rPr>
        <w:t>15</w:t>
      </w:r>
      <w:r w:rsidRPr="00A2047A">
        <w:t xml:space="preserve"> (8), 5079–5092. https://doi.org/10.3390/molecules15085079.</w:t>
      </w:r>
    </w:p>
    <w:p w14:paraId="25ACD952" w14:textId="77777777" w:rsidR="00A2047A" w:rsidRPr="00A2047A" w:rsidRDefault="00A2047A" w:rsidP="00A2047A">
      <w:pPr>
        <w:pStyle w:val="Bibliografia"/>
      </w:pPr>
      <w:r w:rsidRPr="00A2047A">
        <w:t>(9)</w:t>
      </w:r>
      <w:r w:rsidRPr="00A2047A">
        <w:tab/>
        <w:t xml:space="preserve">ACD/Labs. </w:t>
      </w:r>
      <w:r w:rsidRPr="00A2047A">
        <w:rPr>
          <w:i/>
          <w:iCs/>
        </w:rPr>
        <w:t>Release 12.0</w:t>
      </w:r>
      <w:r w:rsidRPr="00A2047A">
        <w:t>; Advanced Chemistry Development Inc.: Toronto, ON, Canada, www.acdlabs.com, 2022., 2011.</w:t>
      </w:r>
    </w:p>
    <w:p w14:paraId="7319DB8E" w14:textId="77777777" w:rsidR="00A2047A" w:rsidRPr="00A2047A" w:rsidRDefault="00A2047A" w:rsidP="00A2047A">
      <w:pPr>
        <w:pStyle w:val="Bibliografia"/>
      </w:pPr>
      <w:r w:rsidRPr="00A2047A">
        <w:t>(10)</w:t>
      </w:r>
      <w:r w:rsidRPr="00A2047A">
        <w:tab/>
        <w:t xml:space="preserve">Nikitas, P.; Pappa-Louisi, A. New Equations Describing the Combined Effect of PH and Organic Modifier Concentration on the Retention in Reversed-Phase Liquid Chromatography. </w:t>
      </w:r>
      <w:r w:rsidRPr="00A2047A">
        <w:rPr>
          <w:i/>
          <w:iCs/>
        </w:rPr>
        <w:t>J Chromatogr A</w:t>
      </w:r>
      <w:r w:rsidRPr="00A2047A">
        <w:t xml:space="preserve"> </w:t>
      </w:r>
      <w:r w:rsidRPr="00A2047A">
        <w:rPr>
          <w:b/>
          <w:bCs/>
        </w:rPr>
        <w:t>2002</w:t>
      </w:r>
      <w:r w:rsidRPr="00A2047A">
        <w:t xml:space="preserve">, </w:t>
      </w:r>
      <w:r w:rsidRPr="00A2047A">
        <w:rPr>
          <w:i/>
          <w:iCs/>
        </w:rPr>
        <w:t>971</w:t>
      </w:r>
      <w:r w:rsidRPr="00A2047A">
        <w:t xml:space="preserve"> (1–2), 47–60. https://doi.org/10.1016/s0021-9673(02)00965-2.</w:t>
      </w:r>
    </w:p>
    <w:p w14:paraId="4208BC57" w14:textId="77777777" w:rsidR="00A2047A" w:rsidRPr="00A2047A" w:rsidRDefault="00A2047A" w:rsidP="00A2047A">
      <w:pPr>
        <w:pStyle w:val="Bibliografia"/>
      </w:pPr>
      <w:r w:rsidRPr="00A2047A">
        <w:t>(11)</w:t>
      </w:r>
      <w:r w:rsidRPr="00A2047A">
        <w:tab/>
        <w:t xml:space="preserve">Nikitas, P.; Pappa-Louisi, A. Retention Models for Isocratic and Gradient Elution in Reversed-Phase Liquid Chromatography. </w:t>
      </w:r>
      <w:r w:rsidRPr="00A2047A">
        <w:rPr>
          <w:i/>
          <w:iCs/>
        </w:rPr>
        <w:t>Journal of Chromatography A</w:t>
      </w:r>
      <w:r w:rsidRPr="00A2047A">
        <w:t xml:space="preserve"> </w:t>
      </w:r>
      <w:r w:rsidRPr="00A2047A">
        <w:rPr>
          <w:b/>
          <w:bCs/>
        </w:rPr>
        <w:t>2009</w:t>
      </w:r>
      <w:r w:rsidRPr="00A2047A">
        <w:t xml:space="preserve">, </w:t>
      </w:r>
      <w:r w:rsidRPr="00A2047A">
        <w:rPr>
          <w:i/>
          <w:iCs/>
        </w:rPr>
        <w:t>1216</w:t>
      </w:r>
      <w:r w:rsidRPr="00A2047A">
        <w:t xml:space="preserve"> (10), 1737–1755. https://doi.org/10.1016/j.chroma.2008.09.051.</w:t>
      </w:r>
    </w:p>
    <w:p w14:paraId="642E22DB" w14:textId="77777777" w:rsidR="00A2047A" w:rsidRPr="00A2047A" w:rsidRDefault="00A2047A" w:rsidP="00A2047A">
      <w:pPr>
        <w:pStyle w:val="Bibliografia"/>
      </w:pPr>
      <w:r w:rsidRPr="00A2047A">
        <w:t>(12)</w:t>
      </w:r>
      <w:r w:rsidRPr="00A2047A">
        <w:tab/>
        <w:t xml:space="preserve">Jano, I.; Hardcastle, J. E.; Zhao, K.; Vermillion-Salsbury, R. General Equation for Calculating the Dissociation Constants of Polyprotic Acids and Bases from Measured Retention Factors in High-Performance Liquid Chromatography. </w:t>
      </w:r>
      <w:r w:rsidRPr="00A2047A">
        <w:rPr>
          <w:i/>
          <w:iCs/>
        </w:rPr>
        <w:t>J Chromatogr A</w:t>
      </w:r>
      <w:r w:rsidRPr="00A2047A">
        <w:t xml:space="preserve"> </w:t>
      </w:r>
      <w:r w:rsidRPr="00A2047A">
        <w:rPr>
          <w:b/>
          <w:bCs/>
        </w:rPr>
        <w:t>1997</w:t>
      </w:r>
      <w:r w:rsidRPr="00A2047A">
        <w:t xml:space="preserve">, </w:t>
      </w:r>
      <w:r w:rsidRPr="00A2047A">
        <w:rPr>
          <w:i/>
          <w:iCs/>
        </w:rPr>
        <w:t>762</w:t>
      </w:r>
      <w:r w:rsidRPr="00A2047A">
        <w:t xml:space="preserve"> (1–2), 63–72. https://doi.org/10.1016/s0021-9673(96)00739-x.</w:t>
      </w:r>
    </w:p>
    <w:p w14:paraId="58FC0FD0" w14:textId="77777777" w:rsidR="00A2047A" w:rsidRPr="00A2047A" w:rsidRDefault="00A2047A" w:rsidP="00A2047A">
      <w:pPr>
        <w:pStyle w:val="Bibliografia"/>
      </w:pPr>
      <w:r w:rsidRPr="00A2047A">
        <w:t>(13)</w:t>
      </w:r>
      <w:r w:rsidRPr="00A2047A">
        <w:tab/>
      </w:r>
      <w:r w:rsidRPr="00A2047A">
        <w:rPr>
          <w:i/>
          <w:iCs/>
        </w:rPr>
        <w:t>Stan Development Team. YEAR. Stan Modeling Language Users Guide and Reference Manual, VERSION. https://mc-stan.org</w:t>
      </w:r>
      <w:r w:rsidRPr="00A2047A">
        <w:t>. stan-dev.github.io. //mc-stan.org/users/citations/ (accessed 2022-01-18).</w:t>
      </w:r>
    </w:p>
    <w:p w14:paraId="58F779C0" w14:textId="77777777" w:rsidR="00A2047A" w:rsidRPr="00A2047A" w:rsidRDefault="00A2047A" w:rsidP="00A2047A">
      <w:pPr>
        <w:pStyle w:val="Bibliografia"/>
      </w:pPr>
      <w:r w:rsidRPr="00A2047A">
        <w:t>(14)</w:t>
      </w:r>
      <w:r w:rsidRPr="00A2047A">
        <w:tab/>
        <w:t xml:space="preserve">RStudio Team. </w:t>
      </w:r>
      <w:r w:rsidRPr="00A2047A">
        <w:rPr>
          <w:i/>
          <w:iCs/>
        </w:rPr>
        <w:t>RStudio: Integrated Development Environment for R</w:t>
      </w:r>
      <w:r w:rsidRPr="00A2047A">
        <w:t>; RStudio, PBC.: Boston, MA, 2020.</w:t>
      </w:r>
    </w:p>
    <w:p w14:paraId="290696C3" w14:textId="77777777" w:rsidR="00A2047A" w:rsidRPr="00A2047A" w:rsidRDefault="00A2047A" w:rsidP="00A2047A">
      <w:pPr>
        <w:pStyle w:val="Bibliografia"/>
      </w:pPr>
      <w:r w:rsidRPr="00A2047A">
        <w:t>(15)</w:t>
      </w:r>
      <w:r w:rsidRPr="00A2047A">
        <w:tab/>
        <w:t xml:space="preserve">Kubik, Ł.; Jacyna, J.; Struck-Lewicka, W.; Markuszewski, M. J.; Wiczling, P. LC-TOF-MS Data Collected for 300 Small Molecules. XBridge Shield RP18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https://doi.org/10.17605/OSF.IO/ZQTJ7.</w:t>
      </w:r>
    </w:p>
    <w:p w14:paraId="7CD292C6" w14:textId="77777777" w:rsidR="00A2047A" w:rsidRPr="00A2047A" w:rsidRDefault="00A2047A" w:rsidP="00A2047A">
      <w:pPr>
        <w:pStyle w:val="Bibliografia"/>
      </w:pPr>
      <w:r w:rsidRPr="00A2047A">
        <w:t>(16)</w:t>
      </w:r>
      <w:r w:rsidRPr="00A2047A">
        <w:tab/>
        <w:t xml:space="preserve">Kubik, Ł.; Jacyna, J.; Struck-Lewicka, W.; Markuszewski, M. J.; Wiczling, P. LC-TOF-MS Data Collected for 300 Small Molecules. XTerra MS C18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https://doi.org/10.17605/OSF.IO/QBV7J.</w:t>
      </w:r>
    </w:p>
    <w:p w14:paraId="3555B143" w14:textId="77777777" w:rsidR="00A2047A" w:rsidRPr="00A2047A" w:rsidRDefault="00A2047A" w:rsidP="00A2047A">
      <w:pPr>
        <w:pStyle w:val="Bibliografia"/>
      </w:pPr>
      <w:r w:rsidRPr="00A2047A">
        <w:t>(17)</w:t>
      </w:r>
      <w:r w:rsidRPr="00A2047A">
        <w:tab/>
        <w:t xml:space="preserve">Kubik, Ł.; Jacyna, J.; Struck-Lewicka, W.; Markuszewski, M. J.; Wiczling, P. LC-TOF-MS Data Collected for 300 Small Molecules. XTerra-C8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https://doi.org/10.17605/OSF.IO/2MCNW.</w:t>
      </w:r>
    </w:p>
    <w:p w14:paraId="337E3095" w14:textId="77777777" w:rsidR="00A2047A" w:rsidRPr="00A2047A" w:rsidRDefault="00A2047A" w:rsidP="00A2047A">
      <w:pPr>
        <w:pStyle w:val="Bibliografia"/>
      </w:pPr>
      <w:r w:rsidRPr="00A2047A">
        <w:t>(18)</w:t>
      </w:r>
      <w:r w:rsidRPr="00A2047A">
        <w:tab/>
        <w:t xml:space="preserve">Kubik, Ł.; Jacyna, J.; Struck-Lewicka, W.; Markuszewski, M. J.; Wiczling, P. LC-TOF-MS Data Collected for 300 Small Molecules. XBridge Phenyl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https://doi.org/10.17605/OSF.IO/EVUJ9.</w:t>
      </w:r>
    </w:p>
    <w:p w14:paraId="0B1A846C" w14:textId="77777777" w:rsidR="00A2047A" w:rsidRPr="00A2047A" w:rsidRDefault="00A2047A" w:rsidP="00A2047A">
      <w:pPr>
        <w:pStyle w:val="Bibliografia"/>
      </w:pPr>
      <w:r w:rsidRPr="00A2047A">
        <w:t>(19)</w:t>
      </w:r>
      <w:r w:rsidRPr="00A2047A">
        <w:tab/>
        <w:t xml:space="preserve">Kubik, Ł.; Jacyna, J.; Struck-Lewicka, W.; Markuszewski, M. J.; Wiczling, P. LC-TOF-MS Data Collected for 300 Small Molecules. XBridge-C8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https://doi.org/10.17605/OSF.IO/Y6S8P.</w:t>
      </w:r>
    </w:p>
    <w:p w14:paraId="1356D0DE" w14:textId="77777777" w:rsidR="00A2047A" w:rsidRPr="00A2047A" w:rsidRDefault="00A2047A" w:rsidP="00A2047A">
      <w:pPr>
        <w:pStyle w:val="Bibliografia"/>
      </w:pPr>
      <w:r w:rsidRPr="00A2047A">
        <w:t>(20)</w:t>
      </w:r>
      <w:r w:rsidRPr="00A2047A">
        <w:tab/>
        <w:t xml:space="preserve">Wiczling, P. Evaluation of Sequential Bayesian-Based Method Development Procedures for Chromatographic Problems Involving One, Two, and Three Analytes. </w:t>
      </w:r>
      <w:r w:rsidRPr="00A2047A">
        <w:rPr>
          <w:i/>
          <w:iCs/>
        </w:rPr>
        <w:t>SEPARATION SCIENCE PLUS</w:t>
      </w:r>
      <w:r w:rsidRPr="00A2047A">
        <w:t xml:space="preserve">, 2018, </w:t>
      </w:r>
      <w:r w:rsidRPr="00A2047A">
        <w:rPr>
          <w:i/>
          <w:iCs/>
        </w:rPr>
        <w:t>1</w:t>
      </w:r>
      <w:r w:rsidRPr="00A2047A">
        <w:t>, 63–75. https://doi.org/10.1002/sscp.201700037.</w:t>
      </w:r>
    </w:p>
    <w:p w14:paraId="4BC80072" w14:textId="0D5F2D58"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07D55" w14:textId="77777777" w:rsidR="00885A86" w:rsidRDefault="00885A86" w:rsidP="006F1F34">
      <w:r>
        <w:separator/>
      </w:r>
    </w:p>
    <w:p w14:paraId="2D250E41" w14:textId="77777777" w:rsidR="00885A86" w:rsidRDefault="00885A86"/>
    <w:p w14:paraId="01A0AE6E" w14:textId="77777777" w:rsidR="00885A86" w:rsidRDefault="00885A86" w:rsidP="001A093C"/>
  </w:endnote>
  <w:endnote w:type="continuationSeparator" w:id="0">
    <w:p w14:paraId="042AC189" w14:textId="77777777" w:rsidR="00885A86" w:rsidRDefault="00885A86" w:rsidP="006F1F34">
      <w:r>
        <w:continuationSeparator/>
      </w:r>
    </w:p>
    <w:p w14:paraId="774F5D00" w14:textId="77777777" w:rsidR="00885A86" w:rsidRDefault="00885A86"/>
    <w:p w14:paraId="3AAFC259" w14:textId="77777777" w:rsidR="00885A86" w:rsidRDefault="00885A86"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885A86"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885A86"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885A86" w:rsidP="006F1F34">
    <w:pPr>
      <w:pStyle w:val="Stopka"/>
    </w:pPr>
  </w:p>
  <w:p w14:paraId="0EB6940F" w14:textId="77777777" w:rsidR="001F383C" w:rsidRDefault="00885A86"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885A86" w:rsidP="006F1F34">
    <w:pPr>
      <w:pStyle w:val="Stopka"/>
    </w:pPr>
  </w:p>
  <w:p w14:paraId="2B7B92A3" w14:textId="77777777" w:rsidR="001F383C" w:rsidRDefault="00885A86"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5176E" w14:textId="77777777" w:rsidR="00885A86" w:rsidRDefault="00885A86" w:rsidP="006F1F34">
      <w:r>
        <w:separator/>
      </w:r>
    </w:p>
    <w:p w14:paraId="77908CE8" w14:textId="77777777" w:rsidR="00885A86" w:rsidRDefault="00885A86"/>
    <w:p w14:paraId="7F7A9817" w14:textId="77777777" w:rsidR="00885A86" w:rsidRDefault="00885A86" w:rsidP="001A093C"/>
  </w:footnote>
  <w:footnote w:type="continuationSeparator" w:id="0">
    <w:p w14:paraId="5F50A66C" w14:textId="77777777" w:rsidR="00885A86" w:rsidRDefault="00885A86" w:rsidP="006F1F34">
      <w:r>
        <w:continuationSeparator/>
      </w:r>
    </w:p>
    <w:p w14:paraId="340D7113" w14:textId="77777777" w:rsidR="00885A86" w:rsidRDefault="00885A86"/>
    <w:p w14:paraId="02B7B8B4" w14:textId="77777777" w:rsidR="00885A86" w:rsidRDefault="00885A86"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885A86"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6411C"/>
    <w:rsid w:val="000707D9"/>
    <w:rsid w:val="00083091"/>
    <w:rsid w:val="000849C3"/>
    <w:rsid w:val="000927BB"/>
    <w:rsid w:val="00093166"/>
    <w:rsid w:val="00094A15"/>
    <w:rsid w:val="00095461"/>
    <w:rsid w:val="000C3724"/>
    <w:rsid w:val="000E335C"/>
    <w:rsid w:val="00122CCD"/>
    <w:rsid w:val="0012449B"/>
    <w:rsid w:val="00124D57"/>
    <w:rsid w:val="00131473"/>
    <w:rsid w:val="0013477C"/>
    <w:rsid w:val="00135F49"/>
    <w:rsid w:val="00136950"/>
    <w:rsid w:val="00137E59"/>
    <w:rsid w:val="0014607D"/>
    <w:rsid w:val="0015589D"/>
    <w:rsid w:val="001733D5"/>
    <w:rsid w:val="00183DB3"/>
    <w:rsid w:val="001A093C"/>
    <w:rsid w:val="001B3F13"/>
    <w:rsid w:val="001B5589"/>
    <w:rsid w:val="001D010E"/>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7491C"/>
    <w:rsid w:val="002837E9"/>
    <w:rsid w:val="0028542A"/>
    <w:rsid w:val="0029085A"/>
    <w:rsid w:val="002933E5"/>
    <w:rsid w:val="00296662"/>
    <w:rsid w:val="002A1632"/>
    <w:rsid w:val="002A308A"/>
    <w:rsid w:val="002A3AAD"/>
    <w:rsid w:val="002B09C4"/>
    <w:rsid w:val="002B1E65"/>
    <w:rsid w:val="002B3F0F"/>
    <w:rsid w:val="002B4E98"/>
    <w:rsid w:val="002B66D6"/>
    <w:rsid w:val="002B70F2"/>
    <w:rsid w:val="002E3F37"/>
    <w:rsid w:val="002F1CA4"/>
    <w:rsid w:val="002F411D"/>
    <w:rsid w:val="0030207E"/>
    <w:rsid w:val="00305636"/>
    <w:rsid w:val="00307796"/>
    <w:rsid w:val="00312F01"/>
    <w:rsid w:val="0032296C"/>
    <w:rsid w:val="003275D3"/>
    <w:rsid w:val="003304EB"/>
    <w:rsid w:val="00336A10"/>
    <w:rsid w:val="00337D7A"/>
    <w:rsid w:val="00384D2E"/>
    <w:rsid w:val="003936B1"/>
    <w:rsid w:val="003A2C68"/>
    <w:rsid w:val="003C250B"/>
    <w:rsid w:val="003D3D9A"/>
    <w:rsid w:val="003E4501"/>
    <w:rsid w:val="003E5361"/>
    <w:rsid w:val="003E5B4E"/>
    <w:rsid w:val="00402BC0"/>
    <w:rsid w:val="00402FF4"/>
    <w:rsid w:val="0040478C"/>
    <w:rsid w:val="00410C59"/>
    <w:rsid w:val="00411B27"/>
    <w:rsid w:val="00413AAC"/>
    <w:rsid w:val="0042715D"/>
    <w:rsid w:val="00431F86"/>
    <w:rsid w:val="00436A61"/>
    <w:rsid w:val="00441F83"/>
    <w:rsid w:val="004451B1"/>
    <w:rsid w:val="0045566C"/>
    <w:rsid w:val="00463CEB"/>
    <w:rsid w:val="0046593F"/>
    <w:rsid w:val="00467A90"/>
    <w:rsid w:val="004731A6"/>
    <w:rsid w:val="0047784E"/>
    <w:rsid w:val="00480F46"/>
    <w:rsid w:val="004C1F07"/>
    <w:rsid w:val="004C3D84"/>
    <w:rsid w:val="004D0F23"/>
    <w:rsid w:val="004D2C83"/>
    <w:rsid w:val="004D5360"/>
    <w:rsid w:val="004E7056"/>
    <w:rsid w:val="004F18AB"/>
    <w:rsid w:val="004F36EC"/>
    <w:rsid w:val="004F5488"/>
    <w:rsid w:val="004F55C3"/>
    <w:rsid w:val="004F71C4"/>
    <w:rsid w:val="00507DB8"/>
    <w:rsid w:val="00512071"/>
    <w:rsid w:val="00523691"/>
    <w:rsid w:val="00526833"/>
    <w:rsid w:val="00530624"/>
    <w:rsid w:val="00537E0D"/>
    <w:rsid w:val="00540A9F"/>
    <w:rsid w:val="00544A7A"/>
    <w:rsid w:val="00560EA7"/>
    <w:rsid w:val="00565E01"/>
    <w:rsid w:val="00574E28"/>
    <w:rsid w:val="0058288E"/>
    <w:rsid w:val="00587D74"/>
    <w:rsid w:val="0059350D"/>
    <w:rsid w:val="005D07B9"/>
    <w:rsid w:val="005F4D6F"/>
    <w:rsid w:val="005F7416"/>
    <w:rsid w:val="00601F64"/>
    <w:rsid w:val="00607981"/>
    <w:rsid w:val="006135C1"/>
    <w:rsid w:val="006163A4"/>
    <w:rsid w:val="00620323"/>
    <w:rsid w:val="00630434"/>
    <w:rsid w:val="00633951"/>
    <w:rsid w:val="00637B4A"/>
    <w:rsid w:val="00640555"/>
    <w:rsid w:val="00646BD1"/>
    <w:rsid w:val="006506B4"/>
    <w:rsid w:val="0065085B"/>
    <w:rsid w:val="00652AA5"/>
    <w:rsid w:val="00671B2F"/>
    <w:rsid w:val="006760F5"/>
    <w:rsid w:val="00681A67"/>
    <w:rsid w:val="0068285E"/>
    <w:rsid w:val="00684304"/>
    <w:rsid w:val="006866F8"/>
    <w:rsid w:val="00687B7B"/>
    <w:rsid w:val="00694B05"/>
    <w:rsid w:val="006A0461"/>
    <w:rsid w:val="006A10B9"/>
    <w:rsid w:val="006A1943"/>
    <w:rsid w:val="006A518C"/>
    <w:rsid w:val="006D2D0E"/>
    <w:rsid w:val="006D65BE"/>
    <w:rsid w:val="006E17D8"/>
    <w:rsid w:val="006E1E62"/>
    <w:rsid w:val="006E2C23"/>
    <w:rsid w:val="006F1F34"/>
    <w:rsid w:val="006F70CF"/>
    <w:rsid w:val="00702372"/>
    <w:rsid w:val="00706B62"/>
    <w:rsid w:val="00714AAE"/>
    <w:rsid w:val="00715825"/>
    <w:rsid w:val="00715AD8"/>
    <w:rsid w:val="0073794A"/>
    <w:rsid w:val="007540D5"/>
    <w:rsid w:val="0076762D"/>
    <w:rsid w:val="00772DE4"/>
    <w:rsid w:val="00776122"/>
    <w:rsid w:val="00791772"/>
    <w:rsid w:val="00795055"/>
    <w:rsid w:val="007B157B"/>
    <w:rsid w:val="007B2E24"/>
    <w:rsid w:val="007D15FF"/>
    <w:rsid w:val="007D28FC"/>
    <w:rsid w:val="007D65B7"/>
    <w:rsid w:val="007D6631"/>
    <w:rsid w:val="007D7C0E"/>
    <w:rsid w:val="007E39D0"/>
    <w:rsid w:val="007E7A5D"/>
    <w:rsid w:val="007F0C07"/>
    <w:rsid w:val="007F7759"/>
    <w:rsid w:val="0080184D"/>
    <w:rsid w:val="00802EAC"/>
    <w:rsid w:val="008036F3"/>
    <w:rsid w:val="00805496"/>
    <w:rsid w:val="00813DA6"/>
    <w:rsid w:val="00816480"/>
    <w:rsid w:val="00822047"/>
    <w:rsid w:val="00822D3A"/>
    <w:rsid w:val="00837702"/>
    <w:rsid w:val="008411C8"/>
    <w:rsid w:val="00841C9F"/>
    <w:rsid w:val="008441E0"/>
    <w:rsid w:val="008451C4"/>
    <w:rsid w:val="008501C8"/>
    <w:rsid w:val="00857755"/>
    <w:rsid w:val="00862064"/>
    <w:rsid w:val="008677E5"/>
    <w:rsid w:val="00871273"/>
    <w:rsid w:val="0087420D"/>
    <w:rsid w:val="00881669"/>
    <w:rsid w:val="008856E3"/>
    <w:rsid w:val="00885A86"/>
    <w:rsid w:val="008B3F31"/>
    <w:rsid w:val="008B5CAC"/>
    <w:rsid w:val="008B749B"/>
    <w:rsid w:val="008C5307"/>
    <w:rsid w:val="008D509C"/>
    <w:rsid w:val="008E0518"/>
    <w:rsid w:val="008E26C3"/>
    <w:rsid w:val="008E5304"/>
    <w:rsid w:val="008E5947"/>
    <w:rsid w:val="008F0CC2"/>
    <w:rsid w:val="008F0F0A"/>
    <w:rsid w:val="008F36E2"/>
    <w:rsid w:val="009113FD"/>
    <w:rsid w:val="00911FDD"/>
    <w:rsid w:val="009257C7"/>
    <w:rsid w:val="00936EA2"/>
    <w:rsid w:val="00940E44"/>
    <w:rsid w:val="00943BF4"/>
    <w:rsid w:val="009448A6"/>
    <w:rsid w:val="00956DB6"/>
    <w:rsid w:val="00967558"/>
    <w:rsid w:val="009821A7"/>
    <w:rsid w:val="009845FF"/>
    <w:rsid w:val="00987F1B"/>
    <w:rsid w:val="00992DD5"/>
    <w:rsid w:val="0099446F"/>
    <w:rsid w:val="009A05DF"/>
    <w:rsid w:val="009B5ECC"/>
    <w:rsid w:val="009B6242"/>
    <w:rsid w:val="009B6766"/>
    <w:rsid w:val="009B77F4"/>
    <w:rsid w:val="009E0E67"/>
    <w:rsid w:val="009F02FF"/>
    <w:rsid w:val="00A05CF1"/>
    <w:rsid w:val="00A07B00"/>
    <w:rsid w:val="00A17ACF"/>
    <w:rsid w:val="00A20323"/>
    <w:rsid w:val="00A2047A"/>
    <w:rsid w:val="00A356A5"/>
    <w:rsid w:val="00A37C3B"/>
    <w:rsid w:val="00A61E58"/>
    <w:rsid w:val="00A659EE"/>
    <w:rsid w:val="00A713F1"/>
    <w:rsid w:val="00A774C2"/>
    <w:rsid w:val="00A82D1C"/>
    <w:rsid w:val="00A8429B"/>
    <w:rsid w:val="00A86333"/>
    <w:rsid w:val="00A9646D"/>
    <w:rsid w:val="00AC0C34"/>
    <w:rsid w:val="00AC1017"/>
    <w:rsid w:val="00AC3168"/>
    <w:rsid w:val="00AC37A5"/>
    <w:rsid w:val="00AC38FB"/>
    <w:rsid w:val="00AC5FEE"/>
    <w:rsid w:val="00AD3413"/>
    <w:rsid w:val="00AE102F"/>
    <w:rsid w:val="00AE258A"/>
    <w:rsid w:val="00AE7D14"/>
    <w:rsid w:val="00AF1DF4"/>
    <w:rsid w:val="00AF22DD"/>
    <w:rsid w:val="00AF5FF7"/>
    <w:rsid w:val="00AF71C7"/>
    <w:rsid w:val="00AF74A3"/>
    <w:rsid w:val="00B06E86"/>
    <w:rsid w:val="00B135F2"/>
    <w:rsid w:val="00B15127"/>
    <w:rsid w:val="00B23B47"/>
    <w:rsid w:val="00B340E6"/>
    <w:rsid w:val="00B673C8"/>
    <w:rsid w:val="00B6759D"/>
    <w:rsid w:val="00B73148"/>
    <w:rsid w:val="00B76DAB"/>
    <w:rsid w:val="00B83009"/>
    <w:rsid w:val="00B91851"/>
    <w:rsid w:val="00B929F4"/>
    <w:rsid w:val="00BA4D18"/>
    <w:rsid w:val="00BA74D7"/>
    <w:rsid w:val="00BB4B46"/>
    <w:rsid w:val="00BB6295"/>
    <w:rsid w:val="00BD2B31"/>
    <w:rsid w:val="00BE41B9"/>
    <w:rsid w:val="00BE4FC0"/>
    <w:rsid w:val="00BF045D"/>
    <w:rsid w:val="00BF194C"/>
    <w:rsid w:val="00C26B67"/>
    <w:rsid w:val="00C33E70"/>
    <w:rsid w:val="00C3623F"/>
    <w:rsid w:val="00C363AC"/>
    <w:rsid w:val="00C4733B"/>
    <w:rsid w:val="00C47C14"/>
    <w:rsid w:val="00C51848"/>
    <w:rsid w:val="00C64622"/>
    <w:rsid w:val="00C70BC1"/>
    <w:rsid w:val="00C85A68"/>
    <w:rsid w:val="00C87F21"/>
    <w:rsid w:val="00C92446"/>
    <w:rsid w:val="00C97DE9"/>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92F2F"/>
    <w:rsid w:val="00D95F45"/>
    <w:rsid w:val="00DA4679"/>
    <w:rsid w:val="00DA6495"/>
    <w:rsid w:val="00DD21B6"/>
    <w:rsid w:val="00DD41E5"/>
    <w:rsid w:val="00DD75C0"/>
    <w:rsid w:val="00DF55E7"/>
    <w:rsid w:val="00E062E3"/>
    <w:rsid w:val="00E15B62"/>
    <w:rsid w:val="00E21943"/>
    <w:rsid w:val="00E2235F"/>
    <w:rsid w:val="00E332A3"/>
    <w:rsid w:val="00E34BFB"/>
    <w:rsid w:val="00E4437E"/>
    <w:rsid w:val="00E4671C"/>
    <w:rsid w:val="00E46885"/>
    <w:rsid w:val="00E50F6D"/>
    <w:rsid w:val="00E5220A"/>
    <w:rsid w:val="00E57FAB"/>
    <w:rsid w:val="00E67646"/>
    <w:rsid w:val="00E73EC5"/>
    <w:rsid w:val="00E76DBA"/>
    <w:rsid w:val="00E9110E"/>
    <w:rsid w:val="00E95769"/>
    <w:rsid w:val="00E96D90"/>
    <w:rsid w:val="00E97FFA"/>
    <w:rsid w:val="00EA06CE"/>
    <w:rsid w:val="00EA4F0C"/>
    <w:rsid w:val="00EB6340"/>
    <w:rsid w:val="00EC26A4"/>
    <w:rsid w:val="00EC37B7"/>
    <w:rsid w:val="00ED1641"/>
    <w:rsid w:val="00EE27A0"/>
    <w:rsid w:val="00EE360A"/>
    <w:rsid w:val="00EF598D"/>
    <w:rsid w:val="00F06C2F"/>
    <w:rsid w:val="00F45A14"/>
    <w:rsid w:val="00F50001"/>
    <w:rsid w:val="00F51183"/>
    <w:rsid w:val="00F51469"/>
    <w:rsid w:val="00F612B8"/>
    <w:rsid w:val="00F6718C"/>
    <w:rsid w:val="00F74139"/>
    <w:rsid w:val="00F80D7C"/>
    <w:rsid w:val="00F83E89"/>
    <w:rsid w:val="00F92CD7"/>
    <w:rsid w:val="00FA67E2"/>
    <w:rsid w:val="00FB169A"/>
    <w:rsid w:val="00FB4A95"/>
    <w:rsid w:val="00FB6037"/>
    <w:rsid w:val="00FC4CC0"/>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5988</TotalTime>
  <Pages>7</Pages>
  <Words>11087</Words>
  <Characters>63202</Characters>
  <Application>Microsoft Office Word</Application>
  <DocSecurity>0</DocSecurity>
  <Lines>526</Lines>
  <Paragraphs>148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214</cp:revision>
  <dcterms:created xsi:type="dcterms:W3CDTF">2023-05-26T10:37:00Z</dcterms:created>
  <dcterms:modified xsi:type="dcterms:W3CDTF">2023-09-07T08:59:00Z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id="PCOgqCxP"/&gt;&lt;style id="http://www.zotero.org/styles/american-chemical-society" hasBibliography="1" bibliographyStyleHasBeenSet="1"/&gt;&lt;prefs&gt;&lt;pref name="fieldType" value="Field"/&gt;&lt;/prefs&gt;&lt;/data&gt;</vt:lpwstr>
  </property>
</Properties>
</file>