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14C54BE6" w:rsidR="00681A67" w:rsidRPr="00EC5A87" w:rsidRDefault="00681A67" w:rsidP="009D36EE">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009D36EE">
        <w:instrText xml:space="preserve"> ADDIN ZOTERO_ITEM CSL_CITATION {"citationID":"NCylqwBO","properties":{"formattedCitation":"\\super 1,2\\nosupersub{}","plainCitation":"1,2","noteIndex":0},"citationItems":[{"id":410,"uris":["http://zotero.org/users/local/cIlVeWgC/items/BWZ9RW9J"],"itemData":{"id":410,"type":"article-journal","abstract":"Reversed-phase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schema":"https://github.com/citation-style-language/schema/raw/master/csl-citation.json"} </w:instrText>
      </w:r>
      <w:r w:rsidRPr="00EC5A87">
        <w:fldChar w:fldCharType="separate"/>
      </w:r>
      <w:r w:rsidR="009D36EE" w:rsidRPr="009D36EE">
        <w:rPr>
          <w:szCs w:val="24"/>
          <w:vertAlign w:val="superscript"/>
        </w:rPr>
        <w:t>1,2</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using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9D36EE">
        <w:t>, aiming to estimate the most important chromatographic characteristics, e.g. column efficiency, hydrophobicity, silanol activity, ion-exchange capacity, steric selectivity and the amount of metal impurities</w:t>
      </w:r>
      <w:r w:rsidRPr="00EC5A87">
        <w:t>.</w:t>
      </w:r>
      <w:r w:rsidR="00BE4FC0">
        <w:t xml:space="preserve"> </w:t>
      </w:r>
      <w:r w:rsidR="009D36EE">
        <w:t>Usually results are presented without building a formal statistical model that</w:t>
      </w:r>
      <w:r w:rsidR="00BE4FC0">
        <w:t xml:space="preserve"> limits</w:t>
      </w:r>
      <w:r w:rsidR="00C26B67">
        <w:t xml:space="preserve"> </w:t>
      </w:r>
      <w:r w:rsidR="00BE4FC0">
        <w:t xml:space="preserve">the practical </w:t>
      </w:r>
      <w:r w:rsidR="00C26B67">
        <w:t xml:space="preserve">usefulness </w:t>
      </w:r>
      <w:r w:rsidR="00BE4FC0">
        <w:t xml:space="preserve">of these methods </w:t>
      </w:r>
      <w:r w:rsidR="00C26B67">
        <w:t xml:space="preserve">in extrapolating </w:t>
      </w:r>
      <w:r w:rsidR="009D36EE">
        <w:t xml:space="preserve">the obtained </w:t>
      </w:r>
      <w:r w:rsidR="00C26B67">
        <w:t>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009D36EE">
        <w:instrText xml:space="preserve"> ADDIN ZOTERO_ITEM CSL_CITATION {"citationID":"sQ8hJU5o","properties":{"formattedCitation":"\\super 3\\nosupersub{}","plainCitation":"3","noteIndex":0},"citationItems":[{"id":166,"uris":["http://zotero.org/users/local/cIlVeWgC/items/VQV93ARD"],"itemData":{"id":166,"type":"article-journal","abstract":"The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9D36EE" w:rsidRPr="009D36EE">
        <w:rPr>
          <w:szCs w:val="24"/>
          <w:vertAlign w:val="superscript"/>
        </w:rPr>
        <w:t>3</w:t>
      </w:r>
      <w:r w:rsidRPr="00EC5A87">
        <w:fldChar w:fldCharType="end"/>
      </w:r>
      <w:r w:rsidR="00AC3168">
        <w:t xml:space="preserve"> </w:t>
      </w:r>
    </w:p>
    <w:p w14:paraId="797742E2" w14:textId="341EC34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 xml:space="preserve">The accurate predictions of the retention time </w:t>
      </w:r>
      <w:r w:rsidR="00FB15F0">
        <w:t xml:space="preserve">across a range of columns </w:t>
      </w:r>
      <w:r w:rsidR="00256A0B">
        <w:t>in liquid chromatography is required or rapid column screening, computer-assisted method development and method transfer</w:t>
      </w:r>
      <w:r w:rsidR="00BE4FC0">
        <w:t>.</w:t>
      </w:r>
      <w:r w:rsidR="00FA67E2">
        <w:fldChar w:fldCharType="begin"/>
      </w:r>
      <w:r w:rsidR="009D36EE">
        <w:instrText xml:space="preserve"> ADDIN ZOTERO_ITEM CSL_CITATION {"citationID":"6SBpHiDf","properties":{"formattedCitation":"\\super 4\\nosupersub{}","plainCitation":"4","noteIndex":0},"citationItems":[{"id":382,"uris":["http://zotero.org/users/local/cIlVeWgC/items/AIXWDAD6"],"itemData":{"id":382,"type":"article-journal","abstract":"The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9D36EE" w:rsidRPr="009D36EE">
        <w:rPr>
          <w:szCs w:val="24"/>
          <w:vertAlign w:val="superscript"/>
        </w:rPr>
        <w:t>4</w:t>
      </w:r>
      <w:r w:rsidR="00FA67E2">
        <w:fldChar w:fldCharType="end"/>
      </w:r>
    </w:p>
    <w:p w14:paraId="6F4DCDD0" w14:textId="237E841E" w:rsidR="00681A67" w:rsidRPr="00AF079C" w:rsidRDefault="00681A67" w:rsidP="006F1F34">
      <w:pPr>
        <w:pStyle w:val="TAMainText"/>
      </w:pPr>
      <w:r w:rsidRPr="00AF079C">
        <w:t>In this work we applied the previously developed Bayesian multilevel framework</w:t>
      </w:r>
      <w:r>
        <w:fldChar w:fldCharType="begin"/>
      </w:r>
      <w:r w:rsidR="009D36EE">
        <w:instrText xml:space="preserve"> ADDIN ZOTERO_ITEM CSL_CITATION {"citationID":"SdNIOkbH","properties":{"formattedCitation":"\\super 5\\uc0\\u8211{}8\\nosupersub{}","plainCitation":"5–8","noteIndex":0},"citationItems":[{"id":413,"uris":["http://zotero.org/users/local/cIlVeWgC/items/UPHXZ32R"],"itemData":{"id":413,"type":"article-journal","abstract":"Large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9D36EE" w:rsidRPr="009D36EE">
        <w:rPr>
          <w:szCs w:val="24"/>
          <w:vertAlign w:val="superscript"/>
        </w:rPr>
        <w:t>5–8</w:t>
      </w:r>
      <w:r>
        <w:fldChar w:fldCharType="end"/>
      </w:r>
      <w:r w:rsidRPr="00AF079C">
        <w:t xml:space="preserve"> to characterize chromatographic </w:t>
      </w:r>
      <w:r w:rsidRPr="00AF079C">
        <w:t xml:space="preserve">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lastRenderedPageBreak/>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3C105508"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9D36EE">
        <w:instrText xml:space="preserve"> ADDIN ZOTERO_ITEM CSL_CITATION {"citationID":"8BhshHE3","properties":{"formattedCitation":"\\super 9\\nosupersub{}","plainCitation":"9","noteIndex":0},"citationItems":[{"id":398,"uris":["http://zotero.org/users/local/cIlVeWgC/items/AZIJASTI"],"itemData":{"id":398,"type":"article-journal","abstract":"An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9D36EE" w:rsidRPr="009D36EE">
        <w:rPr>
          <w:szCs w:val="24"/>
          <w:vertAlign w:val="superscript"/>
        </w:rPr>
        <w:t>9</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9D36EE">
        <w:instrText xml:space="preserve"> ADDIN ZOTERO_ITEM CSL_CITATION {"citationID":"zI2uddhq","properties":{"formattedCitation":"\\super 10\\nosupersub{}","plainCitation":"10","noteIndex":0},"citationItems":[{"id":250,"uris":["http://zotero.org/users/local/cIlVeWgC/items/XBVC7QAI"],"itemData":{"id":250,"type":"book","event-place":"Toronto,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9D36EE" w:rsidRPr="009D36EE">
        <w:rPr>
          <w:szCs w:val="24"/>
          <w:vertAlign w:val="superscript"/>
        </w:rPr>
        <w:t>10</w:t>
      </w:r>
      <w:r w:rsidRPr="00CB00D3">
        <w:fldChar w:fldCharType="end"/>
      </w:r>
      <w:r w:rsidR="00681A67" w:rsidRPr="00CB00D3">
        <w:t xml:space="preserve"> based on the structures of analytes generated from SMILES strings. </w:t>
      </w:r>
    </w:p>
    <w:p w14:paraId="7A0D36F8" w14:textId="32376FF3"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9D36EE">
        <w:instrText xml:space="preserve"> ADDIN ZOTERO_ITEM CSL_CITATION {"citationID":"qjTANIAl","properties":{"formattedCitation":"\\super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9D36EE" w:rsidRPr="009D36EE">
        <w:rPr>
          <w:szCs w:val="24"/>
          <w:vertAlign w:val="superscript"/>
        </w:rPr>
        <w:t>5</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39FFAE8C"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9D36EE">
        <w:instrText xml:space="preserve"> ADDIN ZOTERO_ITEM CSL_CITATION {"citationID":"3You2FZT","properties":{"formattedCitation":"\\super 11,12\\nosupersub{}","plainCitation":"11,12","noteIndex":0},"citationItems":[{"id":174,"uris":["http://zotero.org/users/local/cIlVeWgC/items/Q6F4DH52"],"itemData":{"id":174,"type":"article-journal","abstract":"Six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9D36EE" w:rsidRPr="009D36EE">
        <w:rPr>
          <w:szCs w:val="24"/>
          <w:vertAlign w:val="superscript"/>
        </w:rPr>
        <w:t>11,12</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9D36EE">
        <w:instrText xml:space="preserve"> ADDIN ZOTERO_ITEM CSL_CITATION {"citationID":"OH58h01i","properties":{"formattedCitation":"\\super 13\\nosupersub{}","plainCitation":"13","noteIndex":0},"citationItems":[{"id":172,"uris":["http://zotero.org/users/local/cIlVeWgC/items/B9PYL3XI"],"itemData":{"id":172,"type":"article-journal","abstract":"A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9D36EE" w:rsidRPr="009D36EE">
        <w:rPr>
          <w:szCs w:val="24"/>
          <w:vertAlign w:val="superscript"/>
        </w:rPr>
        <w:t>13</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347D51"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347D51"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347D51"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347D51"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393D7AFF"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9D36EE">
        <w:instrText xml:space="preserve"> ADDIN ZOTERO_ITEM CSL_CITATION {"citationID":"PxyA55zC","properties":{"formattedCitation":"\\super 11\\nosupersub{}","plainCitation":"11","noteIndex":0},"citationItems":[{"id":174,"uris":["http://zotero.org/users/local/cIlVeWgC/items/Q6F4DH52"],"itemData":{"id":174,"type":"article-journal","abstract":"Six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9D36EE" w:rsidRPr="009D36EE">
        <w:rPr>
          <w:szCs w:val="24"/>
          <w:vertAlign w:val="superscript"/>
        </w:rPr>
        <w:t>11</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347D51"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9065B02"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9D36EE">
        <w:instrText xml:space="preserve"> ADDIN ZOTERO_ITEM CSL_CITATION {"citationID":"Nayn6cTK","properties":{"formattedCitation":"\\super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9D36EE" w:rsidRPr="009D36EE">
        <w:rPr>
          <w:szCs w:val="24"/>
          <w:vertAlign w:val="superscript"/>
        </w:rPr>
        <w:t>5</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w:t>
      </w:r>
      <w:r w:rsidR="00411B27">
        <w:lastRenderedPageBreak/>
        <w:t>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72160DA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9D36EE">
        <w:instrText xml:space="preserve"> ADDIN ZOTERO_ITEM CSL_CITATION {"citationID":"H14TxtW2","properties":{"formattedCitation":"\\super 14\\nosupersub{}","plainCitation":"14","noteIndex":0},"citationItems":[{"id":180,"uris":["http://zotero.org/users/local/cIlVeWgC/items/G7ERSBJU"],"itemData":{"id":180,"type":"webpage","container-title":"stan-dev.github.io","language":"en","title":"Stan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9D36EE" w:rsidRPr="009D36EE">
        <w:rPr>
          <w:szCs w:val="24"/>
          <w:vertAlign w:val="superscript"/>
        </w:rPr>
        <w:t>14</w:t>
      </w:r>
      <w:r w:rsidR="00A2047A">
        <w:fldChar w:fldCharType="end"/>
      </w:r>
      <w:r w:rsidR="00A2047A">
        <w:t xml:space="preserve"> </w:t>
      </w:r>
      <w:r w:rsidRPr="00015E77">
        <w:t>software linked with Rstudio</w:t>
      </w:r>
      <w:r w:rsidR="00A2047A">
        <w:fldChar w:fldCharType="begin"/>
      </w:r>
      <w:r w:rsidR="009D36EE">
        <w:instrText xml:space="preserve"> ADDIN ZOTERO_ITEM CSL_CITATION {"citationID":"c0z0p3CC","properties":{"formattedCitation":"\\super 15\\nosupersub{}","plainCitation":"15","noteIndex":0},"citationItems":[{"id":433,"uris":["http://zotero.org/users/local/cIlVeWgC/items/6P5F3CZ2"],"itemData":{"id":433,"type":"book","event-place":"Boston,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9D36EE" w:rsidRPr="009D36EE">
        <w:rPr>
          <w:szCs w:val="24"/>
          <w:vertAlign w:val="superscript"/>
        </w:rPr>
        <w:t>15</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9D36EE">
        <w:instrText xml:space="preserve"> ADDIN ZOTERO_ITEM CSL_CITATION {"citationID":"rKTCO69h","properties":{"formattedCitation":"\\super 16\\uc0\\u8211{}20\\nosupersub{}","plainCitation":"16–20","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9D36EE" w:rsidRPr="009D36EE">
        <w:rPr>
          <w:szCs w:val="24"/>
          <w:vertAlign w:val="superscript"/>
        </w:rPr>
        <w:t>16–20</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025141F"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58D34F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w:t>
      </w:r>
    </w:p>
    <w:p w14:paraId="36D59279" w14:textId="7E2819C9"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190FA99E"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w:t>
      </w:r>
      <w:r w:rsidRPr="00DD75C0">
        <w:t>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23CC3895"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1D0281">
        <w:t xml:space="preserve">Here to simplify the text we will present the mean values of posterior distribution. The whole posterior distribution is presented graphically in the attached figures and tables. </w:t>
      </w:r>
      <w:r w:rsidR="00D46423">
        <w:t xml:space="preserve">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r w:rsidR="009B6766">
        <w:lastRenderedPageBreak/>
        <w:t>(</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A8B4977"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p>
    <w:p w14:paraId="5AE43735" w14:textId="16672ABA"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proofErr w:type="spellStart"/>
      <w:r w:rsidR="00B972BD">
        <w:t>toher</w:t>
      </w:r>
      <w:proofErr w:type="spellEnd"/>
      <w:r w:rsidR="001D0281">
        <w:t xml:space="preserve"> columns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w:t>
      </w:r>
      <w:r>
        <w:t>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76F5F870"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E464A3">
        <w:t xml:space="preserve">as expected </w:t>
      </w:r>
      <w:r>
        <w:t xml:space="preserve">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 driven by unexplained BAV </w:t>
      </w:r>
      <w:r w:rsidR="00AB5346" w:rsidRPr="004C3D84">
        <w:rPr>
          <w:rFonts w:ascii="Times New Roman" w:hAnsi="Times New Roman"/>
          <w:i/>
          <w:iCs/>
        </w:rPr>
        <w:t>ω</w:t>
      </w:r>
      <w:r w:rsidR="00AB5346">
        <w:t xml:space="preserve">, which is large. However, by adding experimental information one can decrease this uncertainty. For example, including all the experimental </w:t>
      </w:r>
      <w:r w:rsidR="00AB5346">
        <w:lastRenderedPageBreak/>
        <w:t xml:space="preserve">data provides a very accurate individual predictions.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77777777" w:rsidR="00F31375" w:rsidRPr="0046593F" w:rsidRDefault="00F31375" w:rsidP="00F31375">
      <w:r>
        <w:t>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 for 6 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C2511E7" w14:textId="2AE95615"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64C47865"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9D36EE">
        <w:instrText xml:space="preserve"> ADDIN ZOTERO_ITEM CSL_CITATION {"citationID":"OIOvdPTN","properties":{"formattedCitation":"\\super 21\\nosupersub{}","plainCitation":"21","noteIndex":0},"citationItems":[{"id":281,"uris":["http://zotero.org/users/local/cIlVeWgC/items/8ZFEQITB"],"itemData":{"id":281,"type":"article-journal","abstract":"In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9D36EE" w:rsidRPr="009D36EE">
        <w:rPr>
          <w:szCs w:val="24"/>
          <w:vertAlign w:val="superscript"/>
        </w:rPr>
        <w:t>21</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5D44A97C" w14:textId="10211AF7"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w:t>
      </w:r>
      <w:r>
        <w:lastRenderedPageBreak/>
        <w:t xml:space="preserve">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9D36EE">
        <w:instrText xml:space="preserve"> ADDIN ZOTERO_ITEM CSL_CITATION {"citationID":"o5T6lGr3","properties":{"formattedCitation":"\\super 7\\nosupersub{}","plainCitation":"7","noteIndex":0},"citationItems":[{"id":266,"uris":["http://zotero.org/users/local/cIlVeWgC/items/25MKUMSY"],"itemData":{"id":266,"type":"article-journal","abstract":"Quantitative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9D36EE" w:rsidRPr="009D36EE">
        <w:rPr>
          <w:szCs w:val="24"/>
          <w:vertAlign w:val="superscript"/>
        </w:rPr>
        <w:t>7</w:t>
      </w:r>
      <w:r w:rsidR="00F442E9">
        <w:fldChar w:fldCharType="end"/>
      </w:r>
      <w:r w:rsidR="00F442E9">
        <w:t xml:space="preserve">. It would lead to </w:t>
      </w:r>
      <w:r w:rsidR="00AA671C">
        <w:t>a more detailed characterization of column properties</w:t>
      </w:r>
      <w:r w:rsidR="00F442E9">
        <w:t>. This again required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4FE42747" w14:textId="74189BA1"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that using a fairly difficult problem of finding the optimal separation for 6 diverse analytes. </w:t>
      </w:r>
      <w:r w:rsidR="004B1070">
        <w:t xml:space="preserve">It is also rather difficult to </w:t>
      </w:r>
      <w:r w:rsidR="004B1070">
        <w:t xml:space="preserve">provide a very simple and general rule of improving selectivity based on the model. </w:t>
      </w:r>
      <w:r w:rsidR="00F442E9">
        <w:t xml:space="preserve">The preferred way is </w:t>
      </w:r>
      <w:r w:rsidR="004B1070">
        <w:t>to use the model</w:t>
      </w:r>
      <w:r w:rsidR="006A78F8">
        <w:t>-</w:t>
      </w:r>
      <w:r w:rsidR="004B1070">
        <w:t>based simulations and user-specific decision functions to find the conditions leading to the desired separation</w:t>
      </w:r>
      <w:r w:rsidR="00F442E9">
        <w:t>.</w:t>
      </w:r>
    </w:p>
    <w:p w14:paraId="777E6402" w14:textId="77777777" w:rsidR="0084757E" w:rsidRDefault="000F6AF6" w:rsidP="00DA4679">
      <w:r>
        <w:t xml:space="preserve">&lt;the currently used methods </w:t>
      </w:r>
      <w:r w:rsidR="005A3B18">
        <w:t>of column classification</w:t>
      </w:r>
      <w:r>
        <w:t xml:space="preserve"> are</w:t>
      </w:r>
      <w:r w:rsidR="0084757E">
        <w:t xml:space="preserve"> usually</w:t>
      </w:r>
      <w:r>
        <w:t xml:space="preserve"> </w:t>
      </w:r>
      <w:r w:rsidR="005A3B18">
        <w:t>based</w:t>
      </w:r>
      <w:r>
        <w:t xml:space="preserve"> </w:t>
      </w:r>
      <w:r w:rsidR="0084757E">
        <w:t>on a</w:t>
      </w:r>
      <w:r>
        <w:t xml:space="preserve"> similarity measure (</w:t>
      </w:r>
      <w:r w:rsidR="0084757E">
        <w:t xml:space="preserve">usually </w:t>
      </w:r>
      <w:r>
        <w:t xml:space="preserve">without an any notion of uncertainty). In our opinion this can be improved by </w:t>
      </w:r>
      <w:r w:rsidR="005A3B18">
        <w:t>reporting</w:t>
      </w:r>
      <w:r>
        <w:t xml:space="preserve"> similarity measures </w:t>
      </w:r>
      <w:r w:rsidR="005A3B18">
        <w:t>as a function of a</w:t>
      </w:r>
      <w:r>
        <w:t xml:space="preserve"> chromatographic conditions that are also specific for a given problem at hand. </w:t>
      </w:r>
      <w:r w:rsidR="005A3B18">
        <w:t xml:space="preserve">Basically it is rather hard to find a single number to characterize various interactions occurring in the chromatographic system. We think it is more valuable to provide a model quantitating the variability and uncertainty of </w:t>
      </w:r>
      <w:r w:rsidR="0084757E">
        <w:t xml:space="preserve">relevant </w:t>
      </w:r>
      <w:r w:rsidR="005A3B18">
        <w:t xml:space="preserve">chromatographic parameters, that is sufficiently complex to generalize to </w:t>
      </w:r>
      <w:r w:rsidR="0084757E">
        <w:t>other</w:t>
      </w:r>
      <w:r w:rsidR="005A3B18">
        <w:t xml:space="preserve"> chromatographic conditions</w:t>
      </w:r>
      <w:r w:rsidR="0084757E">
        <w:t xml:space="preserve">, </w:t>
      </w:r>
      <w:r w:rsidR="005A3B18">
        <w:t>analytes</w:t>
      </w:r>
      <w:r w:rsidR="0084757E">
        <w:t xml:space="preserve"> and chromatographic columns</w:t>
      </w:r>
      <w:r w:rsidR="005A3B18">
        <w:t xml:space="preserve">. </w:t>
      </w:r>
      <w:r w:rsidR="0084757E">
        <w:t>Such a</w:t>
      </w:r>
      <w:r w:rsidR="005A3B18">
        <w:t xml:space="preserve"> model might be built once for a particular stationary phase and used by others to solve their specific problem.</w:t>
      </w:r>
      <w:r w:rsidR="0084757E">
        <w:t>&gt;</w:t>
      </w:r>
    </w:p>
    <w:p w14:paraId="6F175563" w14:textId="7199E6BB" w:rsidR="000F6AF6" w:rsidRDefault="0084757E" w:rsidP="00DA4679">
      <w:r>
        <w:t>&lt;We want to emphasize here that because population prediction</w:t>
      </w:r>
      <w:r w:rsidR="00EE04A1">
        <w:t>s</w:t>
      </w:r>
      <w:r>
        <w:t xml:space="preserve"> </w:t>
      </w:r>
      <w:r w:rsidR="005A3B18">
        <w:t xml:space="preserve"> </w:t>
      </w:r>
      <w:r>
        <w:t xml:space="preserve">are very uncertain also the </w:t>
      </w:r>
      <w:r w:rsidR="005A3B18">
        <w:t xml:space="preserve">column ranking without any experimental data </w:t>
      </w:r>
      <w:r w:rsidR="00EE04A1">
        <w:t>cab be expected to be</w:t>
      </w:r>
      <w:r>
        <w:t xml:space="preserve"> very</w:t>
      </w:r>
      <w:r w:rsidR="005A3B18">
        <w:t xml:space="preserve"> </w:t>
      </w:r>
      <w:r>
        <w:t>uncertain. O</w:t>
      </w:r>
      <w:r w:rsidR="005A3B18">
        <w:t xml:space="preserve">ne needs to perform few measurements </w:t>
      </w:r>
      <w:r>
        <w:t xml:space="preserve">using </w:t>
      </w:r>
      <w:r w:rsidR="005A3B18">
        <w:t>at least one column to have practically useful results.</w:t>
      </w:r>
      <w:r>
        <w:t xml:space="preserve"> </w:t>
      </w:r>
      <w:r w:rsidR="005A3B18">
        <w:t xml:space="preserve">&gt;   </w:t>
      </w:r>
      <w:r w:rsidR="000F6AF6">
        <w:t xml:space="preserve"> </w:t>
      </w:r>
    </w:p>
    <w:p w14:paraId="282123B6" w14:textId="77B5693B" w:rsidR="0084757E" w:rsidRDefault="0084757E" w:rsidP="00DA4679">
      <w:r>
        <w:t xml:space="preserve">&lt;fixed effects are adjustable. Based on them one can change chromatographic conditions to adjust for the typical differences. The unexplained BAV controls how likely it </w:t>
      </w:r>
      <w:r w:rsidR="002F2803">
        <w:t xml:space="preserve">is </w:t>
      </w:r>
      <w:r>
        <w:t xml:space="preserve">for a </w:t>
      </w:r>
      <w:r w:rsidR="002F2803">
        <w:t>set</w:t>
      </w:r>
      <w:r>
        <w:t xml:space="preserve"> of analytes to have a similar retention&gt;</w:t>
      </w:r>
    </w:p>
    <w:p w14:paraId="4132F16F" w14:textId="77777777" w:rsidR="00681A67" w:rsidRPr="008B3F31" w:rsidRDefault="00681A67" w:rsidP="006F1F34">
      <w:pPr>
        <w:pStyle w:val="Nagwek1"/>
      </w:pPr>
      <w:r w:rsidRPr="008B3F31">
        <w:t>CONCLUSIONS</w:t>
      </w:r>
    </w:p>
    <w:p w14:paraId="5A64FEE6" w14:textId="3595AD9E"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lastRenderedPageBreak/>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2214E1A5" w:rsidR="000531F1" w:rsidRPr="002B34F1" w:rsidRDefault="004B7BF9" w:rsidP="000531F1">
      <w:pPr>
        <w:pStyle w:val="TAMainText"/>
      </w:pPr>
      <w:r w:rsidRPr="004B7BF9">
        <w:t xml:space="preserve">I wish to acknowledge the help provided by </w:t>
      </w:r>
      <w:proofErr w:type="spellStart"/>
      <w:r w:rsidRPr="004B7BF9">
        <w:t>Łukasz</w:t>
      </w:r>
      <w:proofErr w:type="spellEnd"/>
      <w:r w:rsidRPr="004B7BF9">
        <w:t xml:space="preserve"> </w:t>
      </w:r>
      <w:proofErr w:type="spellStart"/>
      <w:r w:rsidRPr="004B7BF9">
        <w:t>Kubik</w:t>
      </w:r>
      <w:proofErr w:type="spellEnd"/>
      <w:r w:rsidRPr="004B7BF9">
        <w:t xml:space="preserve">, Julia </w:t>
      </w:r>
      <w:proofErr w:type="spellStart"/>
      <w:r w:rsidRPr="004B7BF9">
        <w:t>Jacyna</w:t>
      </w:r>
      <w:proofErr w:type="spellEnd"/>
      <w:r w:rsidRPr="004B7BF9">
        <w:t xml:space="preserve">, </w:t>
      </w:r>
      <w:proofErr w:type="spellStart"/>
      <w:r w:rsidRPr="004B7BF9">
        <w:t>Wiktoria</w:t>
      </w:r>
      <w:proofErr w:type="spellEnd"/>
      <w:r w:rsidRPr="004B7BF9">
        <w:t xml:space="preserve"> Struck-</w:t>
      </w:r>
      <w:proofErr w:type="spellStart"/>
      <w:r w:rsidRPr="004B7BF9">
        <w:t>Lewicka</w:t>
      </w:r>
      <w:proofErr w:type="spellEnd"/>
      <w:r w:rsidRPr="004B7BF9">
        <w:t xml:space="preserve">, </w:t>
      </w:r>
      <w:proofErr w:type="spellStart"/>
      <w:r w:rsidRPr="004B7BF9">
        <w:t>Michał</w:t>
      </w:r>
      <w:proofErr w:type="spellEnd"/>
      <w:r w:rsidRPr="004B7BF9">
        <w:t xml:space="preserve"> J. </w:t>
      </w:r>
      <w:proofErr w:type="spellStart"/>
      <w:r w:rsidRPr="004B7BF9">
        <w:t>Markuszewski</w:t>
      </w:r>
      <w:proofErr w:type="spellEnd"/>
      <w:r w:rsidRPr="004B7BF9">
        <w:t xml:space="preserve"> </w:t>
      </w:r>
      <w:r>
        <w:t xml:space="preserve"> </w:t>
      </w:r>
      <w:r w:rsidR="000531F1">
        <w:t xml:space="preserve">in </w:t>
      </w:r>
      <w:r w:rsidR="000531F1" w:rsidRPr="0045566C">
        <w:t>collect</w:t>
      </w:r>
      <w:r w:rsidR="000531F1">
        <w:t>ing the</w:t>
      </w:r>
      <w:r>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58918A71" w14:textId="77777777" w:rsidR="009D36EE" w:rsidRPr="009D36EE" w:rsidRDefault="00681A67" w:rsidP="009D36EE">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9D36EE" w:rsidRPr="009D36EE">
        <w:t>(1)</w:t>
      </w:r>
      <w:r w:rsidR="009D36EE" w:rsidRPr="009D36EE">
        <w:tab/>
        <w:t xml:space="preserve">Žuvela, P.; Skoczylas, M.; Jay Liu, J.; Ba̧czek, T.; Kaliszan, R.; Wong, M. W.; Buszewski, B. Column Characterization and Selection Systems in Reversed-Phase High-Performance Liquid Chromatography. </w:t>
      </w:r>
      <w:r w:rsidR="009D36EE" w:rsidRPr="009D36EE">
        <w:rPr>
          <w:i/>
          <w:iCs/>
        </w:rPr>
        <w:t>Chem. Rev.</w:t>
      </w:r>
      <w:r w:rsidR="009D36EE" w:rsidRPr="009D36EE">
        <w:t xml:space="preserve"> </w:t>
      </w:r>
      <w:r w:rsidR="009D36EE" w:rsidRPr="009D36EE">
        <w:rPr>
          <w:b/>
          <w:bCs/>
        </w:rPr>
        <w:t>2019</w:t>
      </w:r>
      <w:r w:rsidR="009D36EE" w:rsidRPr="009D36EE">
        <w:t xml:space="preserve">, </w:t>
      </w:r>
      <w:r w:rsidR="009D36EE" w:rsidRPr="009D36EE">
        <w:rPr>
          <w:i/>
          <w:iCs/>
        </w:rPr>
        <w:t>119</w:t>
      </w:r>
      <w:r w:rsidR="009D36EE" w:rsidRPr="009D36EE">
        <w:t xml:space="preserve"> (6), 3674–3729. https://doi.org/10.1021/acs.chemrev.8b00246.</w:t>
      </w:r>
    </w:p>
    <w:p w14:paraId="6278EEB6" w14:textId="77777777" w:rsidR="009D36EE" w:rsidRPr="009D36EE" w:rsidRDefault="009D36EE" w:rsidP="009D36EE">
      <w:pPr>
        <w:pStyle w:val="Bibliografia"/>
      </w:pPr>
      <w:r w:rsidRPr="009D36EE">
        <w:t>(2)</w:t>
      </w:r>
      <w:r w:rsidRPr="009D36EE">
        <w:tab/>
        <w:t xml:space="preserve">Visky, D. 4 Column Characterization and Selection. In </w:t>
      </w:r>
      <w:r w:rsidRPr="009D36EE">
        <w:rPr>
          <w:i/>
          <w:iCs/>
        </w:rPr>
        <w:t>HPLC Method Development for Pharmaceuticals</w:t>
      </w:r>
      <w:r w:rsidRPr="009D36EE">
        <w:t>; Ahuja, S., Rasmussen, H., Eds.; Separation Science and Technology; Academic Press, 2007; Vol. 8, pp 85–109. https://doi.org/10.1016/S0149-6395(07)80010-9.</w:t>
      </w:r>
    </w:p>
    <w:p w14:paraId="546A97E7" w14:textId="77777777" w:rsidR="009D36EE" w:rsidRPr="009D36EE" w:rsidRDefault="009D36EE" w:rsidP="009D36EE">
      <w:pPr>
        <w:pStyle w:val="Bibliografia"/>
      </w:pPr>
      <w:r w:rsidRPr="009D36EE">
        <w:t>(3)</w:t>
      </w:r>
      <w:r w:rsidRPr="009D36EE">
        <w:tab/>
        <w:t xml:space="preserve">Gritti, F.; Guiochon, G. Adsorption Mechanism in RPLC. Effect of the Nature of the Organic Modifier. </w:t>
      </w:r>
      <w:r w:rsidRPr="009D36EE">
        <w:rPr>
          <w:i/>
          <w:iCs/>
        </w:rPr>
        <w:t>Anal Chem</w:t>
      </w:r>
      <w:r w:rsidRPr="009D36EE">
        <w:t xml:space="preserve"> </w:t>
      </w:r>
      <w:r w:rsidRPr="009D36EE">
        <w:rPr>
          <w:b/>
          <w:bCs/>
        </w:rPr>
        <w:t>2005</w:t>
      </w:r>
      <w:r w:rsidRPr="009D36EE">
        <w:t xml:space="preserve">, </w:t>
      </w:r>
      <w:r w:rsidRPr="009D36EE">
        <w:rPr>
          <w:i/>
          <w:iCs/>
        </w:rPr>
        <w:t>77</w:t>
      </w:r>
      <w:r w:rsidRPr="009D36EE">
        <w:t xml:space="preserve"> (13), 4257–4272. https://doi.org/10.1021/ac0580058.</w:t>
      </w:r>
    </w:p>
    <w:p w14:paraId="18526651" w14:textId="77777777" w:rsidR="009D36EE" w:rsidRPr="009D36EE" w:rsidRDefault="009D36EE" w:rsidP="009D36EE">
      <w:pPr>
        <w:pStyle w:val="Bibliografia"/>
      </w:pPr>
      <w:r w:rsidRPr="009D36EE">
        <w:t>(4)</w:t>
      </w:r>
      <w:r w:rsidRPr="009D36EE">
        <w:tab/>
        <w:t xml:space="preserve">Gritti, F. Perspective on the Future Approaches to Predict Retention in Liquid Chromatography. </w:t>
      </w:r>
      <w:r w:rsidRPr="009D36EE">
        <w:rPr>
          <w:i/>
          <w:iCs/>
        </w:rPr>
        <w:t>Anal. Chem.</w:t>
      </w:r>
      <w:r w:rsidRPr="009D36EE">
        <w:t xml:space="preserve"> </w:t>
      </w:r>
      <w:r w:rsidRPr="009D36EE">
        <w:rPr>
          <w:b/>
          <w:bCs/>
        </w:rPr>
        <w:t>2021</w:t>
      </w:r>
      <w:r w:rsidRPr="009D36EE">
        <w:t xml:space="preserve">, </w:t>
      </w:r>
      <w:r w:rsidRPr="009D36EE">
        <w:rPr>
          <w:i/>
          <w:iCs/>
        </w:rPr>
        <w:t>93</w:t>
      </w:r>
      <w:r w:rsidRPr="009D36EE">
        <w:t xml:space="preserve"> (14), 5653–5664. https://doi.org/10.1021/acs.analchem.0c05078.</w:t>
      </w:r>
    </w:p>
    <w:p w14:paraId="2C2BEC65" w14:textId="77777777" w:rsidR="009D36EE" w:rsidRPr="009D36EE" w:rsidRDefault="009D36EE" w:rsidP="009D36EE">
      <w:pPr>
        <w:pStyle w:val="Bibliografia"/>
      </w:pPr>
      <w:r w:rsidRPr="009D36EE">
        <w:t>(5)</w:t>
      </w:r>
      <w:r w:rsidRPr="009D36EE">
        <w:tab/>
        <w:t xml:space="preserve">Kamedulska, A.; Kubik, Ł.; Jacyna, J.; Struck-Lewicka, W.; Markuszewski, M. J.; Wiczling, P. Toward the General Mechanistic Model of Liquid Chromatographic Retention. </w:t>
      </w:r>
      <w:r w:rsidRPr="009D36EE">
        <w:rPr>
          <w:i/>
          <w:iCs/>
        </w:rPr>
        <w:t>Anal. Chem.</w:t>
      </w:r>
      <w:r w:rsidRPr="009D36EE">
        <w:t xml:space="preserve"> </w:t>
      </w:r>
      <w:r w:rsidRPr="009D36EE">
        <w:rPr>
          <w:b/>
          <w:bCs/>
        </w:rPr>
        <w:t>2022</w:t>
      </w:r>
      <w:r w:rsidRPr="009D36EE">
        <w:t xml:space="preserve">, </w:t>
      </w:r>
      <w:r w:rsidRPr="009D36EE">
        <w:rPr>
          <w:i/>
          <w:iCs/>
        </w:rPr>
        <w:t>94</w:t>
      </w:r>
      <w:r w:rsidRPr="009D36EE">
        <w:t xml:space="preserve"> (31), 11070–11080. https://doi.org/10.1021/acs.analchem.2c02034.</w:t>
      </w:r>
    </w:p>
    <w:p w14:paraId="2C18B6A9" w14:textId="77777777" w:rsidR="009D36EE" w:rsidRPr="009D36EE" w:rsidRDefault="009D36EE" w:rsidP="009D36EE">
      <w:pPr>
        <w:pStyle w:val="Bibliografia"/>
      </w:pPr>
      <w:r w:rsidRPr="009D36EE">
        <w:t>(6)</w:t>
      </w:r>
      <w:r w:rsidRPr="009D36EE">
        <w:tab/>
        <w:t xml:space="preserve">Kamedulska, A.; Kubik, Ł.; Wiczling, P. Statistical Analysis of Isocratic Chromatographic Data Using Bayesian Modeling. </w:t>
      </w:r>
      <w:r w:rsidRPr="009D36EE">
        <w:rPr>
          <w:i/>
          <w:iCs/>
        </w:rPr>
        <w:t>Anal Bioanal Chem</w:t>
      </w:r>
      <w:r w:rsidRPr="009D36EE">
        <w:t xml:space="preserve"> </w:t>
      </w:r>
      <w:r w:rsidRPr="009D36EE">
        <w:rPr>
          <w:b/>
          <w:bCs/>
        </w:rPr>
        <w:t>2022</w:t>
      </w:r>
      <w:r w:rsidRPr="009D36EE">
        <w:t xml:space="preserve">, </w:t>
      </w:r>
      <w:r w:rsidRPr="009D36EE">
        <w:rPr>
          <w:i/>
          <w:iCs/>
        </w:rPr>
        <w:t>414</w:t>
      </w:r>
      <w:r w:rsidRPr="009D36EE">
        <w:t xml:space="preserve"> (11), 3471–3481. https://doi.org/10.1007/s00216-022-03968-x.</w:t>
      </w:r>
    </w:p>
    <w:p w14:paraId="4B242E50" w14:textId="77777777" w:rsidR="009D36EE" w:rsidRPr="009D36EE" w:rsidRDefault="009D36EE" w:rsidP="009D36EE">
      <w:pPr>
        <w:pStyle w:val="Bibliografia"/>
      </w:pPr>
      <w:r w:rsidRPr="009D36EE">
        <w:t>(7)</w:t>
      </w:r>
      <w:r w:rsidRPr="009D36EE">
        <w:tab/>
        <w:t xml:space="preserve">Wiczling, P.; Kamedulska, A.; Kubik, L. Application of Bayesian Multilevel Modeling in the Quantitative Structure-Retention Relationship Studies of Heterogeneous Compounds. </w:t>
      </w:r>
      <w:r w:rsidRPr="009D36EE">
        <w:rPr>
          <w:i/>
          <w:iCs/>
        </w:rPr>
        <w:t>ANALYTICAL CHEMISTRY</w:t>
      </w:r>
      <w:r w:rsidRPr="009D36EE">
        <w:t xml:space="preserve">, 2021, </w:t>
      </w:r>
      <w:r w:rsidRPr="009D36EE">
        <w:rPr>
          <w:i/>
          <w:iCs/>
        </w:rPr>
        <w:t>93</w:t>
      </w:r>
      <w:r w:rsidRPr="009D36EE">
        <w:t>, 6961–6971. https://doi.org/10.1021/acs.analchem.0c05227.</w:t>
      </w:r>
    </w:p>
    <w:p w14:paraId="46118063" w14:textId="77777777" w:rsidR="009D36EE" w:rsidRPr="009D36EE" w:rsidRDefault="009D36EE" w:rsidP="009D36EE">
      <w:pPr>
        <w:pStyle w:val="Bibliografia"/>
      </w:pPr>
      <w:r w:rsidRPr="009D36EE">
        <w:t>(8)</w:t>
      </w:r>
      <w:r w:rsidRPr="009D36EE">
        <w:tab/>
        <w:t xml:space="preserve">Wiczling, P. Analyzing Chromatographic Data Using Multilevel Modeling. </w:t>
      </w:r>
      <w:r w:rsidRPr="009D36EE">
        <w:rPr>
          <w:i/>
          <w:iCs/>
        </w:rPr>
        <w:t>ANALYTICAL AND BIOANALYTICAL CHEMISTRY</w:t>
      </w:r>
      <w:r w:rsidRPr="009D36EE">
        <w:t xml:space="preserve">, 2018, </w:t>
      </w:r>
      <w:r w:rsidRPr="009D36EE">
        <w:rPr>
          <w:i/>
          <w:iCs/>
        </w:rPr>
        <w:t>410</w:t>
      </w:r>
      <w:r w:rsidRPr="009D36EE">
        <w:t>, 3905–3915. https://doi.org/10.1007/s00216-018-1061-3.</w:t>
      </w:r>
    </w:p>
    <w:p w14:paraId="28774130" w14:textId="77777777" w:rsidR="009D36EE" w:rsidRPr="009D36EE" w:rsidRDefault="009D36EE" w:rsidP="009D36EE">
      <w:pPr>
        <w:pStyle w:val="Bibliografia"/>
      </w:pPr>
      <w:r w:rsidRPr="009D36EE">
        <w:t>(9)</w:t>
      </w:r>
      <w:r w:rsidRPr="009D36EE">
        <w:tab/>
        <w:t xml:space="preserve">Haider, N. Functionality Pattern Matching as an Efficient Complementary Structure/Reaction Search Tool: An Open-Source Approach. </w:t>
      </w:r>
      <w:r w:rsidRPr="009D36EE">
        <w:rPr>
          <w:i/>
          <w:iCs/>
        </w:rPr>
        <w:t>Molecules</w:t>
      </w:r>
      <w:r w:rsidRPr="009D36EE">
        <w:t xml:space="preserve"> </w:t>
      </w:r>
      <w:r w:rsidRPr="009D36EE">
        <w:rPr>
          <w:b/>
          <w:bCs/>
        </w:rPr>
        <w:t>2010</w:t>
      </w:r>
      <w:r w:rsidRPr="009D36EE">
        <w:t xml:space="preserve">, </w:t>
      </w:r>
      <w:r w:rsidRPr="009D36EE">
        <w:rPr>
          <w:i/>
          <w:iCs/>
        </w:rPr>
        <w:t>15</w:t>
      </w:r>
      <w:r w:rsidRPr="009D36EE">
        <w:t xml:space="preserve"> (8), 5079–5092. https://doi.org/10.3390/molecules15085079.</w:t>
      </w:r>
    </w:p>
    <w:p w14:paraId="020CA582" w14:textId="77777777" w:rsidR="009D36EE" w:rsidRPr="009D36EE" w:rsidRDefault="009D36EE" w:rsidP="009D36EE">
      <w:pPr>
        <w:pStyle w:val="Bibliografia"/>
      </w:pPr>
      <w:r w:rsidRPr="009D36EE">
        <w:t>(10)</w:t>
      </w:r>
      <w:r w:rsidRPr="009D36EE">
        <w:tab/>
        <w:t xml:space="preserve">ACD/Labs. </w:t>
      </w:r>
      <w:r w:rsidRPr="009D36EE">
        <w:rPr>
          <w:i/>
          <w:iCs/>
        </w:rPr>
        <w:t>Release 12.0</w:t>
      </w:r>
      <w:r w:rsidRPr="009D36EE">
        <w:t>; Advanced Chemistry Development Inc.: Toronto, ON, Canada, www.acdlabs.com, 2022., 2011.</w:t>
      </w:r>
    </w:p>
    <w:p w14:paraId="3A362240" w14:textId="77777777" w:rsidR="009D36EE" w:rsidRPr="009D36EE" w:rsidRDefault="009D36EE" w:rsidP="009D36EE">
      <w:pPr>
        <w:pStyle w:val="Bibliografia"/>
      </w:pPr>
      <w:r w:rsidRPr="009D36EE">
        <w:t>(11)</w:t>
      </w:r>
      <w:r w:rsidRPr="009D36EE">
        <w:tab/>
        <w:t xml:space="preserve">Nikitas, P.; Pappa-Louisi, A. New Equations Describing the Combined Effect of pH and Organic Modifier Concentration on the Retention in Reversed-Phase Liquid Chromatography. </w:t>
      </w:r>
      <w:r w:rsidRPr="009D36EE">
        <w:rPr>
          <w:i/>
          <w:iCs/>
        </w:rPr>
        <w:t>J Chromatogr A</w:t>
      </w:r>
      <w:r w:rsidRPr="009D36EE">
        <w:t xml:space="preserve"> </w:t>
      </w:r>
      <w:r w:rsidRPr="009D36EE">
        <w:rPr>
          <w:b/>
          <w:bCs/>
        </w:rPr>
        <w:t>2002</w:t>
      </w:r>
      <w:r w:rsidRPr="009D36EE">
        <w:t xml:space="preserve">, </w:t>
      </w:r>
      <w:r w:rsidRPr="009D36EE">
        <w:rPr>
          <w:i/>
          <w:iCs/>
        </w:rPr>
        <w:t>971</w:t>
      </w:r>
      <w:r w:rsidRPr="009D36EE">
        <w:t xml:space="preserve"> (1–2), 47–60. https://doi.org/10.1016/s0021-9673(02)00965-2.</w:t>
      </w:r>
    </w:p>
    <w:p w14:paraId="49CCC9AB" w14:textId="77777777" w:rsidR="009D36EE" w:rsidRPr="009D36EE" w:rsidRDefault="009D36EE" w:rsidP="009D36EE">
      <w:pPr>
        <w:pStyle w:val="Bibliografia"/>
      </w:pPr>
      <w:r w:rsidRPr="009D36EE">
        <w:t>(12)</w:t>
      </w:r>
      <w:r w:rsidRPr="009D36EE">
        <w:tab/>
        <w:t xml:space="preserve">Nikitas, P.; Pappa-Louisi, A. Retention Models for Isocratic and Gradient Elution in Reversed-Phase Liquid Chromatography. </w:t>
      </w:r>
      <w:r w:rsidRPr="009D36EE">
        <w:rPr>
          <w:i/>
          <w:iCs/>
        </w:rPr>
        <w:t>Journal of Chromatography A</w:t>
      </w:r>
      <w:r w:rsidRPr="009D36EE">
        <w:t xml:space="preserve"> </w:t>
      </w:r>
      <w:r w:rsidRPr="009D36EE">
        <w:rPr>
          <w:b/>
          <w:bCs/>
        </w:rPr>
        <w:t>2009</w:t>
      </w:r>
      <w:r w:rsidRPr="009D36EE">
        <w:t xml:space="preserve">, </w:t>
      </w:r>
      <w:r w:rsidRPr="009D36EE">
        <w:rPr>
          <w:i/>
          <w:iCs/>
        </w:rPr>
        <w:t>1216</w:t>
      </w:r>
      <w:r w:rsidRPr="009D36EE">
        <w:t xml:space="preserve"> (10), 1737–1755. https://doi.org/10.1016/j.chroma.2008.09.051.</w:t>
      </w:r>
    </w:p>
    <w:p w14:paraId="50617C7D" w14:textId="77777777" w:rsidR="009D36EE" w:rsidRPr="009D36EE" w:rsidRDefault="009D36EE" w:rsidP="009D36EE">
      <w:pPr>
        <w:pStyle w:val="Bibliografia"/>
      </w:pPr>
      <w:r w:rsidRPr="009D36EE">
        <w:t>(13)</w:t>
      </w:r>
      <w:r w:rsidRPr="009D36EE">
        <w:tab/>
        <w:t xml:space="preserve">Jano, I.; Hardcastle, J. E.; Zhao, K.; Vermillion-Salsbury, R. General Equation for Calculating the Dissociation Constants of Polyprotic Acids and Bases from Measured Retention Factors in High-Performance Liquid Chromatography. </w:t>
      </w:r>
      <w:r w:rsidRPr="009D36EE">
        <w:rPr>
          <w:i/>
          <w:iCs/>
        </w:rPr>
        <w:t>J Chromatogr A</w:t>
      </w:r>
      <w:r w:rsidRPr="009D36EE">
        <w:t xml:space="preserve"> </w:t>
      </w:r>
      <w:r w:rsidRPr="009D36EE">
        <w:rPr>
          <w:b/>
          <w:bCs/>
        </w:rPr>
        <w:t>1997</w:t>
      </w:r>
      <w:r w:rsidRPr="009D36EE">
        <w:t xml:space="preserve">, </w:t>
      </w:r>
      <w:r w:rsidRPr="009D36EE">
        <w:rPr>
          <w:i/>
          <w:iCs/>
        </w:rPr>
        <w:t>762</w:t>
      </w:r>
      <w:r w:rsidRPr="009D36EE">
        <w:t xml:space="preserve"> (1–2), 63–72. https://doi.org/10.1016/s0021-9673(96)00739-x.</w:t>
      </w:r>
    </w:p>
    <w:p w14:paraId="46F1994F" w14:textId="77777777" w:rsidR="009D36EE" w:rsidRPr="009D36EE" w:rsidRDefault="009D36EE" w:rsidP="009D36EE">
      <w:pPr>
        <w:pStyle w:val="Bibliografia"/>
      </w:pPr>
      <w:r w:rsidRPr="009D36EE">
        <w:t>(14)</w:t>
      </w:r>
      <w:r w:rsidRPr="009D36EE">
        <w:tab/>
      </w:r>
      <w:r w:rsidRPr="009D36EE">
        <w:rPr>
          <w:i/>
          <w:iCs/>
        </w:rPr>
        <w:t>Stan Development Team. YEAR. Stan Modeling Language Users Guide and Reference Manual, VERSION. https://mc-stan.org</w:t>
      </w:r>
      <w:r w:rsidRPr="009D36EE">
        <w:t>. stan-dev.github.io. //mc-stan.org/users/citations/ (accessed 2022-01-18).</w:t>
      </w:r>
    </w:p>
    <w:p w14:paraId="3D9333A1" w14:textId="77777777" w:rsidR="009D36EE" w:rsidRPr="009D36EE" w:rsidRDefault="009D36EE" w:rsidP="009D36EE">
      <w:pPr>
        <w:pStyle w:val="Bibliografia"/>
      </w:pPr>
      <w:r w:rsidRPr="009D36EE">
        <w:t>(15)</w:t>
      </w:r>
      <w:r w:rsidRPr="009D36EE">
        <w:tab/>
        <w:t xml:space="preserve">RStudio Team. </w:t>
      </w:r>
      <w:r w:rsidRPr="009D36EE">
        <w:rPr>
          <w:i/>
          <w:iCs/>
        </w:rPr>
        <w:t>RStudio: Integrated Development Environment for R</w:t>
      </w:r>
      <w:r w:rsidRPr="009D36EE">
        <w:t>; RStudio, PBC.: Boston, MA, 2020.</w:t>
      </w:r>
    </w:p>
    <w:p w14:paraId="53308FB6" w14:textId="77777777" w:rsidR="009D36EE" w:rsidRPr="009D36EE" w:rsidRDefault="009D36EE" w:rsidP="009D36EE">
      <w:pPr>
        <w:pStyle w:val="Bibliografia"/>
      </w:pPr>
      <w:r w:rsidRPr="009D36EE">
        <w:t>(16)</w:t>
      </w:r>
      <w:r w:rsidRPr="009D36EE">
        <w:tab/>
        <w:t xml:space="preserve">Kubik, Ł.; Jacyna, J.; Struck-Lewicka, W.; Markuszewski, M. J.; Wiczling, P. LC-TOF-MS Data Collected for 300 Small Molecules. XBridge Shield RP18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https://doi.org/10.17605/OSF.IO/ZQTJ7.</w:t>
      </w:r>
    </w:p>
    <w:p w14:paraId="09062C5C" w14:textId="77777777" w:rsidR="009D36EE" w:rsidRPr="009D36EE" w:rsidRDefault="009D36EE" w:rsidP="009D36EE">
      <w:pPr>
        <w:pStyle w:val="Bibliografia"/>
      </w:pPr>
      <w:r w:rsidRPr="009D36EE">
        <w:t>(17)</w:t>
      </w:r>
      <w:r w:rsidRPr="009D36EE">
        <w:tab/>
        <w:t xml:space="preserve">Kubik, Ł.; Jacyna, J.; Struck-Lewicka, W.; Markuszewski, M. J.; Wiczling, P. LC-TOF-MS Data Collected for 300 Small Molecules. XTerra MS C18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https://doi.org/10.17605/OSF.IO/QBV7J.</w:t>
      </w:r>
    </w:p>
    <w:p w14:paraId="4CE086D5" w14:textId="77777777" w:rsidR="009D36EE" w:rsidRPr="009D36EE" w:rsidRDefault="009D36EE" w:rsidP="009D36EE">
      <w:pPr>
        <w:pStyle w:val="Bibliografia"/>
      </w:pPr>
      <w:r w:rsidRPr="009D36EE">
        <w:t>(18)</w:t>
      </w:r>
      <w:r w:rsidRPr="009D36EE">
        <w:tab/>
        <w:t xml:space="preserve">Kubik, Ł.; Jacyna, J.; Struck-Lewicka, W.; Markuszewski, M. J.; Wiczling, P. LC-TOF-MS Data Collected for 300 Small Molecules. XTerra-C8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https://doi.org/10.17605/OSF.IO/2MCNW.</w:t>
      </w:r>
    </w:p>
    <w:p w14:paraId="5CA1892C" w14:textId="77777777" w:rsidR="009D36EE" w:rsidRPr="009D36EE" w:rsidRDefault="009D36EE" w:rsidP="009D36EE">
      <w:pPr>
        <w:pStyle w:val="Bibliografia"/>
      </w:pPr>
      <w:r w:rsidRPr="009D36EE">
        <w:t>(19)</w:t>
      </w:r>
      <w:r w:rsidRPr="009D36EE">
        <w:tab/>
        <w:t xml:space="preserve">Kubik, Ł.; Jacyna, J.; Struck-Lewicka, W.; Markuszewski, M. J.; Wiczling, P. LC-TOF-MS Data Collected for 300 Small Molecules. XBridge Phenyl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https://doi.org/10.17605/OSF.IO/EVUJ9.</w:t>
      </w:r>
    </w:p>
    <w:p w14:paraId="3C183720" w14:textId="77777777" w:rsidR="009D36EE" w:rsidRPr="009D36EE" w:rsidRDefault="009D36EE" w:rsidP="009D36EE">
      <w:pPr>
        <w:pStyle w:val="Bibliografia"/>
      </w:pPr>
      <w:r w:rsidRPr="009D36EE">
        <w:t>(20)</w:t>
      </w:r>
      <w:r w:rsidRPr="009D36EE">
        <w:tab/>
        <w:t xml:space="preserve">Kubik, Ł.; Jacyna, J.; Struck-Lewicka, W.; Markuszewski, M. J.; Wiczling, P. LC-TOF-MS Data Collected for 300 Small Molecules. XBridge-C8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https://doi.org/10.17605/OSF.IO/Y6S8P.</w:t>
      </w:r>
    </w:p>
    <w:p w14:paraId="08078DD0" w14:textId="77777777" w:rsidR="009D36EE" w:rsidRPr="009D36EE" w:rsidRDefault="009D36EE" w:rsidP="009D36EE">
      <w:pPr>
        <w:pStyle w:val="Bibliografia"/>
      </w:pPr>
      <w:r w:rsidRPr="009D36EE">
        <w:t>(21)</w:t>
      </w:r>
      <w:r w:rsidRPr="009D36EE">
        <w:tab/>
        <w:t xml:space="preserve">Wiczling, P. Evaluation of Sequential Bayesian-Based Method Development Procedures for Chromatographic Problems Involving One, Two, and Three Analytes. </w:t>
      </w:r>
      <w:r w:rsidRPr="009D36EE">
        <w:rPr>
          <w:i/>
          <w:iCs/>
        </w:rPr>
        <w:t>SEPARATION SCIENCE PLUS</w:t>
      </w:r>
      <w:r w:rsidRPr="009D36EE">
        <w:t xml:space="preserve">, 2018, </w:t>
      </w:r>
      <w:r w:rsidRPr="009D36EE">
        <w:rPr>
          <w:i/>
          <w:iCs/>
        </w:rPr>
        <w:t>1</w:t>
      </w:r>
      <w:r w:rsidRPr="009D36EE">
        <w:t>, 63–75. https://doi.org/10.1002/sscp.201700037.</w:t>
      </w:r>
    </w:p>
    <w:p w14:paraId="4BC80072" w14:textId="0E95668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lastRenderedPageBreak/>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C662" w14:textId="77777777" w:rsidR="00347D51" w:rsidRDefault="00347D51" w:rsidP="006F1F34">
      <w:r>
        <w:separator/>
      </w:r>
    </w:p>
    <w:p w14:paraId="175873B2" w14:textId="77777777" w:rsidR="00347D51" w:rsidRDefault="00347D51"/>
    <w:p w14:paraId="375B4231" w14:textId="77777777" w:rsidR="00347D51" w:rsidRDefault="00347D51" w:rsidP="001A093C"/>
  </w:endnote>
  <w:endnote w:type="continuationSeparator" w:id="0">
    <w:p w14:paraId="01732EAC" w14:textId="77777777" w:rsidR="00347D51" w:rsidRDefault="00347D51" w:rsidP="006F1F34">
      <w:r>
        <w:continuationSeparator/>
      </w:r>
    </w:p>
    <w:p w14:paraId="3AD23881" w14:textId="77777777" w:rsidR="00347D51" w:rsidRDefault="00347D51"/>
    <w:p w14:paraId="2DCE734C" w14:textId="77777777" w:rsidR="00347D51" w:rsidRDefault="00347D51"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347D51"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347D51"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347D51" w:rsidP="006F1F34">
    <w:pPr>
      <w:pStyle w:val="Stopka"/>
    </w:pPr>
  </w:p>
  <w:p w14:paraId="0EB6940F" w14:textId="77777777" w:rsidR="001F383C" w:rsidRDefault="00347D51"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347D51" w:rsidP="006F1F34">
    <w:pPr>
      <w:pStyle w:val="Stopka"/>
    </w:pPr>
  </w:p>
  <w:p w14:paraId="2B7B92A3" w14:textId="77777777" w:rsidR="001F383C" w:rsidRDefault="00347D51"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D2B3" w14:textId="77777777" w:rsidR="00347D51" w:rsidRDefault="00347D51" w:rsidP="006F1F34">
      <w:r>
        <w:separator/>
      </w:r>
    </w:p>
    <w:p w14:paraId="6DAE1A3B" w14:textId="77777777" w:rsidR="00347D51" w:rsidRDefault="00347D51"/>
    <w:p w14:paraId="4B31375A" w14:textId="77777777" w:rsidR="00347D51" w:rsidRDefault="00347D51" w:rsidP="001A093C"/>
  </w:footnote>
  <w:footnote w:type="continuationSeparator" w:id="0">
    <w:p w14:paraId="4767A767" w14:textId="77777777" w:rsidR="00347D51" w:rsidRDefault="00347D51" w:rsidP="006F1F34">
      <w:r>
        <w:continuationSeparator/>
      </w:r>
    </w:p>
    <w:p w14:paraId="6E8DFC32" w14:textId="77777777" w:rsidR="00347D51" w:rsidRDefault="00347D51"/>
    <w:p w14:paraId="58110BF0" w14:textId="77777777" w:rsidR="00347D51" w:rsidRDefault="00347D51"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347D51"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531F1"/>
    <w:rsid w:val="0006411C"/>
    <w:rsid w:val="000707D9"/>
    <w:rsid w:val="00083091"/>
    <w:rsid w:val="000849C3"/>
    <w:rsid w:val="000927BB"/>
    <w:rsid w:val="00093166"/>
    <w:rsid w:val="00094A15"/>
    <w:rsid w:val="00095461"/>
    <w:rsid w:val="000C3724"/>
    <w:rsid w:val="000E335C"/>
    <w:rsid w:val="000F0DC0"/>
    <w:rsid w:val="000F6AF6"/>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296C"/>
    <w:rsid w:val="003275D3"/>
    <w:rsid w:val="003304EB"/>
    <w:rsid w:val="00336A10"/>
    <w:rsid w:val="00337D7A"/>
    <w:rsid w:val="00347D51"/>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F4D6F"/>
    <w:rsid w:val="005F7416"/>
    <w:rsid w:val="00601F64"/>
    <w:rsid w:val="00607981"/>
    <w:rsid w:val="006135C1"/>
    <w:rsid w:val="006163A4"/>
    <w:rsid w:val="00620323"/>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6340"/>
    <w:rsid w:val="00EC26A4"/>
    <w:rsid w:val="00EC37B7"/>
    <w:rsid w:val="00ED1641"/>
    <w:rsid w:val="00EE04A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TotalTime>
  <Pages>8</Pages>
  <Words>12376</Words>
  <Characters>70549</Characters>
  <Application>Microsoft Office Word</Application>
  <DocSecurity>0</DocSecurity>
  <Lines>587</Lines>
  <Paragraphs>165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253</cp:revision>
  <dcterms:created xsi:type="dcterms:W3CDTF">2023-05-26T10:37:00Z</dcterms:created>
  <dcterms:modified xsi:type="dcterms:W3CDTF">2023-09-09T09:06:00Z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id="WPMCibPL"/&gt;&lt;style id="http://www.zotero.org/styles/american-chemical-society" hasBibliography="1" bibliographyStyleHasBeenSet="1"/&gt;&lt;prefs&gt;&lt;pref name="fieldType" value="Field"/&gt;&lt;/prefs&gt;&lt;/data&gt;</vt:lpwstr>
  </property>
</Properties>
</file>