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800"/>
        <w:gridCol w:w="11440"/>
      </w:tblGrid>
      <w:tr>
        <w:tc>
          <w:tcPr>
            <w:tcW w:type="dxa" w:w="800"/>
            <w:tcBorders>
              <w:top w:val="none" w:color="FFFFFF" w:sz="0"/>
              <w:left w:val="none" w:color="FFFFFF" w:sz="0"/>
              <w:bottom w:val="none" w:color="FFFFFF" w:sz="0"/>
              <w:right w:val="none" w:color="FFFFFF" w:sz="0"/>
            </w:tcBorders>
            <w:shd w:fill="0B0F19" w:color="0B0F19" w:val="clear"/>
            <w:tcMar>
              <w:top w:type="dxa" w:w="0"/>
              <w:left w:type="dxa" w:w="0"/>
              <w:bottom w:type="dxa" w:w="0"/>
              <w:right w:type="dxa" w:w="0"/>
            </w:tcMar>
          </w:tcPr>
          <w:p/>
        </w:tc>
        <w:tc>
          <w:tcPr>
            <w:tcW w:type="dxa" w:w="11440"/>
            <w:tcBorders>
              <w:top w:val="none" w:color="FFFFFF" w:sz="0"/>
              <w:left w:val="none" w:color="FFFFFF" w:sz="0"/>
              <w:bottom w:val="none" w:color="FFFFFF" w:sz="0"/>
              <w:right w:val="none" w:color="FFFFFF" w:sz="0"/>
            </w:tcBorders>
            <w:shd w:fill="0B0F19" w:color="0B0F19" w:val="clear"/>
            <w:tcMar>
              <w:top w:type="dxa" w:w="200"/>
              <w:left w:type="dxa" w:w="400"/>
              <w:bottom w:type="dxa" w:w="200"/>
              <w:right w:type="dxa" w:w="400"/>
            </w:tcMar>
            <w:vAlign w:val="top"/>
          </w:tcPr>
          <w:p>
            <w:pPr>
              <w:spacing w:after="0" w:before="600"/>
            </w:pPr>
          </w:p>
          <w:p>
            <w:pPr>
              <w:spacing w:after="200" w:before="0"/>
              <w:jc w:val="center"/>
            </w:pPr>
            <w:r>
              <w:rPr>
                <w:rFonts w:ascii="Arial" w:cs="Arial" w:eastAsia="Arial" w:hAnsi="Arial"/>
                <w:caps/>
                <w:color w:val="FFFFFF"/>
                <w:spacing w:val="60"/>
                <w:sz w:val="20"/>
                <w:szCs w:val="20"/>
              </w:rPr>
              <w:t xml:space="preserve">SOLUTION PROPOSAL</w:t>
            </w:r>
          </w:p>
          <w:p>
            <w:pPr>
              <w:spacing w:after="200" w:before="0"/>
              <w:jc w:val="center"/>
            </w:pPr>
            <w:r>
              <w:rPr>
                <w:rFonts w:ascii="Calibri" w:cs="Calibri" w:eastAsia="Calibri" w:hAnsi="Calibri"/>
                <w:b/>
                <w:bCs/>
                <w:color w:val="FFFFFF"/>
                <w:sz w:val="72"/>
                <w:szCs w:val="72"/>
              </w:rPr>
              <w:t xml:space="preserve">Inbound Carrier Sales Automation</w:t>
            </w:r>
          </w:p>
          <w:p>
            <w:pPr>
              <w:spacing w:after="600" w:before="0"/>
              <w:jc w:val="center"/>
            </w:pPr>
            <w:r>
              <w:rPr>
                <w:rFonts w:ascii="Calibri" w:cs="Calibri" w:eastAsia="Calibri" w:hAnsi="Calibri"/>
                <w:color w:val="B0B8C8"/>
                <w:sz w:val="32"/>
                <w:szCs w:val="32"/>
              </w:rPr>
              <w:t xml:space="preserve">Prepared for Acme Logistics</w:t>
            </w:r>
          </w:p>
          <w:p>
            <w:pPr>
              <w:pBdr>
                <w:bottom w:val="single" w:color="E5E7EB" w:sz="4" w:space="1"/>
              </w:pBdr>
              <w:spacing w:after="200" w:before="0"/>
              <w:jc w:val="center"/>
            </w:pPr>
          </w:p>
          <w:p>
            <w:pPr>
              <w:spacing w:after="0" w:before="0"/>
            </w:pPr>
          </w:p>
          <w:p>
            <w:pPr>
              <w:spacing w:after="0" w:before="0"/>
              <w:jc w:val="center"/>
            </w:pPr>
            <w:r>
              <w:rPr>
                <w:rFonts w:ascii="Arial" w:cs="Arial" w:eastAsia="Arial" w:hAnsi="Arial"/>
                <w:color w:val="B0B8C8"/>
                <w:sz w:val="20"/>
                <w:szCs w:val="20"/>
              </w:rPr>
              <w:t xml:space="preserve">Prepared by</w:t>
            </w:r>
          </w:p>
          <w:p>
            <w:pPr>
              <w:spacing w:after="0" w:before="0"/>
              <w:jc w:val="center"/>
            </w:pPr>
            <w:r>
              <w:rPr>
                <w:rFonts w:ascii="Calibri" w:cs="Calibri" w:eastAsia="Calibri" w:hAnsi="Calibri"/>
                <w:b/>
                <w:bCs/>
                <w:color w:val="FFFFFF"/>
                <w:sz w:val="40"/>
                <w:szCs w:val="40"/>
              </w:rPr>
              <w:t xml:space="preserve">HappyRobot</w:t>
            </w:r>
          </w:p>
          <w:p>
            <w:pPr>
              <w:spacing w:after="0" w:before="0"/>
              <w:jc w:val="center"/>
            </w:pPr>
            <w:r>
              <w:rPr>
                <w:rFonts w:ascii="Calibri" w:cs="Calibri" w:eastAsia="Calibri" w:hAnsi="Calibri"/>
                <w:color w:val="B0B8C8"/>
                <w:sz w:val="22"/>
                <w:szCs w:val="22"/>
              </w:rPr>
              <w:t xml:space="preserve">hello@happyrobot.ai · happyrobot.ai</w:t>
            </w:r>
          </w:p>
          <w:p>
            <w:pPr>
              <w:spacing w:after="400" w:before="0"/>
              <w:jc w:val="center"/>
            </w:pPr>
            <w:r>
              <w:rPr>
                <w:rFonts w:ascii="Calibri" w:cs="Calibri" w:eastAsia="Calibri" w:hAnsi="Calibri"/>
                <w:color w:val="B0B8C8"/>
                <w:sz w:val="22"/>
                <w:szCs w:val="22"/>
              </w:rPr>
              <w:t xml:space="preserve">April 2026</w:t>
            </w:r>
          </w:p>
          <w:p>
            <w:pPr>
              <w:spacing w:after="0" w:before="0"/>
              <w:jc w:val="center"/>
            </w:pPr>
            <w:r>
              <w:rPr>
                <w:rFonts w:ascii="Arial" w:cs="Arial" w:eastAsia="Arial" w:hAnsi="Arial"/>
                <w:i/>
                <w:iCs/>
                <w:color w:val="B0B8C8"/>
                <w:spacing w:val="40"/>
                <w:sz w:val="18"/>
                <w:szCs w:val="18"/>
              </w:rPr>
              <w:t xml:space="preserve">CONFIDENTIAL</w:t>
            </w:r>
          </w:p>
        </w:tc>
      </w:tr>
    </w:tbl>
    <w:p>
      <w:r>
        <w:br w:type="page"/>
      </w:r>
    </w:p>
    <w:p>
      <w:pPr>
        <w:sectPr>
          <w:pgSz w:w="12240" w:h="15840" w:orient="portrait"/>
          <w:pgMar w:top="720" w:right="720" w:bottom="720" w:left="720" w:header="708" w:footer="708" w:gutter="0"/>
          <w:pgNumType/>
          <w:docGrid w:linePitch="360"/>
        </w:sectPr>
      </w:pPr>
    </w:p>
    <w:p>
      <w:pPr>
        <w:pStyle w:val="Heading1"/>
        <w:pBdr>
          <w:bottom w:val="single" w:color="E5E7EB" w:sz="4" w:space="1"/>
        </w:pBdr>
        <w:spacing w:after="120" w:before="360"/>
      </w:pPr>
      <w:r>
        <w:rPr>
          <w:rFonts w:ascii="Calibri" w:cs="Calibri" w:eastAsia="Calibri" w:hAnsi="Calibri"/>
          <w:b/>
          <w:bCs/>
          <w:color w:val="1A1F2E"/>
          <w:sz w:val="44"/>
          <w:szCs w:val="44"/>
        </w:rPr>
        <w:t xml:space="preserve">Executive Summary</w:t>
      </w:r>
    </w:p>
    <w:p>
      <w:pPr>
        <w:spacing w:after="120" w:before="0"/>
        <w:jc w:val="left"/>
      </w:pPr>
      <w:r>
        <w:rPr>
          <w:rFonts w:ascii="Calibri" w:cs="Calibri" w:eastAsia="Calibri" w:hAnsi="Calibri"/>
          <w:color w:val="374151"/>
          <w:sz w:val="22"/>
          <w:szCs w:val="22"/>
        </w:rPr>
        <w:t xml:space="preserve">Acme Logistics receives hundreds of inbound carrier calls each week. Today, every one of those calls is handled manually — a sales representative answers, verifies the carrier's eligibility, searches for a matching load, negotiates a rate, and records the outcome. This process is time-consuming, inconsistent, and impossible to scale without adding headcount.</w:t>
      </w:r>
    </w:p>
    <w:p>
      <w:pPr>
        <w:spacing w:after="120" w:before="0"/>
        <w:jc w:val="left"/>
      </w:pPr>
      <w:r>
        <w:rPr>
          <w:rFonts w:ascii="Calibri" w:cs="Calibri" w:eastAsia="Calibri" w:hAnsi="Calibri"/>
          <w:color w:val="374151"/>
          <w:sz w:val="22"/>
          <w:szCs w:val="22"/>
        </w:rPr>
        <w:t xml:space="preserve">HappyRobot proposes a fully automated inbound carrier sales solution built on our AI voice agent platform. The system handles the entire call flow — from FMCSA carrier verification through load matching, rate negotiation, and booking confirmation — without human intervention. A real-time analytics dashboard provides complete visibility into call outcomes, revenue performance, and negotiation efficiency.</w:t>
      </w:r>
    </w:p>
    <w:p>
      <w:pPr>
        <w:spacing w:after="120" w:before="0"/>
        <w:jc w:val="left"/>
      </w:pPr>
      <w:r>
        <w:rPr>
          <w:rFonts w:ascii="Calibri" w:cs="Calibri" w:eastAsia="Calibri" w:hAnsi="Calibri"/>
          <w:color w:val="374151"/>
          <w:sz w:val="22"/>
          <w:szCs w:val="22"/>
        </w:rPr>
        <w:t xml:space="preserve">This document describes the solution we have built and deployed as a proof of concept, including the technical architecture, agent capabilities, security model, deployment infrastructure, and expected business value for Acme Logistics.</w:t>
      </w:r>
    </w:p>
    <w:p>
      <w:r>
        <w:br w:type="page"/>
      </w:r>
    </w:p>
    <w:p>
      <w:pPr>
        <w:pStyle w:val="Heading1"/>
        <w:pBdr>
          <w:bottom w:val="single" w:color="E5E7EB" w:sz="4" w:space="1"/>
        </w:pBdr>
        <w:spacing w:after="120" w:before="360"/>
      </w:pPr>
      <w:r>
        <w:rPr>
          <w:rFonts w:ascii="Calibri" w:cs="Calibri" w:eastAsia="Calibri" w:hAnsi="Calibri"/>
          <w:b/>
          <w:bCs/>
          <w:color w:val="1A1F2E"/>
          <w:sz w:val="44"/>
          <w:szCs w:val="44"/>
        </w:rPr>
        <w:t xml:space="preserve">The Problem with Manual Inbound Calls</w:t>
      </w:r>
    </w:p>
    <w:p>
      <w:pPr>
        <w:pStyle w:val="Heading2"/>
        <w:spacing w:after="80" w:before="240"/>
      </w:pPr>
      <w:r>
        <w:rPr>
          <w:rFonts w:ascii="Calibri" w:cs="Calibri" w:eastAsia="Calibri" w:hAnsi="Calibri"/>
          <w:b/>
          <w:bCs/>
          <w:color w:val="374151"/>
          <w:sz w:val="32"/>
          <w:szCs w:val="32"/>
        </w:rPr>
        <w:t xml:space="preserve">Current State</w:t>
      </w:r>
    </w:p>
    <w:p>
      <w:pPr>
        <w:spacing w:after="120" w:before="0"/>
        <w:jc w:val="left"/>
      </w:pPr>
      <w:r>
        <w:rPr>
          <w:rFonts w:ascii="Calibri" w:cs="Calibri" w:eastAsia="Calibri" w:hAnsi="Calibri"/>
          <w:color w:val="374151"/>
          <w:sz w:val="22"/>
          <w:szCs w:val="22"/>
        </w:rPr>
        <w:t xml:space="preserve">Today's inbound carrier call process at a typical freight brokerage follows a predictable but inefficient pattern:</w:t>
      </w:r>
    </w:p>
    <w:p>
      <w:pPr>
        <w:pStyle w:val="ListParagraph"/>
        <w:numPr>
          <w:ilvl w:val="0"/>
          <w:numId w:val="2"/>
        </w:numPr>
        <w:spacing w:after="120" w:before="0"/>
      </w:pPr>
      <w:r>
        <w:rPr>
          <w:rFonts w:ascii="Calibri" w:cs="Calibri" w:eastAsia="Calibri" w:hAnsi="Calibri"/>
          <w:color w:val="374151"/>
          <w:sz w:val="22"/>
          <w:szCs w:val="22"/>
        </w:rPr>
        <w:t xml:space="preserve">A carrier calls the brokerage's main line looking for a load.</w:t>
      </w:r>
    </w:p>
    <w:p>
      <w:pPr>
        <w:pStyle w:val="ListParagraph"/>
        <w:numPr>
          <w:ilvl w:val="0"/>
          <w:numId w:val="2"/>
        </w:numPr>
        <w:spacing w:after="120" w:before="0"/>
      </w:pPr>
      <w:r>
        <w:rPr>
          <w:rFonts w:ascii="Calibri" w:cs="Calibri" w:eastAsia="Calibri" w:hAnsi="Calibri"/>
          <w:color w:val="374151"/>
          <w:sz w:val="22"/>
          <w:szCs w:val="22"/>
        </w:rPr>
        <w:t xml:space="preserve">A sales representative answers, collects the carrier's MC number, and manually checks FMCSA eligibility.</w:t>
      </w:r>
    </w:p>
    <w:p>
      <w:pPr>
        <w:pStyle w:val="ListParagraph"/>
        <w:numPr>
          <w:ilvl w:val="0"/>
          <w:numId w:val="2"/>
        </w:numPr>
        <w:spacing w:after="120" w:before="0"/>
      </w:pPr>
      <w:r>
        <w:rPr>
          <w:rFonts w:ascii="Calibri" w:cs="Calibri" w:eastAsia="Calibri" w:hAnsi="Calibri"/>
          <w:color w:val="374151"/>
          <w:sz w:val="22"/>
          <w:szCs w:val="22"/>
        </w:rPr>
        <w:t xml:space="preserve">The rep searches internal systems for available loads matching the carrier's origin, equipment type, and availability.</w:t>
      </w:r>
    </w:p>
    <w:p>
      <w:pPr>
        <w:pStyle w:val="ListParagraph"/>
        <w:numPr>
          <w:ilvl w:val="0"/>
          <w:numId w:val="2"/>
        </w:numPr>
        <w:spacing w:after="120" w:before="0"/>
      </w:pPr>
      <w:r>
        <w:rPr>
          <w:rFonts w:ascii="Calibri" w:cs="Calibri" w:eastAsia="Calibri" w:hAnsi="Calibri"/>
          <w:color w:val="374151"/>
          <w:sz w:val="22"/>
          <w:szCs w:val="22"/>
        </w:rPr>
        <w:t xml:space="preserve">The rep pitches one or more loads, handles any questions, and negotiates the rate.</w:t>
      </w:r>
    </w:p>
    <w:p>
      <w:pPr>
        <w:pStyle w:val="ListParagraph"/>
        <w:numPr>
          <w:ilvl w:val="0"/>
          <w:numId w:val="2"/>
        </w:numPr>
        <w:spacing w:after="120" w:before="0"/>
      </w:pPr>
      <w:r>
        <w:rPr>
          <w:rFonts w:ascii="Calibri" w:cs="Calibri" w:eastAsia="Calibri" w:hAnsi="Calibri"/>
          <w:color w:val="374151"/>
          <w:sz w:val="22"/>
          <w:szCs w:val="22"/>
        </w:rPr>
        <w:t xml:space="preserve">If a deal is reached, the rep manually books the load and notifies the carrier.</w:t>
      </w:r>
    </w:p>
    <w:p>
      <w:pPr>
        <w:pStyle w:val="ListParagraph"/>
        <w:numPr>
          <w:ilvl w:val="0"/>
          <w:numId w:val="2"/>
        </w:numPr>
        <w:spacing w:after="120" w:before="0"/>
      </w:pPr>
      <w:r>
        <w:rPr>
          <w:rFonts w:ascii="Calibri" w:cs="Calibri" w:eastAsia="Calibri" w:hAnsi="Calibri"/>
          <w:color w:val="374151"/>
          <w:sz w:val="22"/>
          <w:szCs w:val="22"/>
        </w:rPr>
        <w:t xml:space="preserve">Call data — if recorded at all — is entered manually into a CRM after the fact.</w:t>
      </w:r>
    </w:p>
    <w:p>
      <w:pPr>
        <w:spacing w:after="80" w:before="80"/>
      </w:pPr>
    </w:p>
    <w:p>
      <w:pPr>
        <w:pStyle w:val="Heading2"/>
        <w:spacing w:after="80" w:before="240"/>
      </w:pPr>
      <w:r>
        <w:rPr>
          <w:rFonts w:ascii="Calibri" w:cs="Calibri" w:eastAsia="Calibri" w:hAnsi="Calibri"/>
          <w:b/>
          <w:bCs/>
          <w:color w:val="374151"/>
          <w:sz w:val="32"/>
          <w:szCs w:val="32"/>
        </w:rPr>
        <w:t xml:space="preserve">Key Pain Points</w:t>
      </w:r>
    </w:p>
    <w:p>
      <w:pPr>
        <w:spacing w:after="120" w:before="0"/>
      </w:pPr>
      <w:r>
        <w:rPr>
          <w:rFonts w:ascii="Calibri" w:cs="Calibri" w:eastAsia="Calibri" w:hAnsi="Calibri"/>
          <w:b/>
          <w:bCs/>
          <w:color w:val="374151"/>
          <w:sz w:val="22"/>
          <w:szCs w:val="22"/>
        </w:rPr>
        <w:t xml:space="preserve">Agent capacity constraints. </w:t>
      </w:r>
      <w:r>
        <w:rPr>
          <w:rFonts w:ascii="Calibri" w:cs="Calibri" w:eastAsia="Calibri" w:hAnsi="Calibri"/>
          <w:color w:val="374151"/>
          <w:sz w:val="22"/>
          <w:szCs w:val="22"/>
        </w:rPr>
        <w:t xml:space="preserve">Each call takes 8–12 minutes to handle correctly. For a team of five brokers receiving 50+ inbound calls per day, this consumes the majority of productive working hours — leaving little time for outbound sales, relationship building, or strategic work.</w:t>
      </w:r>
    </w:p>
    <w:p>
      <w:pPr>
        <w:spacing w:after="120" w:before="0"/>
      </w:pPr>
      <w:r>
        <w:rPr>
          <w:rFonts w:ascii="Calibri" w:cs="Calibri" w:eastAsia="Calibri" w:hAnsi="Calibri"/>
          <w:b/>
          <w:bCs/>
          <w:color w:val="374151"/>
          <w:sz w:val="22"/>
          <w:szCs w:val="22"/>
        </w:rPr>
        <w:t xml:space="preserve">Inconsistency at scale. </w:t>
      </w:r>
      <w:r>
        <w:rPr>
          <w:rFonts w:ascii="Calibri" w:cs="Calibri" w:eastAsia="Calibri" w:hAnsi="Calibri"/>
          <w:color w:val="374151"/>
          <w:sz w:val="22"/>
          <w:szCs w:val="22"/>
        </w:rPr>
        <w:t xml:space="preserve">Negotiation quality, load pitching, and carrier vetting depend entirely on which representative answers the phone. New hires negotiate differently from experienced brokers. The result is unpredictable booking rates and margin leakage.</w:t>
      </w:r>
    </w:p>
    <w:p>
      <w:pPr>
        <w:spacing w:after="120" w:before="0"/>
      </w:pPr>
      <w:r>
        <w:rPr>
          <w:rFonts w:ascii="Calibri" w:cs="Calibri" w:eastAsia="Calibri" w:hAnsi="Calibri"/>
          <w:b/>
          <w:bCs/>
          <w:color w:val="374151"/>
          <w:sz w:val="22"/>
          <w:szCs w:val="22"/>
        </w:rPr>
        <w:t xml:space="preserve">No after-hours coverage. </w:t>
      </w:r>
      <w:r>
        <w:rPr>
          <w:rFonts w:ascii="Calibri" w:cs="Calibri" w:eastAsia="Calibri" w:hAnsi="Calibri"/>
          <w:color w:val="374151"/>
          <w:sz w:val="22"/>
          <w:szCs w:val="22"/>
        </w:rPr>
        <w:t xml:space="preserve">Carriers do not operate on office hours. Calls that arrive evenings, weekends, and holidays go unanswered — representing a direct and measurable loss of bookable loads.</w:t>
      </w:r>
    </w:p>
    <w:p>
      <w:pPr>
        <w:spacing w:after="120" w:before="0"/>
      </w:pPr>
      <w:r>
        <w:rPr>
          <w:rFonts w:ascii="Calibri" w:cs="Calibri" w:eastAsia="Calibri" w:hAnsi="Calibri"/>
          <w:b/>
          <w:bCs/>
          <w:color w:val="374151"/>
          <w:sz w:val="22"/>
          <w:szCs w:val="22"/>
        </w:rPr>
        <w:t xml:space="preserve">Data blindness. </w:t>
      </w:r>
      <w:r>
        <w:rPr>
          <w:rFonts w:ascii="Calibri" w:cs="Calibri" w:eastAsia="Calibri" w:hAnsi="Calibri"/>
          <w:color w:val="374151"/>
          <w:sz w:val="22"/>
          <w:szCs w:val="22"/>
        </w:rPr>
        <w:t xml:space="preserve">Without structured post-call capture, operations managers have no visibility into booking conversion rates, carrier negotiation behaviour, or lane performance. Decisions are made on instinct rather than data.</w:t>
      </w:r>
    </w:p>
    <w:p>
      <w:r>
        <w:br w:type="page"/>
      </w:r>
    </w:p>
    <w:p>
      <w:pPr>
        <w:pStyle w:val="Heading1"/>
        <w:pBdr>
          <w:bottom w:val="single" w:color="E5E7EB" w:sz="4" w:space="1"/>
        </w:pBdr>
        <w:spacing w:after="120" w:before="360"/>
      </w:pPr>
      <w:r>
        <w:rPr>
          <w:rFonts w:ascii="Calibri" w:cs="Calibri" w:eastAsia="Calibri" w:hAnsi="Calibri"/>
          <w:b/>
          <w:bCs/>
          <w:color w:val="1A1F2E"/>
          <w:sz w:val="44"/>
          <w:szCs w:val="44"/>
        </w:rPr>
        <w:t xml:space="preserve">The HappyRobot Solution</w:t>
      </w:r>
    </w:p>
    <w:p>
      <w:pPr>
        <w:pStyle w:val="Heading2"/>
        <w:spacing w:after="80" w:before="240"/>
      </w:pPr>
      <w:r>
        <w:rPr>
          <w:rFonts w:ascii="Calibri" w:cs="Calibri" w:eastAsia="Calibri" w:hAnsi="Calibri"/>
          <w:b/>
          <w:bCs/>
          <w:color w:val="374151"/>
          <w:sz w:val="32"/>
          <w:szCs w:val="32"/>
        </w:rPr>
        <w:t xml:space="preserve">Solution Overview</w:t>
      </w:r>
    </w:p>
    <w:p>
      <w:pPr>
        <w:spacing w:after="120" w:before="0"/>
        <w:jc w:val="left"/>
      </w:pPr>
      <w:r>
        <w:rPr>
          <w:rFonts w:ascii="Calibri" w:cs="Calibri" w:eastAsia="Calibri" w:hAnsi="Calibri"/>
          <w:color w:val="374151"/>
          <w:sz w:val="22"/>
          <w:szCs w:val="22"/>
        </w:rPr>
        <w:t xml:space="preserve">HappyRobot's inbound carrier sales agent is an AI-powered voice assistant that handles every step of the inbound carrier call process autonomously. The agent is deployed on the HappyRobot platform and connected to a custom backend API that manages load data, carrier history, and call records.</w:t>
      </w:r>
    </w:p>
    <w:p>
      <w:pPr>
        <w:spacing w:after="120" w:before="0"/>
        <w:jc w:val="left"/>
      </w:pPr>
      <w:r>
        <w:rPr>
          <w:rFonts w:ascii="Calibri" w:cs="Calibri" w:eastAsia="Calibri" w:hAnsi="Calibri"/>
          <w:color w:val="374151"/>
          <w:sz w:val="22"/>
          <w:szCs w:val="22"/>
        </w:rPr>
        <w:t xml:space="preserve">Carriers reach the agent through a web call trigger — no dedicated phone number required. From the moment the call connects, the agent operates as an experienced freight sales representative: professional, consistent, and data-driven.</w:t>
      </w:r>
    </w:p>
    <w:p>
      <w:pPr>
        <w:pStyle w:val="Heading2"/>
        <w:spacing w:after="80" w:before="240"/>
      </w:pPr>
      <w:r>
        <w:rPr>
          <w:rFonts w:ascii="Calibri" w:cs="Calibri" w:eastAsia="Calibri" w:hAnsi="Calibri"/>
          <w:b/>
          <w:bCs/>
          <w:color w:val="374151"/>
          <w:sz w:val="32"/>
          <w:szCs w:val="32"/>
        </w:rPr>
        <w:t xml:space="preserve">Call Flow</w:t>
      </w:r>
    </w:p>
    <w:p>
      <w:pPr>
        <w:pStyle w:val="ListParagraph"/>
        <w:numPr>
          <w:ilvl w:val="0"/>
          <w:numId w:val="3"/>
        </w:numPr>
        <w:spacing w:after="120" w:before="0"/>
      </w:pPr>
      <w:r>
        <w:rPr>
          <w:rFonts w:ascii="Calibri" w:cs="Calibri" w:eastAsia="Calibri" w:hAnsi="Calibri"/>
          <w:color w:val="374151"/>
          <w:sz w:val="22"/>
          <w:szCs w:val="22"/>
        </w:rPr>
        <w:t xml:space="preserve">Carrier initiates a web call to the Acme Logistics inbound line.</w:t>
      </w:r>
    </w:p>
    <w:p>
      <w:pPr>
        <w:pStyle w:val="ListParagraph"/>
        <w:numPr>
          <w:ilvl w:val="0"/>
          <w:numId w:val="3"/>
        </w:numPr>
        <w:spacing w:after="120" w:before="0"/>
      </w:pPr>
      <w:r>
        <w:rPr>
          <w:rFonts w:ascii="Calibri" w:cs="Calibri" w:eastAsia="Calibri" w:hAnsi="Calibri"/>
          <w:color w:val="374151"/>
          <w:sz w:val="22"/>
          <w:szCs w:val="22"/>
        </w:rPr>
        <w:t xml:space="preserve">Agent greets the carrier and collects their MC number.</w:t>
      </w:r>
    </w:p>
    <w:p>
      <w:pPr>
        <w:pStyle w:val="ListParagraph"/>
        <w:numPr>
          <w:ilvl w:val="0"/>
          <w:numId w:val="3"/>
        </w:numPr>
        <w:spacing w:after="120" w:before="0"/>
      </w:pPr>
      <w:r>
        <w:rPr>
          <w:rFonts w:ascii="Calibri" w:cs="Calibri" w:eastAsia="Calibri" w:hAnsi="Calibri"/>
          <w:color w:val="374151"/>
          <w:sz w:val="22"/>
          <w:szCs w:val="22"/>
        </w:rPr>
        <w:t xml:space="preserve">Agent verifies carrier eligibility in real time via the FMCSA carrier API.</w:t>
      </w:r>
    </w:p>
    <w:p>
      <w:pPr>
        <w:pStyle w:val="ListParagraph"/>
        <w:numPr>
          <w:ilvl w:val="0"/>
          <w:numId w:val="3"/>
        </w:numPr>
        <w:spacing w:after="120" w:before="0"/>
      </w:pPr>
      <w:r>
        <w:rPr>
          <w:rFonts w:ascii="Calibri" w:cs="Calibri" w:eastAsia="Calibri" w:hAnsi="Calibri"/>
          <w:color w:val="374151"/>
          <w:sz w:val="22"/>
          <w:szCs w:val="22"/>
        </w:rPr>
        <w:t xml:space="preserve">For returning carriers, the agent personalises the greeting based on call history — referencing the last lane booked and prior booking rate.</w:t>
      </w:r>
    </w:p>
    <w:p>
      <w:pPr>
        <w:pStyle w:val="ListParagraph"/>
        <w:numPr>
          <w:ilvl w:val="0"/>
          <w:numId w:val="3"/>
        </w:numPr>
        <w:spacing w:after="120" w:before="0"/>
      </w:pPr>
      <w:r>
        <w:rPr>
          <w:rFonts w:ascii="Calibri" w:cs="Calibri" w:eastAsia="Calibri" w:hAnsi="Calibri"/>
          <w:color w:val="374151"/>
          <w:sz w:val="22"/>
          <w:szCs w:val="22"/>
        </w:rPr>
        <w:t xml:space="preserve">Agent asks for the carrier's current location, equipment type, and availability window.</w:t>
      </w:r>
    </w:p>
    <w:p>
      <w:pPr>
        <w:pStyle w:val="ListParagraph"/>
        <w:numPr>
          <w:ilvl w:val="0"/>
          <w:numId w:val="3"/>
        </w:numPr>
        <w:spacing w:after="120" w:before="0"/>
      </w:pPr>
      <w:r>
        <w:rPr>
          <w:rFonts w:ascii="Calibri" w:cs="Calibri" w:eastAsia="Calibri" w:hAnsi="Calibri"/>
          <w:color w:val="374151"/>
          <w:sz w:val="22"/>
          <w:szCs w:val="22"/>
        </w:rPr>
        <w:t xml:space="preserve">Agent searches available loads and pitches the best match — including rate per mile, estimated fuel cost, commodity type, and special requirements.</w:t>
      </w:r>
    </w:p>
    <w:p>
      <w:pPr>
        <w:pStyle w:val="ListParagraph"/>
        <w:numPr>
          <w:ilvl w:val="0"/>
          <w:numId w:val="3"/>
        </w:numPr>
        <w:spacing w:after="120" w:before="0"/>
      </w:pPr>
      <w:r>
        <w:rPr>
          <w:rFonts w:ascii="Calibri" w:cs="Calibri" w:eastAsia="Calibri" w:hAnsi="Calibri"/>
          <w:color w:val="374151"/>
          <w:sz w:val="22"/>
          <w:szCs w:val="22"/>
        </w:rPr>
        <w:t xml:space="preserve">If the carrier makes a counter-offer, the agent negotiates — handling up to three rounds while staying within a defined rate ceiling.</w:t>
      </w:r>
    </w:p>
    <w:p>
      <w:pPr>
        <w:pStyle w:val="ListParagraph"/>
        <w:numPr>
          <w:ilvl w:val="0"/>
          <w:numId w:val="3"/>
        </w:numPr>
        <w:spacing w:after="120" w:before="0"/>
      </w:pPr>
      <w:r>
        <w:rPr>
          <w:rFonts w:ascii="Calibri" w:cs="Calibri" w:eastAsia="Calibri" w:hAnsi="Calibri"/>
          <w:color w:val="374151"/>
          <w:sz w:val="22"/>
          <w:szCs w:val="22"/>
        </w:rPr>
        <w:t xml:space="preserve">On agreement, the agent instantly books the load and triggers a booking confirmation email to the carrier.</w:t>
      </w:r>
    </w:p>
    <w:p>
      <w:pPr>
        <w:pStyle w:val="ListParagraph"/>
        <w:numPr>
          <w:ilvl w:val="0"/>
          <w:numId w:val="3"/>
        </w:numPr>
        <w:spacing w:after="120" w:before="0"/>
      </w:pPr>
      <w:r>
        <w:rPr>
          <w:rFonts w:ascii="Calibri" w:cs="Calibri" w:eastAsia="Calibri" w:hAnsi="Calibri"/>
          <w:color w:val="374151"/>
          <w:sz w:val="22"/>
          <w:szCs w:val="22"/>
        </w:rPr>
        <w:t xml:space="preserve">Before ending the call, the agent proactively searches for a return load from the delivery city and offers it to the carrier.</w:t>
      </w:r>
    </w:p>
    <w:p>
      <w:pPr>
        <w:pStyle w:val="ListParagraph"/>
        <w:numPr>
          <w:ilvl w:val="0"/>
          <w:numId w:val="3"/>
        </w:numPr>
        <w:spacing w:after="120" w:before="0"/>
      </w:pPr>
      <w:r>
        <w:rPr>
          <w:rFonts w:ascii="Calibri" w:cs="Calibri" w:eastAsia="Calibri" w:hAnsi="Calibri"/>
          <w:color w:val="374151"/>
          <w:sz w:val="22"/>
          <w:szCs w:val="22"/>
        </w:rPr>
        <w:t xml:space="preserve">If no suitable load is available, the agent adds the carrier to a lane waitlist for future callback.</w:t>
      </w:r>
    </w:p>
    <w:p>
      <w:pPr>
        <w:spacing w:after="80" w:before="80"/>
      </w:pPr>
    </w:p>
    <w:p>
      <w:pPr>
        <w:pStyle w:val="Heading2"/>
        <w:spacing w:after="80" w:before="240"/>
      </w:pPr>
      <w:r>
        <w:rPr>
          <w:rFonts w:ascii="Calibri" w:cs="Calibri" w:eastAsia="Calibri" w:hAnsi="Calibri"/>
          <w:b/>
          <w:bCs/>
          <w:color w:val="374151"/>
          <w:sz w:val="32"/>
          <w:szCs w:val="32"/>
        </w:rPr>
        <w:t xml:space="preserve">Advanced Capabilities</w:t>
      </w:r>
    </w:p>
    <w:p>
      <w:pPr>
        <w:pStyle w:val="ListParagraph"/>
        <w:numPr>
          <w:ilvl w:val="0"/>
          <w:numId w:val="4"/>
        </w:numPr>
        <w:spacing w:after="120" w:before="0"/>
      </w:pPr>
      <w:r>
        <w:rPr>
          <w:rFonts w:ascii="Calibri" w:cs="Calibri" w:eastAsia="Calibri" w:hAnsi="Calibri"/>
          <w:color w:val="374151"/>
          <w:sz w:val="22"/>
          <w:szCs w:val="22"/>
        </w:rPr>
        <w:t xml:space="preserve">Returning carrier recognition — the agent greets known carriers by name, references their last lane, and adapts the pitch based on their booking history.</w:t>
      </w:r>
    </w:p>
    <w:p>
      <w:pPr>
        <w:pStyle w:val="ListParagraph"/>
        <w:numPr>
          <w:ilvl w:val="0"/>
          <w:numId w:val="4"/>
        </w:numPr>
        <w:spacing w:after="120" w:before="0"/>
      </w:pPr>
      <w:r>
        <w:rPr>
          <w:rFonts w:ascii="Calibri" w:cs="Calibri" w:eastAsia="Calibri" w:hAnsi="Calibri"/>
          <w:color w:val="374151"/>
          <w:sz w:val="22"/>
          <w:szCs w:val="22"/>
        </w:rPr>
        <w:t xml:space="preserve">Rate hold management — when negotiations fail due to rate gap, the agent saves the carrier's ask rate for future matching against new loads.</w:t>
      </w:r>
    </w:p>
    <w:p>
      <w:pPr>
        <w:pStyle w:val="ListParagraph"/>
        <w:numPr>
          <w:ilvl w:val="0"/>
          <w:numId w:val="4"/>
        </w:numPr>
        <w:spacing w:after="120" w:before="0"/>
      </w:pPr>
      <w:r>
        <w:rPr>
          <w:rFonts w:ascii="Calibri" w:cs="Calibri" w:eastAsia="Calibri" w:hAnsi="Calibri"/>
          <w:color w:val="374151"/>
          <w:sz w:val="22"/>
          <w:szCs w:val="22"/>
        </w:rPr>
        <w:t xml:space="preserve">Open availability mode — carriers who offer their truck without a specific lane in mind receive a curated set of available loads matched to their equipment and location.</w:t>
      </w:r>
    </w:p>
    <w:p>
      <w:pPr>
        <w:pStyle w:val="ListParagraph"/>
        <w:numPr>
          <w:ilvl w:val="0"/>
          <w:numId w:val="4"/>
        </w:numPr>
        <w:spacing w:after="120" w:before="0"/>
      </w:pPr>
      <w:r>
        <w:rPr>
          <w:rFonts w:ascii="Calibri" w:cs="Calibri" w:eastAsia="Calibri" w:hAnsi="Calibri"/>
          <w:color w:val="374151"/>
          <w:sz w:val="22"/>
          <w:szCs w:val="22"/>
        </w:rPr>
        <w:t xml:space="preserve">Circuit planning — after every booking, the agent searches for a return load from the delivery city to maximise driver utilisation and generate additional revenue.</w:t>
      </w:r>
    </w:p>
    <w:p>
      <w:pPr>
        <w:pStyle w:val="ListParagraph"/>
        <w:numPr>
          <w:ilvl w:val="0"/>
          <w:numId w:val="4"/>
        </w:numPr>
        <w:spacing w:after="120" w:before="0"/>
      </w:pPr>
      <w:r>
        <w:rPr>
          <w:rFonts w:ascii="Calibri" w:cs="Calibri" w:eastAsia="Calibri" w:hAnsi="Calibri"/>
          <w:color w:val="374151"/>
          <w:sz w:val="22"/>
          <w:szCs w:val="22"/>
        </w:rPr>
        <w:t xml:space="preserve">Intelligent fallback — when no exact load match exists, the agent relaxes date and equipment filters progressively rather than returning an empty result.</w:t>
      </w:r>
    </w:p>
    <w:p>
      <w:pPr>
        <w:pStyle w:val="ListParagraph"/>
        <w:numPr>
          <w:ilvl w:val="0"/>
          <w:numId w:val="4"/>
        </w:numPr>
        <w:spacing w:after="120" w:before="0"/>
      </w:pPr>
      <w:r>
        <w:rPr>
          <w:rFonts w:ascii="Calibri" w:cs="Calibri" w:eastAsia="Calibri" w:hAnsi="Calibri"/>
          <w:color w:val="374151"/>
          <w:sz w:val="22"/>
          <w:szCs w:val="22"/>
        </w:rPr>
        <w:t xml:space="preserve">Post-call AI analysis — a separate AI node reads the full call transcript and extracts structured data (outcome, rates, sentiment, negotiation count) without relying on the agent to self-report.</w:t>
      </w:r>
    </w:p>
    <w:p>
      <w:r>
        <w:br w:type="page"/>
      </w:r>
    </w:p>
    <w:p>
      <w:pPr>
        <w:pStyle w:val="Heading1"/>
        <w:pBdr>
          <w:bottom w:val="single" w:color="E5E7EB" w:sz="4" w:space="1"/>
        </w:pBdr>
        <w:spacing w:after="120" w:before="360"/>
      </w:pPr>
      <w:r>
        <w:rPr>
          <w:rFonts w:ascii="Calibri" w:cs="Calibri" w:eastAsia="Calibri" w:hAnsi="Calibri"/>
          <w:b/>
          <w:bCs/>
          <w:color w:val="1A1F2E"/>
          <w:sz w:val="44"/>
          <w:szCs w:val="44"/>
        </w:rPr>
        <w:t xml:space="preserve">Technical Architecture</w:t>
      </w:r>
    </w:p>
    <w:p>
      <w:pPr>
        <w:pStyle w:val="Heading2"/>
        <w:spacing w:after="80" w:before="240"/>
      </w:pPr>
      <w:r>
        <w:rPr>
          <w:rFonts w:ascii="Calibri" w:cs="Calibri" w:eastAsia="Calibri" w:hAnsi="Calibri"/>
          <w:b/>
          <w:bCs/>
          <w:color w:val="374151"/>
          <w:sz w:val="32"/>
          <w:szCs w:val="32"/>
        </w:rPr>
        <w:t xml:space="preserve">System Components</w:t>
      </w:r>
    </w:p>
    <w:p>
      <w:pPr>
        <w:spacing w:after="120" w:before="0"/>
        <w:jc w:val="left"/>
      </w:pPr>
      <w:r>
        <w:rPr>
          <w:rFonts w:ascii="Calibri" w:cs="Calibri" w:eastAsia="Calibri" w:hAnsi="Calibri"/>
          <w:color w:val="374151"/>
          <w:sz w:val="22"/>
          <w:szCs w:val="22"/>
        </w:rPr>
        <w:t xml:space="preserve">The solution consists of three components: the HappyRobot voice agent platform, a custom FastAPI backend, and a Streamlit analytics dashboard.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5E7EB" w:sz="1"/>
              <w:left w:val="single" w:color="E5E7EB" w:sz="1"/>
              <w:bottom w:val="single" w:color="E5E7EB" w:sz="1"/>
              <w:right w:val="single" w:color="E5E7EB" w:sz="1"/>
            </w:tcBorders>
            <w:shd w:fill="1A1F2E" w:color="1A1F2E"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Component</w:t>
            </w:r>
          </w:p>
        </w:tc>
        <w:tc>
          <w:tcPr>
            <w:tcW w:type="dxa" w:w="2800"/>
            <w:tcBorders>
              <w:top w:val="single" w:color="E5E7EB" w:sz="1"/>
              <w:left w:val="single" w:color="E5E7EB" w:sz="1"/>
              <w:bottom w:val="single" w:color="E5E7EB" w:sz="1"/>
              <w:right w:val="single" w:color="E5E7EB" w:sz="1"/>
            </w:tcBorders>
            <w:shd w:fill="1A1F2E" w:color="1A1F2E"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Technology</w:t>
            </w:r>
          </w:p>
        </w:tc>
        <w:tc>
          <w:tcPr>
            <w:tcW w:type="dxa" w:w="4360"/>
            <w:tcBorders>
              <w:top w:val="single" w:color="E5E7EB" w:sz="1"/>
              <w:left w:val="single" w:color="E5E7EB" w:sz="1"/>
              <w:bottom w:val="single" w:color="E5E7EB" w:sz="1"/>
              <w:right w:val="single" w:color="E5E7EB" w:sz="1"/>
            </w:tcBorders>
            <w:shd w:fill="1A1F2E" w:color="1A1F2E"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Purpose</w:t>
            </w:r>
          </w:p>
        </w:tc>
      </w:tr>
      <w:tr>
        <w:tc>
          <w:tcPr>
            <w:tcW w:type="dxa" w:w="220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Voice Agent</w:t>
            </w:r>
          </w:p>
        </w:tc>
        <w:tc>
          <w:tcPr>
            <w:tcW w:type="dxa" w:w="280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HappyRobot Platform</w:t>
            </w:r>
          </w:p>
        </w:tc>
        <w:tc>
          <w:tcPr>
            <w:tcW w:type="dxa" w:w="436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Handles inbound calls, tool execution, and call orchestration</w:t>
            </w:r>
          </w:p>
        </w:tc>
      </w:tr>
      <w:tr>
        <w:tc>
          <w:tcPr>
            <w:tcW w:type="dxa" w:w="220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Backend API</w:t>
            </w:r>
          </w:p>
        </w:tc>
        <w:tc>
          <w:tcPr>
            <w:tcW w:type="dxa" w:w="280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Python / FastAPI / SQLAlchemy</w:t>
            </w:r>
          </w:p>
        </w:tc>
        <w:tc>
          <w:tcPr>
            <w:tcW w:type="dxa" w:w="436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Load search, carrier verification, call recording, waitlist, metrics</w:t>
            </w:r>
          </w:p>
        </w:tc>
      </w:tr>
      <w:tr>
        <w:tc>
          <w:tcPr>
            <w:tcW w:type="dxa" w:w="220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Database</w:t>
            </w:r>
          </w:p>
        </w:tc>
        <w:tc>
          <w:tcPr>
            <w:tcW w:type="dxa" w:w="280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SQLite (dev) / PostgreSQL (prod)</w:t>
            </w:r>
          </w:p>
        </w:tc>
        <w:tc>
          <w:tcPr>
            <w:tcW w:type="dxa" w:w="436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Persistent storage for loads, calls, waitlist entries</w:t>
            </w:r>
          </w:p>
        </w:tc>
      </w:tr>
      <w:tr>
        <w:tc>
          <w:tcPr>
            <w:tcW w:type="dxa" w:w="220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Analytics Dashboard</w:t>
            </w:r>
          </w:p>
        </w:tc>
        <w:tc>
          <w:tcPr>
            <w:tcW w:type="dxa" w:w="280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Streamlit / Plotly</w:t>
            </w:r>
          </w:p>
        </w:tc>
        <w:tc>
          <w:tcPr>
            <w:tcW w:type="dxa" w:w="436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Real-time business intelligence and operations monitoring</w:t>
            </w:r>
          </w:p>
        </w:tc>
      </w:tr>
    </w:tbl>
    <w:p>
      <w:pPr>
        <w:spacing w:after="80" w:before="80"/>
      </w:pPr>
    </w:p>
    <w:p>
      <w:pPr>
        <w:pStyle w:val="Heading2"/>
        <w:spacing w:after="80" w:before="240"/>
      </w:pPr>
      <w:r>
        <w:rPr>
          <w:rFonts w:ascii="Calibri" w:cs="Calibri" w:eastAsia="Calibri" w:hAnsi="Calibri"/>
          <w:b/>
          <w:bCs/>
          <w:color w:val="374151"/>
          <w:sz w:val="32"/>
          <w:szCs w:val="32"/>
        </w:rPr>
        <w:t xml:space="preserve">API Endpoints</w:t>
      </w:r>
    </w:p>
    <w:p>
      <w:pPr>
        <w:spacing w:after="120" w:before="0"/>
        <w:jc w:val="left"/>
      </w:pPr>
      <w:r>
        <w:rPr>
          <w:rFonts w:ascii="Calibri" w:cs="Calibri" w:eastAsia="Calibri" w:hAnsi="Calibri"/>
          <w:color w:val="374151"/>
          <w:sz w:val="22"/>
          <w:szCs w:val="22"/>
        </w:rPr>
        <w:t xml:space="preserve">The backend exposes the following endpoints, all secured with API key authentication: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A1F2E" w:color="1A1F2E"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Endpoint</w:t>
            </w:r>
          </w:p>
        </w:tc>
        <w:tc>
          <w:tcPr>
            <w:tcW w:type="dxa" w:w="6360"/>
            <w:tcBorders>
              <w:top w:val="single" w:color="E5E7EB" w:sz="1"/>
              <w:left w:val="single" w:color="E5E7EB" w:sz="1"/>
              <w:bottom w:val="single" w:color="E5E7EB" w:sz="1"/>
              <w:right w:val="single" w:color="E5E7EB" w:sz="1"/>
            </w:tcBorders>
            <w:shd w:fill="1A1F2E" w:color="1A1F2E"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Description</w:t>
            </w:r>
          </w:p>
        </w:tc>
      </w:tr>
      <w:tr>
        <w:tc>
          <w:tcPr>
            <w:tcW w:type="dxa" w:w="300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374151"/>
                <w:sz w:val="20"/>
                <w:szCs w:val="20"/>
              </w:rPr>
              <w:t xml:space="preserve">GET /loads/</w:t>
            </w:r>
          </w:p>
        </w:tc>
        <w:tc>
          <w:tcPr>
            <w:tcW w:type="dxa" w:w="636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Search available loads by origin, equipment type, and pickup date</w:t>
            </w:r>
          </w:p>
        </w:tc>
      </w:tr>
      <w:tr>
        <w:tc>
          <w:tcPr>
            <w:tcW w:type="dxa" w:w="300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374151"/>
                <w:sz w:val="20"/>
                <w:szCs w:val="20"/>
              </w:rPr>
              <w:t xml:space="preserve">POST /loads/book</w:t>
            </w:r>
          </w:p>
        </w:tc>
        <w:tc>
          <w:tcPr>
            <w:tcW w:type="dxa" w:w="636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Book a load by ID — marks status as booked instantly</w:t>
            </w:r>
          </w:p>
        </w:tc>
      </w:tr>
      <w:tr>
        <w:tc>
          <w:tcPr>
            <w:tcW w:type="dxa" w:w="300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374151"/>
                <w:sz w:val="20"/>
                <w:szCs w:val="20"/>
              </w:rPr>
              <w:t xml:space="preserve">GET /carrier/verify</w:t>
            </w:r>
          </w:p>
        </w:tc>
        <w:tc>
          <w:tcPr>
            <w:tcW w:type="dxa" w:w="636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FMCSA carrier eligibility check — returns eligible status and legal name</w:t>
            </w:r>
          </w:p>
        </w:tc>
      </w:tr>
      <w:tr>
        <w:tc>
          <w:tcPr>
            <w:tcW w:type="dxa" w:w="300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374151"/>
                <w:sz w:val="20"/>
                <w:szCs w:val="20"/>
              </w:rPr>
              <w:t xml:space="preserve">GET /carrier/history</w:t>
            </w:r>
          </w:p>
        </w:tc>
        <w:tc>
          <w:tcPr>
            <w:tcW w:type="dxa" w:w="636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Returning carrier lookup — call history, booking rate, last lane</w:t>
            </w:r>
          </w:p>
        </w:tc>
      </w:tr>
      <w:tr>
        <w:tc>
          <w:tcPr>
            <w:tcW w:type="dxa" w:w="300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374151"/>
                <w:sz w:val="20"/>
                <w:szCs w:val="20"/>
              </w:rPr>
              <w:t xml:space="preserve">POST /calls/</w:t>
            </w:r>
          </w:p>
        </w:tc>
        <w:tc>
          <w:tcPr>
            <w:tcW w:type="dxa" w:w="636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Record completed call — outcome, rates, sentiment, negotiation count</w:t>
            </w:r>
          </w:p>
        </w:tc>
      </w:tr>
      <w:tr>
        <w:tc>
          <w:tcPr>
            <w:tcW w:type="dxa" w:w="300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374151"/>
                <w:sz w:val="20"/>
                <w:szCs w:val="20"/>
              </w:rPr>
              <w:t xml:space="preserve">POST /waitlist/</w:t>
            </w:r>
          </w:p>
        </w:tc>
        <w:tc>
          <w:tcPr>
            <w:tcW w:type="dxa" w:w="636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Add carrier to lane waitlist or rate hold</w:t>
            </w:r>
          </w:p>
        </w:tc>
      </w:tr>
      <w:tr>
        <w:tc>
          <w:tcPr>
            <w:tcW w:type="dxa" w:w="300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374151"/>
                <w:sz w:val="20"/>
                <w:szCs w:val="20"/>
              </w:rPr>
              <w:t xml:space="preserve">GET /waitlist/</w:t>
            </w:r>
          </w:p>
        </w:tc>
        <w:tc>
          <w:tcPr>
            <w:tcW w:type="dxa" w:w="636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List all waitlist entries, filterable by type</w:t>
            </w:r>
          </w:p>
        </w:tc>
      </w:tr>
      <w:tr>
        <w:tc>
          <w:tcPr>
            <w:tcW w:type="dxa" w:w="300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374151"/>
                <w:sz w:val="20"/>
                <w:szCs w:val="20"/>
              </w:rPr>
              <w:t xml:space="preserve">GET /matches/</w:t>
            </w:r>
          </w:p>
        </w:tc>
        <w:tc>
          <w:tcPr>
            <w:tcW w:type="dxa" w:w="636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Cross-reference open loads with waiting carriers</w:t>
            </w:r>
          </w:p>
        </w:tc>
      </w:tr>
      <w:tr>
        <w:tc>
          <w:tcPr>
            <w:tcW w:type="dxa" w:w="300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374151"/>
                <w:sz w:val="20"/>
                <w:szCs w:val="20"/>
              </w:rPr>
              <w:t xml:space="preserve">GET /metrics/</w:t>
            </w:r>
          </w:p>
        </w:tc>
        <w:tc>
          <w:tcPr>
            <w:tcW w:type="dxa" w:w="636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Full analytics dataset for the dashboard</w:t>
            </w:r>
          </w:p>
        </w:tc>
      </w:tr>
    </w:tbl>
    <w:p>
      <w:pPr>
        <w:spacing w:after="80" w:before="80"/>
      </w:pPr>
    </w:p>
    <w:p>
      <w:pPr>
        <w:pStyle w:val="Heading2"/>
        <w:spacing w:after="80" w:before="240"/>
      </w:pPr>
      <w:r>
        <w:rPr>
          <w:rFonts w:ascii="Calibri" w:cs="Calibri" w:eastAsia="Calibri" w:hAnsi="Calibri"/>
          <w:b/>
          <w:bCs/>
          <w:color w:val="374151"/>
          <w:sz w:val="32"/>
          <w:szCs w:val="32"/>
        </w:rPr>
        <w:t xml:space="preserve">Security</w:t>
      </w:r>
    </w:p>
    <w:p>
      <w:pPr>
        <w:pStyle w:val="ListParagraph"/>
        <w:numPr>
          <w:ilvl w:val="0"/>
          <w:numId w:val="4"/>
        </w:numPr>
        <w:spacing w:after="120" w:before="0"/>
      </w:pPr>
      <w:r>
        <w:rPr>
          <w:rFonts w:ascii="Calibri" w:cs="Calibri" w:eastAsia="Calibri" w:hAnsi="Calibri"/>
          <w:color w:val="374151"/>
          <w:sz w:val="22"/>
          <w:szCs w:val="22"/>
        </w:rPr>
        <w:t xml:space="preserve">API key authentication — all endpoints require a valid X-API-Key header. Requests without a valid key return HTTP 401.</w:t>
      </w:r>
    </w:p>
    <w:p>
      <w:pPr>
        <w:pStyle w:val="ListParagraph"/>
        <w:numPr>
          <w:ilvl w:val="0"/>
          <w:numId w:val="4"/>
        </w:numPr>
        <w:spacing w:after="120" w:before="0"/>
      </w:pPr>
      <w:r>
        <w:rPr>
          <w:rFonts w:ascii="Calibri" w:cs="Calibri" w:eastAsia="Calibri" w:hAnsi="Calibri"/>
          <w:color w:val="374151"/>
          <w:sz w:val="22"/>
          <w:szCs w:val="22"/>
        </w:rPr>
        <w:t xml:space="preserve">HTTPS — all cloud endpoints are served over HTTPS via Railway's automatic TLS certificates.</w:t>
      </w:r>
    </w:p>
    <w:p>
      <w:pPr>
        <w:pStyle w:val="ListParagraph"/>
        <w:numPr>
          <w:ilvl w:val="0"/>
          <w:numId w:val="4"/>
        </w:numPr>
        <w:spacing w:after="120" w:before="0"/>
      </w:pPr>
      <w:r>
        <w:rPr>
          <w:rFonts w:ascii="Calibri" w:cs="Calibri" w:eastAsia="Calibri" w:hAnsi="Calibri"/>
          <w:color w:val="374151"/>
          <w:sz w:val="22"/>
          <w:szCs w:val="22"/>
        </w:rPr>
        <w:t xml:space="preserve">Environment-based secrets — API keys, database URLs, and FMCSA credentials are stored as environment variables, never hardcoded in source code.</w:t>
      </w:r>
    </w:p>
    <w:p>
      <w:pPr>
        <w:pStyle w:val="ListParagraph"/>
        <w:numPr>
          <w:ilvl w:val="0"/>
          <w:numId w:val="4"/>
        </w:numPr>
        <w:spacing w:after="120" w:before="0"/>
      </w:pPr>
      <w:r>
        <w:rPr>
          <w:rFonts w:ascii="Calibri" w:cs="Calibri" w:eastAsia="Calibri" w:hAnsi="Calibri"/>
          <w:color w:val="374151"/>
          <w:sz w:val="22"/>
          <w:szCs w:val="22"/>
        </w:rPr>
        <w:t xml:space="preserve">CORS configuration — the API is configured to accept requests only from known origins in production.</w:t>
      </w:r>
    </w:p>
    <w:p>
      <w:r>
        <w:br w:type="page"/>
      </w:r>
    </w:p>
    <w:p>
      <w:pPr>
        <w:pStyle w:val="Heading1"/>
        <w:pBdr>
          <w:bottom w:val="single" w:color="E5E7EB" w:sz="4" w:space="1"/>
        </w:pBdr>
        <w:spacing w:after="120" w:before="360"/>
      </w:pPr>
      <w:r>
        <w:rPr>
          <w:rFonts w:ascii="Calibri" w:cs="Calibri" w:eastAsia="Calibri" w:hAnsi="Calibri"/>
          <w:b/>
          <w:bCs/>
          <w:color w:val="1A1F2E"/>
          <w:sz w:val="44"/>
          <w:szCs w:val="44"/>
        </w:rPr>
        <w:t xml:space="preserve">Analytics Dashboard</w:t>
      </w:r>
    </w:p>
    <w:p>
      <w:pPr>
        <w:spacing w:after="120" w:before="0"/>
        <w:jc w:val="left"/>
      </w:pPr>
      <w:r>
        <w:rPr>
          <w:rFonts w:ascii="Calibri" w:cs="Calibri" w:eastAsia="Calibri" w:hAnsi="Calibri"/>
          <w:color w:val="374151"/>
          <w:sz w:val="22"/>
          <w:szCs w:val="22"/>
        </w:rPr>
        <w:t xml:space="preserve">The HappyRobot solution includes a purpose-built analytics dashboard, developed independently of the HappyRobot platform's native analytics. This provides Acme Logistics with full ownership of their data and a tailored view of the metrics that matter to their operations.</w:t>
      </w:r>
    </w:p>
    <w:p>
      <w:pPr>
        <w:pStyle w:val="Heading2"/>
        <w:spacing w:after="80" w:before="240"/>
      </w:pPr>
      <w:r>
        <w:rPr>
          <w:rFonts w:ascii="Calibri" w:cs="Calibri" w:eastAsia="Calibri" w:hAnsi="Calibri"/>
          <w:b/>
          <w:bCs/>
          <w:color w:val="374151"/>
          <w:sz w:val="32"/>
          <w:szCs w:val="32"/>
        </w:rPr>
        <w:t xml:space="preserve">Overview Tab</w:t>
      </w:r>
    </w:p>
    <w:p>
      <w:pPr>
        <w:pStyle w:val="ListParagraph"/>
        <w:numPr>
          <w:ilvl w:val="0"/>
          <w:numId w:val="4"/>
        </w:numPr>
        <w:spacing w:after="120" w:before="0"/>
      </w:pPr>
      <w:r>
        <w:rPr>
          <w:rFonts w:ascii="Calibri" w:cs="Calibri" w:eastAsia="Calibri" w:hAnsi="Calibri"/>
          <w:color w:val="374151"/>
          <w:sz w:val="22"/>
          <w:szCs w:val="22"/>
        </w:rPr>
        <w:t xml:space="preserve">Revenue impact band — total revenue booked, revenue at risk from lost deals, and revenue per call</w:t>
      </w:r>
    </w:p>
    <w:p>
      <w:pPr>
        <w:pStyle w:val="ListParagraph"/>
        <w:numPr>
          <w:ilvl w:val="0"/>
          <w:numId w:val="4"/>
        </w:numPr>
        <w:spacing w:after="120" w:before="0"/>
      </w:pPr>
      <w:r>
        <w:rPr>
          <w:rFonts w:ascii="Calibri" w:cs="Calibri" w:eastAsia="Calibri" w:hAnsi="Calibri"/>
          <w:color w:val="374151"/>
          <w:sz w:val="22"/>
          <w:szCs w:val="22"/>
        </w:rPr>
        <w:t xml:space="preserve">Actionable insights — auto-generated alerts and recommendations based on booking rate, margin compression, and lane performance</w:t>
      </w:r>
    </w:p>
    <w:p>
      <w:pPr>
        <w:pStyle w:val="ListParagraph"/>
        <w:numPr>
          <w:ilvl w:val="0"/>
          <w:numId w:val="4"/>
        </w:numPr>
        <w:spacing w:after="120" w:before="0"/>
      </w:pPr>
      <w:r>
        <w:rPr>
          <w:rFonts w:ascii="Calibri" w:cs="Calibri" w:eastAsia="Calibri" w:hAnsi="Calibri"/>
          <w:color w:val="374151"/>
          <w:sz w:val="22"/>
          <w:szCs w:val="22"/>
        </w:rPr>
        <w:t xml:space="preserve">Call activity KPIs — total calls, booking rate, average agreed rate, average loadboard rate, average savings per load</w:t>
      </w:r>
    </w:p>
    <w:p>
      <w:pPr>
        <w:pStyle w:val="ListParagraph"/>
        <w:numPr>
          <w:ilvl w:val="0"/>
          <w:numId w:val="4"/>
        </w:numPr>
        <w:spacing w:after="120" w:before="0"/>
      </w:pPr>
      <w:r>
        <w:rPr>
          <w:rFonts w:ascii="Calibri" w:cs="Calibri" w:eastAsia="Calibri" w:hAnsi="Calibri"/>
          <w:color w:val="374151"/>
          <w:sz w:val="22"/>
          <w:szCs w:val="22"/>
        </w:rPr>
        <w:t xml:space="preserve">Call outcome and sentiment distribution charts</w:t>
      </w:r>
    </w:p>
    <w:p>
      <w:pPr>
        <w:pStyle w:val="ListParagraph"/>
        <w:numPr>
          <w:ilvl w:val="0"/>
          <w:numId w:val="4"/>
        </w:numPr>
        <w:spacing w:after="120" w:before="0"/>
      </w:pPr>
      <w:r>
        <w:rPr>
          <w:rFonts w:ascii="Calibri" w:cs="Calibri" w:eastAsia="Calibri" w:hAnsi="Calibri"/>
          <w:color w:val="374151"/>
          <w:sz w:val="22"/>
          <w:szCs w:val="22"/>
        </w:rPr>
        <w:t xml:space="preserve">Daily call volume trend (30-day rolling)</w:t>
      </w:r>
    </w:p>
    <w:p>
      <w:pPr>
        <w:pStyle w:val="ListParagraph"/>
        <w:numPr>
          <w:ilvl w:val="0"/>
          <w:numId w:val="4"/>
        </w:numPr>
        <w:spacing w:after="120" w:before="0"/>
      </w:pPr>
      <w:r>
        <w:rPr>
          <w:rFonts w:ascii="Calibri" w:cs="Calibri" w:eastAsia="Calibri" w:hAnsi="Calibri"/>
          <w:color w:val="374151"/>
          <w:sz w:val="22"/>
          <w:szCs w:val="22"/>
        </w:rPr>
        <w:t xml:space="preserve">Lane performance table — top 10 routes by call volume, booking rate, and average rate vs. loadboard</w:t>
      </w:r>
    </w:p>
    <w:p>
      <w:pPr>
        <w:pStyle w:val="ListParagraph"/>
        <w:numPr>
          <w:ilvl w:val="0"/>
          <w:numId w:val="4"/>
        </w:numPr>
        <w:spacing w:after="120" w:before="0"/>
      </w:pPr>
      <w:r>
        <w:rPr>
          <w:rFonts w:ascii="Calibri" w:cs="Calibri" w:eastAsia="Calibri" w:hAnsi="Calibri"/>
          <w:color w:val="374151"/>
          <w:sz w:val="22"/>
          <w:szCs w:val="22"/>
        </w:rPr>
        <w:t xml:space="preserve">Carrier value leaderboard — top 10 carriers by total revenue generated</w:t>
      </w:r>
    </w:p>
    <w:p>
      <w:pPr>
        <w:pStyle w:val="ListParagraph"/>
        <w:numPr>
          <w:ilvl w:val="0"/>
          <w:numId w:val="4"/>
        </w:numPr>
        <w:spacing w:after="120" w:before="0"/>
      </w:pPr>
      <w:r>
        <w:rPr>
          <w:rFonts w:ascii="Calibri" w:cs="Calibri" w:eastAsia="Calibri" w:hAnsi="Calibri"/>
          <w:color w:val="374151"/>
          <w:sz w:val="22"/>
          <w:szCs w:val="22"/>
        </w:rPr>
        <w:t xml:space="preserve">Negotiation depth chart — distribution of calls by number of negotiation rounds</w:t>
      </w:r>
    </w:p>
    <w:p>
      <w:pPr>
        <w:spacing w:after="80" w:before="80"/>
      </w:pPr>
    </w:p>
    <w:p>
      <w:pPr>
        <w:pStyle w:val="Heading2"/>
        <w:spacing w:after="80" w:before="240"/>
      </w:pPr>
      <w:r>
        <w:rPr>
          <w:rFonts w:ascii="Calibri" w:cs="Calibri" w:eastAsia="Calibri" w:hAnsi="Calibri"/>
          <w:b/>
          <w:bCs/>
          <w:color w:val="374151"/>
          <w:sz w:val="32"/>
          <w:szCs w:val="32"/>
        </w:rPr>
        <w:t xml:space="preserve">Operations Tab</w:t>
      </w:r>
    </w:p>
    <w:p>
      <w:pPr>
        <w:pStyle w:val="ListParagraph"/>
        <w:numPr>
          <w:ilvl w:val="0"/>
          <w:numId w:val="4"/>
        </w:numPr>
        <w:spacing w:after="120" w:before="0"/>
      </w:pPr>
      <w:r>
        <w:rPr>
          <w:rFonts w:ascii="Calibri" w:cs="Calibri" w:eastAsia="Calibri" w:hAnsi="Calibri"/>
          <w:color w:val="374151"/>
          <w:sz w:val="22"/>
          <w:szCs w:val="22"/>
        </w:rPr>
        <w:t xml:space="preserve">Callback opportunities — loads that are currently available with at least one carrier on the waitlist for that lane</w:t>
      </w:r>
    </w:p>
    <w:p>
      <w:pPr>
        <w:pStyle w:val="ListParagraph"/>
        <w:numPr>
          <w:ilvl w:val="0"/>
          <w:numId w:val="4"/>
        </w:numPr>
        <w:spacing w:after="120" w:before="0"/>
      </w:pPr>
      <w:r>
        <w:rPr>
          <w:rFonts w:ascii="Calibri" w:cs="Calibri" w:eastAsia="Calibri" w:hAnsi="Calibri"/>
          <w:color w:val="374151"/>
          <w:sz w:val="22"/>
          <w:szCs w:val="22"/>
        </w:rPr>
        <w:t xml:space="preserve">Open freights — all available loads sorted by pickup date, highlighting upcoming pickups</w:t>
      </w:r>
    </w:p>
    <w:p>
      <w:pPr>
        <w:pStyle w:val="ListParagraph"/>
        <w:numPr>
          <w:ilvl w:val="0"/>
          <w:numId w:val="4"/>
        </w:numPr>
        <w:spacing w:after="120" w:before="0"/>
      </w:pPr>
      <w:r>
        <w:rPr>
          <w:rFonts w:ascii="Calibri" w:cs="Calibri" w:eastAsia="Calibri" w:hAnsi="Calibri"/>
          <w:color w:val="374151"/>
          <w:sz w:val="22"/>
          <w:szCs w:val="22"/>
        </w:rPr>
        <w:t xml:space="preserve">Lane waitlist — carriers waiting for loads on specific lanes, with availability windows</w:t>
      </w:r>
    </w:p>
    <w:p>
      <w:pPr>
        <w:pStyle w:val="ListParagraph"/>
        <w:numPr>
          <w:ilvl w:val="0"/>
          <w:numId w:val="4"/>
        </w:numPr>
        <w:spacing w:after="120" w:before="0"/>
      </w:pPr>
      <w:r>
        <w:rPr>
          <w:rFonts w:ascii="Calibri" w:cs="Calibri" w:eastAsia="Calibri" w:hAnsi="Calibri"/>
          <w:color w:val="374151"/>
          <w:sz w:val="22"/>
          <w:szCs w:val="22"/>
        </w:rPr>
        <w:t xml:space="preserve">Rate holds — carriers whose ask rate is currently above budget, flagged when new loads come within range</w:t>
      </w:r>
    </w:p>
    <w:p>
      <w:r>
        <w:br w:type="page"/>
      </w:r>
    </w:p>
    <w:p>
      <w:pPr>
        <w:pStyle w:val="Heading1"/>
        <w:pBdr>
          <w:bottom w:val="single" w:color="E5E7EB" w:sz="4" w:space="1"/>
        </w:pBdr>
        <w:spacing w:after="120" w:before="360"/>
      </w:pPr>
      <w:r>
        <w:rPr>
          <w:rFonts w:ascii="Calibri" w:cs="Calibri" w:eastAsia="Calibri" w:hAnsi="Calibri"/>
          <w:b/>
          <w:bCs/>
          <w:color w:val="1A1F2E"/>
          <w:sz w:val="44"/>
          <w:szCs w:val="44"/>
        </w:rPr>
        <w:t xml:space="preserve">Deployment &amp; Infrastructure</w:t>
      </w:r>
    </w:p>
    <w:p>
      <w:pPr>
        <w:pStyle w:val="Heading2"/>
        <w:spacing w:after="80" w:before="240"/>
      </w:pPr>
      <w:r>
        <w:rPr>
          <w:rFonts w:ascii="Calibri" w:cs="Calibri" w:eastAsia="Calibri" w:hAnsi="Calibri"/>
          <w:b/>
          <w:bCs/>
          <w:color w:val="374151"/>
          <w:sz w:val="32"/>
          <w:szCs w:val="32"/>
        </w:rPr>
        <w:t xml:space="preserve">Cloud Deployment</w:t>
      </w:r>
    </w:p>
    <w:p>
      <w:pPr>
        <w:spacing w:after="120" w:before="0"/>
        <w:jc w:val="left"/>
      </w:pPr>
      <w:r>
        <w:rPr>
          <w:rFonts w:ascii="Calibri" w:cs="Calibri" w:eastAsia="Calibri" w:hAnsi="Calibri"/>
          <w:color w:val="374151"/>
          <w:sz w:val="22"/>
          <w:szCs w:val="22"/>
        </w:rPr>
        <w:t xml:space="preserve">The solution is deployed on Railway, a modern cloud platform that provides automatic HTTPS, persistent volumes, and zero-downtime deployments. Both services — the API and the dashboard — run as separate containers and are accessible via public HTTPS URLs.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5E7EB" w:sz="1"/>
              <w:left w:val="single" w:color="E5E7EB" w:sz="1"/>
              <w:bottom w:val="single" w:color="E5E7EB" w:sz="1"/>
              <w:right w:val="single" w:color="E5E7EB" w:sz="1"/>
            </w:tcBorders>
            <w:shd w:fill="1A1F2E" w:color="1A1F2E"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Service</w:t>
            </w:r>
          </w:p>
        </w:tc>
        <w:tc>
          <w:tcPr>
            <w:tcW w:type="dxa" w:w="7360"/>
            <w:tcBorders>
              <w:top w:val="single" w:color="E5E7EB" w:sz="1"/>
              <w:left w:val="single" w:color="E5E7EB" w:sz="1"/>
              <w:bottom w:val="single" w:color="E5E7EB" w:sz="1"/>
              <w:right w:val="single" w:color="E5E7EB" w:sz="1"/>
            </w:tcBorders>
            <w:shd w:fill="1A1F2E" w:color="1A1F2E"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URL</w:t>
            </w:r>
          </w:p>
        </w:tc>
      </w:tr>
      <w:tr>
        <w:tc>
          <w:tcPr>
            <w:tcW w:type="dxa" w:w="200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API</w:t>
            </w:r>
          </w:p>
        </w:tc>
        <w:tc>
          <w:tcPr>
            <w:tcW w:type="dxa" w:w="736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374151"/>
                <w:sz w:val="20"/>
                <w:szCs w:val="20"/>
              </w:rPr>
              <w:t xml:space="preserve">https://happyrobot-carrier-production.up.railway.app</w:t>
            </w:r>
          </w:p>
        </w:tc>
      </w:tr>
      <w:tr>
        <w:tc>
          <w:tcPr>
            <w:tcW w:type="dxa" w:w="200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Dashboard</w:t>
            </w:r>
          </w:p>
        </w:tc>
        <w:tc>
          <w:tcPr>
            <w:tcW w:type="dxa" w:w="736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ourier New" w:cs="Courier New" w:eastAsia="Courier New" w:hAnsi="Courier New"/>
                <w:b w:val="false"/>
                <w:bCs w:val="false"/>
                <w:color w:val="374151"/>
                <w:sz w:val="20"/>
                <w:szCs w:val="20"/>
              </w:rPr>
              <w:t xml:space="preserve">https://dashboard-production-332e.up.railway.app</w:t>
            </w:r>
          </w:p>
        </w:tc>
      </w:tr>
    </w:tbl>
    <w:p>
      <w:pPr>
        <w:spacing w:after="80" w:before="80"/>
      </w:pPr>
    </w:p>
    <w:p>
      <w:pPr>
        <w:pStyle w:val="Heading2"/>
        <w:spacing w:after="80" w:before="240"/>
      </w:pPr>
      <w:r>
        <w:rPr>
          <w:rFonts w:ascii="Calibri" w:cs="Calibri" w:eastAsia="Calibri" w:hAnsi="Calibri"/>
          <w:b/>
          <w:bCs/>
          <w:color w:val="374151"/>
          <w:sz w:val="32"/>
          <w:szCs w:val="32"/>
        </w:rPr>
        <w:t xml:space="preserve">Local Development</w:t>
      </w:r>
    </w:p>
    <w:p>
      <w:pPr>
        <w:spacing w:after="120" w:before="0"/>
        <w:jc w:val="left"/>
      </w:pPr>
      <w:r>
        <w:rPr>
          <w:rFonts w:ascii="Calibri" w:cs="Calibri" w:eastAsia="Calibri" w:hAnsi="Calibri"/>
          <w:color w:val="374151"/>
          <w:sz w:val="22"/>
          <w:szCs w:val="22"/>
        </w:rPr>
        <w:t xml:space="preserve">For local development and testing, both services run via Docker Compose:</w:t>
      </w:r>
    </w:p>
    <w:p>
      <w:pPr>
        <w:spacing w:after="40" w:before="40"/>
      </w:pPr>
    </w:p>
    <w:p>
      <w:pPr>
        <w:pBdr>
          <w:left w:val="single" w:color="E5E7EB" w:sz="8" w:space="4"/>
        </w:pBdr>
        <w:shd w:fill="F3F4F6" w:val="clear"/>
        <w:spacing w:after="0" w:before="0"/>
      </w:pPr>
      <w:r>
        <w:rPr>
          <w:rFonts w:ascii="Courier New" w:cs="Courier New" w:eastAsia="Courier New" w:hAnsi="Courier New"/>
          <w:color w:val="1A1F2E"/>
          <w:sz w:val="20"/>
          <w:szCs w:val="20"/>
        </w:rPr>
        <w:t xml:space="preserve">docker compose up --build</w:t>
      </w:r>
    </w:p>
    <w:p>
      <w:pPr>
        <w:pBdr>
          <w:left w:val="single" w:color="E5E7EB" w:sz="8" w:space="4"/>
        </w:pBdr>
        <w:shd w:fill="F3F4F6" w:val="clear"/>
        <w:spacing w:after="0" w:before="0"/>
      </w:pPr>
      <w:r>
        <w:rPr>
          <w:rFonts w:ascii="Courier New" w:cs="Courier New" w:eastAsia="Courier New" w:hAnsi="Courier New"/>
          <w:color w:val="1A1F2E"/>
          <w:sz w:val="20"/>
          <w:szCs w:val="20"/>
        </w:rPr>
        <w:t xml:space="preserve"># API:       http://localhost:8000</w:t>
      </w:r>
    </w:p>
    <w:p>
      <w:pPr>
        <w:pBdr>
          <w:left w:val="single" w:color="E5E7EB" w:sz="8" w:space="4"/>
        </w:pBdr>
        <w:shd w:fill="F3F4F6" w:val="clear"/>
        <w:spacing w:after="0" w:before="0"/>
      </w:pPr>
      <w:r>
        <w:rPr>
          <w:rFonts w:ascii="Courier New" w:cs="Courier New" w:eastAsia="Courier New" w:hAnsi="Courier New"/>
          <w:color w:val="1A1F2E"/>
          <w:sz w:val="20"/>
          <w:szCs w:val="20"/>
        </w:rPr>
        <w:t xml:space="preserve"># Dashboard: http://localhost:8501</w:t>
      </w:r>
    </w:p>
    <w:p>
      <w:pPr>
        <w:spacing w:after="80" w:before="80"/>
      </w:pPr>
    </w:p>
    <w:p>
      <w:pPr>
        <w:pStyle w:val="Heading2"/>
        <w:spacing w:after="80" w:before="240"/>
      </w:pPr>
      <w:r>
        <w:rPr>
          <w:rFonts w:ascii="Calibri" w:cs="Calibri" w:eastAsia="Calibri" w:hAnsi="Calibri"/>
          <w:b/>
          <w:bCs/>
          <w:color w:val="374151"/>
          <w:sz w:val="32"/>
          <w:szCs w:val="32"/>
        </w:rPr>
        <w:t xml:space="preserve">Reproducing the Deployment</w:t>
      </w:r>
    </w:p>
    <w:p>
      <w:pPr>
        <w:pStyle w:val="ListParagraph"/>
        <w:numPr>
          <w:ilvl w:val="0"/>
          <w:numId w:val="5"/>
        </w:numPr>
        <w:spacing w:after="120" w:before="0"/>
      </w:pPr>
      <w:r>
        <w:rPr>
          <w:rFonts w:ascii="Calibri" w:cs="Calibri" w:eastAsia="Calibri" w:hAnsi="Calibri"/>
          <w:color w:val="374151"/>
          <w:sz w:val="22"/>
          <w:szCs w:val="22"/>
        </w:rPr>
        <w:t xml:space="preserve">Clone the repository from GitHub.</w:t>
      </w:r>
    </w:p>
    <w:p>
      <w:pPr>
        <w:pStyle w:val="ListParagraph"/>
        <w:numPr>
          <w:ilvl w:val="0"/>
          <w:numId w:val="5"/>
        </w:numPr>
        <w:spacing w:after="120" w:before="0"/>
      </w:pPr>
      <w:r>
        <w:rPr>
          <w:rFonts w:ascii="Calibri" w:cs="Calibri" w:eastAsia="Calibri" w:hAnsi="Calibri"/>
          <w:color w:val="374151"/>
          <w:sz w:val="22"/>
          <w:szCs w:val="22"/>
        </w:rPr>
        <w:t xml:space="preserve">Install the Railway CLI: brew install railway</w:t>
      </w:r>
    </w:p>
    <w:p>
      <w:pPr>
        <w:pStyle w:val="ListParagraph"/>
        <w:numPr>
          <w:ilvl w:val="0"/>
          <w:numId w:val="5"/>
        </w:numPr>
        <w:spacing w:after="120" w:before="0"/>
      </w:pPr>
      <w:r>
        <w:rPr>
          <w:rFonts w:ascii="Calibri" w:cs="Calibri" w:eastAsia="Calibri" w:hAnsi="Calibri"/>
          <w:color w:val="374151"/>
          <w:sz w:val="22"/>
          <w:szCs w:val="22"/>
        </w:rPr>
        <w:t xml:space="preserve">Authenticate: railway login</w:t>
      </w:r>
    </w:p>
    <w:p>
      <w:pPr>
        <w:pStyle w:val="ListParagraph"/>
        <w:numPr>
          <w:ilvl w:val="0"/>
          <w:numId w:val="5"/>
        </w:numPr>
        <w:spacing w:after="120" w:before="0"/>
      </w:pPr>
      <w:r>
        <w:rPr>
          <w:rFonts w:ascii="Calibri" w:cs="Calibri" w:eastAsia="Calibri" w:hAnsi="Calibri"/>
          <w:color w:val="374151"/>
          <w:sz w:val="22"/>
          <w:szCs w:val="22"/>
        </w:rPr>
        <w:t xml:space="preserve">Initialise the project: railway init</w:t>
      </w:r>
    </w:p>
    <w:p>
      <w:pPr>
        <w:pStyle w:val="ListParagraph"/>
        <w:numPr>
          <w:ilvl w:val="0"/>
          <w:numId w:val="5"/>
        </w:numPr>
        <w:spacing w:after="120" w:before="0"/>
      </w:pPr>
      <w:r>
        <w:rPr>
          <w:rFonts w:ascii="Calibri" w:cs="Calibri" w:eastAsia="Calibri" w:hAnsi="Calibri"/>
          <w:color w:val="374151"/>
          <w:sz w:val="22"/>
          <w:szCs w:val="22"/>
        </w:rPr>
        <w:t xml:space="preserve">Deploy the API: railway up</w:t>
      </w:r>
    </w:p>
    <w:p>
      <w:pPr>
        <w:pStyle w:val="ListParagraph"/>
        <w:numPr>
          <w:ilvl w:val="0"/>
          <w:numId w:val="5"/>
        </w:numPr>
        <w:spacing w:after="120" w:before="0"/>
      </w:pPr>
      <w:r>
        <w:rPr>
          <w:rFonts w:ascii="Calibri" w:cs="Calibri" w:eastAsia="Calibri" w:hAnsi="Calibri"/>
          <w:color w:val="374151"/>
          <w:sz w:val="22"/>
          <w:szCs w:val="22"/>
        </w:rPr>
        <w:t xml:space="preserve">Set environment variables: railway variables set API_KEY=&lt;key&gt; FMCSA_WEB_KEY=&lt;key&gt;</w:t>
      </w:r>
    </w:p>
    <w:p>
      <w:pPr>
        <w:pStyle w:val="ListParagraph"/>
        <w:numPr>
          <w:ilvl w:val="0"/>
          <w:numId w:val="5"/>
        </w:numPr>
        <w:spacing w:after="120" w:before="0"/>
      </w:pPr>
      <w:r>
        <w:rPr>
          <w:rFonts w:ascii="Calibri" w:cs="Calibri" w:eastAsia="Calibri" w:hAnsi="Calibri"/>
          <w:color w:val="374151"/>
          <w:sz w:val="22"/>
          <w:szCs w:val="22"/>
        </w:rPr>
        <w:t xml:space="preserve">Generate a public domain: railway domain</w:t>
      </w:r>
    </w:p>
    <w:p>
      <w:pPr>
        <w:pStyle w:val="ListParagraph"/>
        <w:numPr>
          <w:ilvl w:val="0"/>
          <w:numId w:val="5"/>
        </w:numPr>
        <w:spacing w:after="120" w:before="0"/>
      </w:pPr>
      <w:r>
        <w:rPr>
          <w:rFonts w:ascii="Calibri" w:cs="Calibri" w:eastAsia="Calibri" w:hAnsi="Calibri"/>
          <w:color w:val="374151"/>
          <w:sz w:val="22"/>
          <w:szCs w:val="22"/>
        </w:rPr>
        <w:t xml:space="preserve">Deploy the dashboard: railway up --service dashboard</w:t>
      </w:r>
    </w:p>
    <w:p>
      <w:pPr>
        <w:pStyle w:val="ListParagraph"/>
        <w:numPr>
          <w:ilvl w:val="0"/>
          <w:numId w:val="5"/>
        </w:numPr>
        <w:spacing w:after="120" w:before="0"/>
      </w:pPr>
      <w:r>
        <w:rPr>
          <w:rFonts w:ascii="Calibri" w:cs="Calibri" w:eastAsia="Calibri" w:hAnsi="Calibri"/>
          <w:color w:val="374151"/>
          <w:sz w:val="22"/>
          <w:szCs w:val="22"/>
        </w:rPr>
        <w:t xml:space="preserve">Set dashboard variables: railway variables set API_URL=&lt;api-url&gt; API_KEY=&lt;key&gt; --service dashboard</w:t>
      </w:r>
    </w:p>
    <w:p>
      <w:r>
        <w:br w:type="page"/>
      </w:r>
    </w:p>
    <w:p>
      <w:pPr>
        <w:pStyle w:val="Heading1"/>
        <w:pBdr>
          <w:bottom w:val="single" w:color="E5E7EB" w:sz="4" w:space="1"/>
        </w:pBdr>
        <w:spacing w:after="120" w:before="360"/>
      </w:pPr>
      <w:r>
        <w:rPr>
          <w:rFonts w:ascii="Calibri" w:cs="Calibri" w:eastAsia="Calibri" w:hAnsi="Calibri"/>
          <w:b/>
          <w:bCs/>
          <w:color w:val="1A1F2E"/>
          <w:sz w:val="44"/>
          <w:szCs w:val="44"/>
        </w:rPr>
        <w:t xml:space="preserve">Value Summary</w:t>
      </w:r>
    </w:p>
    <w:p>
      <w:pPr>
        <w:spacing w:after="120" w:before="0"/>
        <w:jc w:val="left"/>
      </w:pPr>
      <w:r>
        <w:rPr>
          <w:rFonts w:ascii="Calibri" w:cs="Calibri" w:eastAsia="Calibri" w:hAnsi="Calibri"/>
          <w:color w:val="374151"/>
          <w:sz w:val="22"/>
          <w:szCs w:val="22"/>
        </w:rPr>
        <w:t xml:space="preserve">The following table summarises the measurable improvements Acme Logistics can expect from deploying the HappyRobot inbound carrier sales solution: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E5E7EB" w:sz="1"/>
              <w:left w:val="single" w:color="E5E7EB" w:sz="1"/>
              <w:bottom w:val="single" w:color="E5E7EB" w:sz="1"/>
              <w:right w:val="single" w:color="E5E7EB" w:sz="1"/>
            </w:tcBorders>
            <w:shd w:fill="1A1F2E" w:color="1A1F2E"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Metric</w:t>
            </w:r>
          </w:p>
        </w:tc>
        <w:tc>
          <w:tcPr>
            <w:tcW w:type="dxa" w:w="3080"/>
            <w:tcBorders>
              <w:top w:val="single" w:color="E5E7EB" w:sz="1"/>
              <w:left w:val="single" w:color="E5E7EB" w:sz="1"/>
              <w:bottom w:val="single" w:color="E5E7EB" w:sz="1"/>
              <w:right w:val="single" w:color="E5E7EB" w:sz="1"/>
            </w:tcBorders>
            <w:shd w:fill="292929" w:color="292929"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Without HappyRobot</w:t>
            </w:r>
          </w:p>
        </w:tc>
        <w:tc>
          <w:tcPr>
            <w:tcW w:type="dxa" w:w="3080"/>
            <w:tcBorders>
              <w:top w:val="single" w:color="E5E7EB" w:sz="1"/>
              <w:left w:val="single" w:color="E5E7EB" w:sz="1"/>
              <w:bottom w:val="single" w:color="E5E7EB" w:sz="1"/>
              <w:right w:val="single" w:color="E5E7EB" w:sz="1"/>
            </w:tcBorders>
            <w:shd w:fill="374151" w:color="374151"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With HappyRobot</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Operating hours</w:t>
            </w:r>
          </w:p>
        </w:tc>
        <w:tc>
          <w:tcPr>
            <w:tcW w:type="dxa" w:w="308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Business hours only</w:t>
            </w:r>
          </w:p>
        </w:tc>
        <w:tc>
          <w:tcPr>
            <w:tcW w:type="dxa" w:w="3080"/>
            <w:tcBorders>
              <w:top w:val="single" w:color="E5E7EB" w:sz="1"/>
              <w:left w:val="single" w:color="E5E7EB" w:sz="1"/>
              <w:bottom w:val="single" w:color="E5E7EB" w:sz="1"/>
              <w:right w:val="single" w:color="E5E7EB" w:sz="1"/>
            </w:tcBorders>
            <w:shd w:fill="F0F4F8" w:color="F0F4F8"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24 hours / 7 days</w:t>
            </w:r>
          </w:p>
        </w:tc>
      </w:tr>
      <w:tr>
        <w:tc>
          <w:tcPr>
            <w:tcW w:type="dxa" w:w="320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Average handle time</w:t>
            </w:r>
          </w:p>
        </w:tc>
        <w:tc>
          <w:tcPr>
            <w:tcW w:type="dxa" w:w="308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8–12 minutes per call</w:t>
            </w:r>
          </w:p>
        </w:tc>
        <w:tc>
          <w:tcPr>
            <w:tcW w:type="dxa" w:w="3080"/>
            <w:tcBorders>
              <w:top w:val="single" w:color="E5E7EB" w:sz="1"/>
              <w:left w:val="single" w:color="E5E7EB" w:sz="1"/>
              <w:bottom w:val="single" w:color="E5E7EB" w:sz="1"/>
              <w:right w:val="single" w:color="E5E7EB" w:sz="1"/>
            </w:tcBorders>
            <w:shd w:fill="F0F4F8" w:color="F0F4F8"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Under 3 minutes</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After-hours bookings</w:t>
            </w:r>
          </w:p>
        </w:tc>
        <w:tc>
          <w:tcPr>
            <w:tcW w:type="dxa" w:w="308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Zero</w:t>
            </w:r>
          </w:p>
        </w:tc>
        <w:tc>
          <w:tcPr>
            <w:tcW w:type="dxa" w:w="3080"/>
            <w:tcBorders>
              <w:top w:val="single" w:color="E5E7EB" w:sz="1"/>
              <w:left w:val="single" w:color="E5E7EB" w:sz="1"/>
              <w:bottom w:val="single" w:color="E5E7EB" w:sz="1"/>
              <w:right w:val="single" w:color="E5E7EB" w:sz="1"/>
            </w:tcBorders>
            <w:shd w:fill="F0F4F8" w:color="F0F4F8"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Full coverage</w:t>
            </w:r>
          </w:p>
        </w:tc>
      </w:tr>
      <w:tr>
        <w:tc>
          <w:tcPr>
            <w:tcW w:type="dxa" w:w="320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Booking consistency</w:t>
            </w:r>
          </w:p>
        </w:tc>
        <w:tc>
          <w:tcPr>
            <w:tcW w:type="dxa" w:w="308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Varies by representative</w:t>
            </w:r>
          </w:p>
        </w:tc>
        <w:tc>
          <w:tcPr>
            <w:tcW w:type="dxa" w:w="3080"/>
            <w:tcBorders>
              <w:top w:val="single" w:color="E5E7EB" w:sz="1"/>
              <w:left w:val="single" w:color="E5E7EB" w:sz="1"/>
              <w:bottom w:val="single" w:color="E5E7EB" w:sz="1"/>
              <w:right w:val="single" w:color="E5E7EB" w:sz="1"/>
            </w:tcBorders>
            <w:shd w:fill="F0F4F8" w:color="F0F4F8"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Standardised every call</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Post-call data capture</w:t>
            </w:r>
          </w:p>
        </w:tc>
        <w:tc>
          <w:tcPr>
            <w:tcW w:type="dxa" w:w="3080"/>
            <w:tcBorders>
              <w:top w:val="single" w:color="E5E7EB" w:sz="1"/>
              <w:left w:val="single" w:color="E5E7EB" w:sz="1"/>
              <w:bottom w:val="single" w:color="E5E7EB" w:sz="1"/>
              <w:right w:val="single" w:color="E5E7EB" w:sz="1"/>
            </w:tcBorders>
            <w:shd w:fill="FFFFFF" w:color="FFFFFF"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Manual, partial</w:t>
            </w:r>
          </w:p>
        </w:tc>
        <w:tc>
          <w:tcPr>
            <w:tcW w:type="dxa" w:w="3080"/>
            <w:tcBorders>
              <w:top w:val="single" w:color="E5E7EB" w:sz="1"/>
              <w:left w:val="single" w:color="E5E7EB" w:sz="1"/>
              <w:bottom w:val="single" w:color="E5E7EB" w:sz="1"/>
              <w:right w:val="single" w:color="E5E7EB" w:sz="1"/>
            </w:tcBorders>
            <w:shd w:fill="F0F4F8" w:color="F0F4F8"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Automated, structured</w:t>
            </w:r>
          </w:p>
        </w:tc>
      </w:tr>
      <w:tr>
        <w:tc>
          <w:tcPr>
            <w:tcW w:type="dxa" w:w="320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Carrier data visibility</w:t>
            </w:r>
          </w:p>
        </w:tc>
        <w:tc>
          <w:tcPr>
            <w:tcW w:type="dxa" w:w="3080"/>
            <w:tcBorders>
              <w:top w:val="single" w:color="E5E7EB" w:sz="1"/>
              <w:left w:val="single" w:color="E5E7EB" w:sz="1"/>
              <w:bottom w:val="single" w:color="E5E7EB" w:sz="1"/>
              <w:right w:val="single" w:color="E5E7EB" w:sz="1"/>
            </w:tcBorders>
            <w:shd w:fill="F9FAFB" w:color="F9FAFB"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None</w:t>
            </w:r>
          </w:p>
        </w:tc>
        <w:tc>
          <w:tcPr>
            <w:tcW w:type="dxa" w:w="3080"/>
            <w:tcBorders>
              <w:top w:val="single" w:color="E5E7EB" w:sz="1"/>
              <w:left w:val="single" w:color="E5E7EB" w:sz="1"/>
              <w:bottom w:val="single" w:color="E5E7EB" w:sz="1"/>
              <w:right w:val="single" w:color="E5E7EB" w:sz="1"/>
            </w:tcBorders>
            <w:shd w:fill="F0F4F8" w:color="F0F4F8" w:val="clear"/>
            <w:tcMar>
              <w:top w:type="dxa" w:w="80"/>
              <w:left w:type="dxa" w:w="120"/>
              <w:bottom w:type="dxa" w:w="80"/>
              <w:right w:type="dxa" w:w="120"/>
            </w:tcMar>
            <w:vAlign w:val="center"/>
          </w:tcPr>
          <w:p>
            <w:pPr>
              <w:jc w:val="left"/>
            </w:pPr>
            <w:r>
              <w:rPr>
                <w:rFonts w:ascii="Calibri" w:cs="Calibri" w:eastAsia="Calibri" w:hAnsi="Calibri"/>
                <w:b w:val="false"/>
                <w:bCs w:val="false"/>
                <w:color w:val="374151"/>
                <w:sz w:val="20"/>
                <w:szCs w:val="20"/>
              </w:rPr>
              <w:t xml:space="preserve">Full analytics dashboard</w:t>
            </w:r>
          </w:p>
        </w:tc>
      </w:tr>
    </w:tbl>
    <w:p>
      <w:pPr>
        <w:spacing w:after="80" w:before="80"/>
      </w:pPr>
    </w:p>
    <w:p>
      <w:pPr>
        <w:pStyle w:val="Heading2"/>
        <w:spacing w:after="80" w:before="240"/>
      </w:pPr>
      <w:r>
        <w:rPr>
          <w:rFonts w:ascii="Calibri" w:cs="Calibri" w:eastAsia="Calibri" w:hAnsi="Calibri"/>
          <w:b/>
          <w:bCs/>
          <w:color w:val="374151"/>
          <w:sz w:val="32"/>
          <w:szCs w:val="32"/>
        </w:rPr>
        <w:t xml:space="preserve">Return on Investment</w:t>
      </w:r>
    </w:p>
    <w:p>
      <w:pPr>
        <w:spacing w:after="120" w:before="0"/>
        <w:jc w:val="left"/>
      </w:pPr>
      <w:r>
        <w:rPr>
          <w:rFonts w:ascii="Calibri" w:cs="Calibri" w:eastAsia="Calibri" w:hAnsi="Calibri"/>
          <w:color w:val="374151"/>
          <w:sz w:val="22"/>
          <w:szCs w:val="22"/>
        </w:rPr>
        <w:t xml:space="preserve">Based on a conservative estimate of 50 inbound carrier calls per day at an average handle time of 10 minutes, the HappyRobot solution frees approximately 8 hours of sales representative time per day. At a fully loaded cost of $35/hour, this represents a direct labour saving of $280 per day — or over $70,000 per year — before accounting for improved conversion rates, after-hours bookings, and data-driven margin improvements.</w:t>
      </w:r>
    </w:p>
    <w:p>
      <w:r>
        <w:br w:type="page"/>
      </w:r>
    </w:p>
    <w:p>
      <w:pPr>
        <w:pStyle w:val="Heading1"/>
        <w:pBdr>
          <w:bottom w:val="single" w:color="E5E7EB" w:sz="4" w:space="1"/>
        </w:pBdr>
        <w:spacing w:after="120" w:before="360"/>
      </w:pPr>
      <w:r>
        <w:rPr>
          <w:rFonts w:ascii="Calibri" w:cs="Calibri" w:eastAsia="Calibri" w:hAnsi="Calibri"/>
          <w:b/>
          <w:bCs/>
          <w:color w:val="1A1F2E"/>
          <w:sz w:val="44"/>
          <w:szCs w:val="44"/>
        </w:rPr>
        <w:t xml:space="preserve">Next Steps</w:t>
      </w:r>
    </w:p>
    <w:p>
      <w:pPr>
        <w:spacing w:after="120" w:before="0"/>
        <w:jc w:val="left"/>
      </w:pPr>
      <w:r>
        <w:rPr>
          <w:rFonts w:ascii="Calibri" w:cs="Calibri" w:eastAsia="Calibri" w:hAnsi="Calibri"/>
          <w:color w:val="374151"/>
          <w:sz w:val="22"/>
          <w:szCs w:val="22"/>
        </w:rPr>
        <w:t xml:space="preserve">We recommend the following steps to move from proof of concept to full production deployment at Acme Logistics:</w:t>
      </w:r>
    </w:p>
    <w:p>
      <w:pPr>
        <w:pStyle w:val="ListParagraph"/>
        <w:numPr>
          <w:ilvl w:val="0"/>
          <w:numId w:val="6"/>
        </w:numPr>
        <w:spacing w:after="120" w:before="0"/>
      </w:pPr>
      <w:r>
        <w:rPr>
          <w:rFonts w:ascii="Calibri" w:cs="Calibri" w:eastAsia="Calibri" w:hAnsi="Calibri"/>
          <w:b/>
          <w:bCs/>
          <w:color w:val="374151"/>
          <w:sz w:val="22"/>
          <w:szCs w:val="22"/>
        </w:rPr>
        <w:t xml:space="preserve">Live demonstration — </w:t>
      </w:r>
      <w:r>
        <w:rPr>
          <w:rFonts w:ascii="Calibri" w:cs="Calibri" w:eastAsia="Calibri" w:hAnsi="Calibri"/>
          <w:color w:val="374151"/>
          <w:sz w:val="22"/>
          <w:szCs w:val="22"/>
        </w:rPr>
        <w:t xml:space="preserve">we walk through a live call with a real carrier on the HappyRobot platform, demonstrating the full flow from MC verification through booking confirmation.</w:t>
      </w:r>
    </w:p>
    <w:p>
      <w:pPr>
        <w:pStyle w:val="ListParagraph"/>
        <w:numPr>
          <w:ilvl w:val="0"/>
          <w:numId w:val="6"/>
        </w:numPr>
        <w:spacing w:after="120" w:before="0"/>
      </w:pPr>
      <w:r>
        <w:rPr>
          <w:rFonts w:ascii="Calibri" w:cs="Calibri" w:eastAsia="Calibri" w:hAnsi="Calibri"/>
          <w:b/>
          <w:bCs/>
          <w:color w:val="374151"/>
          <w:sz w:val="22"/>
          <w:szCs w:val="22"/>
        </w:rPr>
        <w:t xml:space="preserve">Load data integration — </w:t>
      </w:r>
      <w:r>
        <w:rPr>
          <w:rFonts w:ascii="Calibri" w:cs="Calibri" w:eastAsia="Calibri" w:hAnsi="Calibri"/>
          <w:color w:val="374151"/>
          <w:sz w:val="22"/>
          <w:szCs w:val="22"/>
        </w:rPr>
        <w:t xml:space="preserve">connect the HappyRobot backend to Acme Logistics' existing TMS or load management system via API or CSV import.</w:t>
      </w:r>
    </w:p>
    <w:p>
      <w:pPr>
        <w:pStyle w:val="ListParagraph"/>
        <w:numPr>
          <w:ilvl w:val="0"/>
          <w:numId w:val="6"/>
        </w:numPr>
        <w:spacing w:after="120" w:before="0"/>
      </w:pPr>
      <w:r>
        <w:rPr>
          <w:rFonts w:ascii="Calibri" w:cs="Calibri" w:eastAsia="Calibri" w:hAnsi="Calibri"/>
          <w:b/>
          <w:bCs/>
          <w:color w:val="374151"/>
          <w:sz w:val="22"/>
          <w:szCs w:val="22"/>
        </w:rPr>
        <w:t xml:space="preserve">Rate strategy configuration — </w:t>
      </w:r>
      <w:r>
        <w:rPr>
          <w:rFonts w:ascii="Calibri" w:cs="Calibri" w:eastAsia="Calibri" w:hAnsi="Calibri"/>
          <w:color w:val="374151"/>
          <w:sz w:val="22"/>
          <w:szCs w:val="22"/>
        </w:rPr>
        <w:t xml:space="preserve">calibrate the agent's negotiation ceiling, counter-offer logic, and waitlist triggers to match Acme Logistics' margin requirements.</w:t>
      </w:r>
    </w:p>
    <w:p>
      <w:pPr>
        <w:pStyle w:val="ListParagraph"/>
        <w:numPr>
          <w:ilvl w:val="0"/>
          <w:numId w:val="6"/>
        </w:numPr>
        <w:spacing w:after="120" w:before="0"/>
      </w:pPr>
      <w:r>
        <w:rPr>
          <w:rFonts w:ascii="Calibri" w:cs="Calibri" w:eastAsia="Calibri" w:hAnsi="Calibri"/>
          <w:b/>
          <w:bCs/>
          <w:color w:val="374151"/>
          <w:sz w:val="22"/>
          <w:szCs w:val="22"/>
        </w:rPr>
        <w:t xml:space="preserve">Pilot deployment — </w:t>
      </w:r>
      <w:r>
        <w:rPr>
          <w:rFonts w:ascii="Calibri" w:cs="Calibri" w:eastAsia="Calibri" w:hAnsi="Calibri"/>
          <w:color w:val="374151"/>
          <w:sz w:val="22"/>
          <w:szCs w:val="22"/>
        </w:rPr>
        <w:t xml:space="preserve">run the agent on a subset of inbound traffic (e.g., after-hours calls) to validate performance before full rollout.</w:t>
      </w:r>
    </w:p>
    <w:p>
      <w:pPr>
        <w:pStyle w:val="ListParagraph"/>
        <w:numPr>
          <w:ilvl w:val="0"/>
          <w:numId w:val="6"/>
        </w:numPr>
        <w:spacing w:after="120" w:before="0"/>
      </w:pPr>
      <w:r>
        <w:rPr>
          <w:rFonts w:ascii="Calibri" w:cs="Calibri" w:eastAsia="Calibri" w:hAnsi="Calibri"/>
          <w:b/>
          <w:bCs/>
          <w:color w:val="374151"/>
          <w:sz w:val="22"/>
          <w:szCs w:val="22"/>
        </w:rPr>
        <w:t xml:space="preserve">Full production launch — </w:t>
      </w:r>
      <w:r>
        <w:rPr>
          <w:rFonts w:ascii="Calibri" w:cs="Calibri" w:eastAsia="Calibri" w:hAnsi="Calibri"/>
          <w:color w:val="374151"/>
          <w:sz w:val="22"/>
          <w:szCs w:val="22"/>
        </w:rPr>
        <w:t xml:space="preserve">go live across all inbound carrier traffic with full analytics monitoring from call 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2"/>
      </w:pBdr>
      <w:tabs>
        <w:tab w:val="right" w:pos="9026"/>
      </w:tabs>
      <w:spacing w:after="0" w:before="100"/>
    </w:pPr>
    <w:r>
      <w:rPr>
        <w:rFonts w:ascii="Arial" w:cs="Arial" w:eastAsia="Arial" w:hAnsi="Arial"/>
        <w:color w:val="6B7280"/>
        <w:sz w:val="18"/>
        <w:szCs w:val="18"/>
      </w:rPr>
      <w:t xml:space="preserve">HappyRobot — Confidential</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2"/>
      </w:pBdr>
      <w:tabs>
        <w:tab w:val="right" w:pos="9026"/>
      </w:tabs>
      <w:spacing w:after="100" w:before="0"/>
    </w:pPr>
    <w:r>
      <w:rPr>
        <w:rFonts w:ascii="Arial" w:cs="Arial" w:eastAsia="Arial" w:hAnsi="Arial"/>
        <w:color w:val="6B7280"/>
        <w:sz w:val="18"/>
        <w:szCs w:val="18"/>
      </w:rPr>
      <w:t xml:space="preserve">Inbound Carrier Sales Automation — Acme Logistics</w:t>
    </w:r>
    <w:r>
      <w:rPr>
        <w:rFonts w:ascii="Arial" w:cs="Arial" w:eastAsia="Arial" w:hAnsi="Arial"/>
        <w:sz w:val="18"/>
        <w:szCs w:val="18"/>
      </w:rPr>
      <w:t xml:space="preserve">	</w:t>
    </w:r>
    <w:r>
      <w:rPr>
        <w:rFonts w:ascii="Arial" w:cs="Arial" w:eastAsia="Arial" w:hAnsi="Arial"/>
        <w:color w:val="6B7280"/>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5E7EB" w:sz="4" w:space="1"/>
      </w:pBdr>
      <w:spacing w:after="120" w:before="360"/>
      <w:outlineLvl w:val="0"/>
    </w:pPr>
    <w:rPr>
      <w:rFonts w:ascii="Calibri" w:cs="Calibri" w:eastAsia="Calibri" w:hAnsi="Calibri"/>
      <w:b/>
      <w:bCs/>
      <w:color w:val="1A1F2E"/>
      <w:sz w:val="44"/>
      <w:szCs w:val="44"/>
    </w:rPr>
  </w:style>
  <w:style w:type="paragraph" w:styleId="Heading2">
    <w:name w:val="Heading 2"/>
    <w:basedOn w:val="Normal"/>
    <w:next w:val="Normal"/>
    <w:qFormat/>
    <w:pPr>
      <w:spacing w:after="80" w:before="240"/>
      <w:outlineLvl w:val="1"/>
    </w:pPr>
    <w:rPr>
      <w:rFonts w:ascii="Calibri" w:cs="Calibri" w:eastAsia="Calibri" w:hAnsi="Calibri"/>
      <w:b/>
      <w:bCs/>
      <w:color w:val="374151"/>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2026-04-20T19:08:45.386Z</dcterms:created>
  <dcterms:modified xsi:type="dcterms:W3CDTF">2026-04-20T19:08:45.394Z</dcterms:modified>
</cp:coreProperties>
</file>

<file path=docProps/custom.xml><?xml version="1.0" encoding="utf-8"?>
<Properties xmlns="http://schemas.openxmlformats.org/officeDocument/2006/custom-properties" xmlns:vt="http://schemas.openxmlformats.org/officeDocument/2006/docPropsVTypes"/>
</file>