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Market Anchor Analysis</w:t>
      </w:r>
    </w:p>
    <w:p>
      <w:pPr>
        <w:jc w:val="center"/>
      </w:pPr>
      <w:r>
        <w:rPr>
          <w:b/>
        </w:rPr>
        <w:t>Provider: Candidate A</w:t>
      </w:r>
    </w:p>
    <w:p>
      <w:pPr>
        <w:jc w:val="center"/>
      </w:pPr>
      <w:r>
        <w:t>Specialty: Pediatric Critical Care | YOE: 8</w:t>
      </w:r>
    </w:p>
    <w:p/>
    <w:tbl>
      <w:tblPr>
        <w:tblW w:type="auto" w:w="0"/>
        <w:tblLook w:firstColumn="1" w:firstRow="1" w:lastColumn="0" w:lastRow="0" w:noHBand="0" w:noVBand="1" w:val="04A0"/>
        <w:tblBorders>
          <w:top w:val="none"/>
          <w:left w:val="none"/>
          <w:bottom w:val="none"/>
          <w:right w:val="none"/>
          <w:insideH w:val="none"/>
          <w:insideV w:val="none"/>
        </w:tblBorders>
      </w:tblPr>
      <w:tblGrid>
        <w:gridCol w:w="10512"/>
      </w:tblGrid>
      <w:tr>
        <w:tc>
          <w:tcPr>
            <w:tcW w:type="dxa" w:w="10512"/>
            <w:shd w:val="clear" w:color="auto" w:fill="F7EEEE"/>
            <w:tcBorders>
              <w:left w:val="single" w:sz="24" w:color="8B3A3A"/>
            </w:tcBorders>
          </w:tcPr>
          <w:p>
            <w:r>
              <w:rPr>
                <w:b/>
                <w:color w:val="8B3A3A"/>
                <w:sz w:val="20"/>
              </w:rPr>
              <w:t xml:space="preserve">IMPORTANT CAVEAT — </w:t>
            </w:r>
            <w:r>
              <w:rPr>
                <w:color w:val="23262B"/>
                <w:sz w:val="20"/>
              </w:rPr>
              <w:t>This analysis is based solely on market survey data and the candidate's CV. No internal equity cohort file or existing offer amount was available. Recommendations should be validated against internal equity before finalizing.</w:t>
            </w:r>
          </w:p>
        </w:tc>
      </w:tr>
    </w:tbl>
    <w:p/>
    <w:p>
      <w:pPr>
        <w:pStyle w:val="Heading1"/>
        <w:pBdr>
          <w:bottom w:val="single" w:sz="12" w:space="4" w:color="1F3A5F"/>
        </w:pBdr>
      </w:pPr>
      <w:r>
        <w:rPr>
          <w:rFonts w:ascii="Calibri" w:hAnsi="Calibri"/>
          <w:b/>
          <w:smallCaps/>
          <w:color w:val="1F3A5F"/>
          <w:sz w:val="22"/>
        </w:rPr>
        <w:t>Blended Market Benchmarks (TCC)</w:t>
      </w: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3504"/>
        <w:gridCol w:w="3504"/>
        <w:gridCol w:w="3504"/>
      </w:tblGrid>
      <w:tr>
        <w:tc>
          <w:tcPr>
            <w:tcW w:type="dxa" w:w="3504"/>
            <w:shd w:val="clear" w:color="auto" w:fill="00485F"/>
          </w:tcPr>
          <w:p>
            <w:pPr>
              <w:jc w:val="center"/>
            </w:pPr>
            <w:r>
              <w:rPr>
                <w:b/>
                <w:color w:val="FFFFFF"/>
                <w:sz w:val="20"/>
              </w:rPr>
              <w:t>Percentile</w:t>
            </w:r>
          </w:p>
        </w:tc>
        <w:tc>
          <w:tcPr>
            <w:tcW w:type="dxa" w:w="3504"/>
            <w:shd w:val="clear" w:color="auto" w:fill="00485F"/>
          </w:tcPr>
          <w:p>
            <w:pPr>
              <w:jc w:val="center"/>
            </w:pPr>
            <w:r>
              <w:rPr>
                <w:b/>
                <w:color w:val="FFFFFF"/>
                <w:sz w:val="20"/>
              </w:rPr>
              <w:t>Blended TCC</w:t>
            </w:r>
          </w:p>
        </w:tc>
        <w:tc>
          <w:tcPr>
            <w:tcW w:type="dxa" w:w="3504"/>
            <w:shd w:val="clear" w:color="auto" w:fill="00485F"/>
          </w:tcPr>
          <w:p>
            <w:pPr>
              <w:jc w:val="center"/>
            </w:pPr>
            <w:r>
              <w:rPr>
                <w:b/>
                <w:color w:val="FFFFFF"/>
                <w:sz w:val="20"/>
              </w:rPr>
              <w:t>Source</w:t>
            </w:r>
          </w:p>
        </w:tc>
      </w:tr>
      <w:tr>
        <w:tc>
          <w:tcPr>
            <w:tcW w:type="dxa" w:w="3504"/>
            <w:tcBorders>
              <w:bottom w:val="single" w:sz="4" w:color="D9DEE3"/>
            </w:tcBorders>
          </w:tcPr>
          <w:p>
            <w:r>
              <w:t>25th</w:t>
            </w:r>
          </w:p>
        </w:tc>
        <w:tc>
          <w:tcPr>
            <w:tcW w:type="dxa" w:w="3504"/>
            <w:tcBorders>
              <w:bottom w:val="single" w:sz="4" w:color="D9DEE3"/>
            </w:tcBorders>
          </w:tcPr>
          <w:p>
            <w:pPr>
              <w:jc w:val="right"/>
            </w:pPr>
            <w:r>
              <w:t>$281,038</w:t>
            </w:r>
          </w:p>
        </w:tc>
        <w:tc>
          <w:tcPr>
            <w:tcW w:type="dxa" w:w="3504"/>
            <w:tcBorders>
              <w:bottom w:val="single" w:sz="4" w:color="D9DEE3"/>
            </w:tcBorders>
          </w:tcPr>
          <w:p>
            <w:r>
              <w:t>Blended weighted-average</w:t>
            </w:r>
          </w:p>
        </w:tc>
      </w:tr>
      <w:tr>
        <w:tc>
          <w:tcPr>
            <w:tcW w:type="dxa" w:w="3504"/>
            <w:shd w:val="clear" w:color="auto" w:fill="F5F8FA"/>
            <w:tcBorders>
              <w:bottom w:val="single" w:sz="4" w:color="D9DEE3"/>
            </w:tcBorders>
          </w:tcPr>
          <w:p>
            <w:r>
              <w:t>50th (Median)</w:t>
            </w:r>
          </w:p>
        </w:tc>
        <w:tc>
          <w:tcPr>
            <w:tcW w:type="dxa" w:w="3504"/>
            <w:shd w:val="clear" w:color="auto" w:fill="F5F8FA"/>
            <w:tcBorders>
              <w:bottom w:val="single" w:sz="4" w:color="D9DEE3"/>
            </w:tcBorders>
          </w:tcPr>
          <w:p>
            <w:pPr>
              <w:jc w:val="right"/>
            </w:pPr>
            <w:r>
              <w:t>$321,038</w:t>
            </w:r>
          </w:p>
        </w:tc>
        <w:tc>
          <w:tcPr>
            <w:tcW w:type="dxa" w:w="3504"/>
            <w:shd w:val="clear" w:color="auto" w:fill="F5F8FA"/>
            <w:tcBorders>
              <w:bottom w:val="single" w:sz="4" w:color="D9DEE3"/>
            </w:tcBorders>
          </w:tcPr>
          <w:p>
            <w:r>
              <w:t>Blended weighted-average</w:t>
            </w:r>
          </w:p>
        </w:tc>
      </w:tr>
      <w:tr>
        <w:tc>
          <w:tcPr>
            <w:tcW w:type="dxa" w:w="3504"/>
            <w:tcBorders>
              <w:bottom w:val="single" w:sz="4" w:color="D9DEE3"/>
            </w:tcBorders>
          </w:tcPr>
          <w:p>
            <w:r>
              <w:t>75th</w:t>
            </w:r>
          </w:p>
        </w:tc>
        <w:tc>
          <w:tcPr>
            <w:tcW w:type="dxa" w:w="3504"/>
            <w:tcBorders>
              <w:bottom w:val="single" w:sz="4" w:color="D9DEE3"/>
            </w:tcBorders>
          </w:tcPr>
          <w:p>
            <w:pPr>
              <w:jc w:val="right"/>
            </w:pPr>
            <w:r>
              <w:t>$366,038</w:t>
            </w:r>
          </w:p>
        </w:tc>
        <w:tc>
          <w:tcPr>
            <w:tcW w:type="dxa" w:w="3504"/>
            <w:tcBorders>
              <w:bottom w:val="single" w:sz="4" w:color="D9DEE3"/>
            </w:tcBorders>
          </w:tcPr>
          <w:p>
            <w:r>
              <w:t>Blended weighted-average</w:t>
            </w:r>
          </w:p>
        </w:tc>
      </w:tr>
      <w:tr>
        <w:tc>
          <w:tcPr>
            <w:tcW w:type="dxa" w:w="3504"/>
            <w:shd w:val="clear" w:color="auto" w:fill="F5F8FA"/>
            <w:tcBorders>
              <w:bottom w:val="single" w:sz="4" w:color="D9DEE3"/>
            </w:tcBorders>
          </w:tcPr>
          <w:p>
            <w:r>
              <w:t>90th</w:t>
            </w:r>
          </w:p>
        </w:tc>
        <w:tc>
          <w:tcPr>
            <w:tcW w:type="dxa" w:w="3504"/>
            <w:shd w:val="clear" w:color="auto" w:fill="F5F8FA"/>
            <w:tcBorders>
              <w:bottom w:val="single" w:sz="4" w:color="D9DEE3"/>
            </w:tcBorders>
          </w:tcPr>
          <w:p>
            <w:pPr>
              <w:jc w:val="right"/>
            </w:pPr>
            <w:r>
              <w:t>$412,717</w:t>
            </w:r>
          </w:p>
        </w:tc>
        <w:tc>
          <w:tcPr>
            <w:tcW w:type="dxa" w:w="3504"/>
            <w:shd w:val="clear" w:color="auto" w:fill="F5F8FA"/>
            <w:tcBorders>
              <w:bottom w:val="single" w:sz="4" w:color="D9DEE3"/>
            </w:tcBorders>
          </w:tcPr>
          <w:p>
            <w:r>
              <w:t>Blended weighted-average</w:t>
            </w:r>
          </w:p>
        </w:tc>
      </w:tr>
    </w:tbl>
    <w:p>
      <w:pPr>
        <w:pStyle w:val="Heading1"/>
        <w:pBdr>
          <w:bottom w:val="single" w:sz="12" w:space="4" w:color="1F3A5F"/>
        </w:pBdr>
      </w:pPr>
      <w:r>
        <w:rPr>
          <w:rFonts w:ascii="Calibri" w:hAnsi="Calibri"/>
          <w:b/>
          <w:smallCaps/>
          <w:color w:val="1F3A5F"/>
          <w:sz w:val="22"/>
        </w:rPr>
        <w:t>Recommended Range</w:t>
      </w:r>
    </w:p>
    <w:tbl>
      <w:tblPr>
        <w:tblW w:type="auto" w:w="0"/>
        <w:tblLayout w:type="autofit"/>
        <w:tblLook w:firstColumn="1" w:firstRow="1" w:lastColumn="0" w:lastRow="0" w:noHBand="0" w:noVBand="1" w:val="04A0"/>
        <w:tblBorders>
          <w:top w:val="none"/>
          <w:left w:val="none"/>
          <w:bottom w:val="none"/>
          <w:right w:val="none"/>
          <w:insideH w:val="none"/>
          <w:insideV w:val="none"/>
        </w:tblBorders>
      </w:tblPr>
      <w:tblGrid>
        <w:gridCol w:w="2628"/>
        <w:gridCol w:w="2628"/>
        <w:gridCol w:w="2628"/>
        <w:gridCol w:w="2628"/>
      </w:tblGrid>
      <w:tr>
        <w:tc>
          <w:tcPr>
            <w:tcW w:type="dxa" w:w="2628"/>
            <w:shd w:val="clear" w:color="auto" w:fill="EEF2F7"/>
          </w:tcPr>
          <w:p>
            <w:pPr>
              <w:jc w:val="center"/>
            </w:pPr>
            <w:r>
              <w:rPr>
                <w:b/>
                <w:color w:val="63696F"/>
                <w:sz w:val="15"/>
              </w:rPr>
              <w:t>LOW (≈P25–P30)</w:t>
              <w:br/>
            </w:r>
            <w:r>
              <w:rPr>
                <w:b/>
                <w:color w:val="1F3A5F"/>
                <w:sz w:val="32"/>
              </w:rPr>
              <w:t>$281,000</w:t>
            </w:r>
            <w:r>
              <w:rPr>
                <w:color w:val="63696F"/>
                <w:sz w:val="15"/>
              </w:rPr>
              <w:br/>
              <w:t>conservative entry</w:t>
            </w:r>
          </w:p>
        </w:tc>
        <w:tc>
          <w:tcPr>
            <w:tcW w:type="dxa" w:w="2628"/>
            <w:shd w:val="clear" w:color="auto" w:fill="F7EEEE"/>
          </w:tcPr>
          <w:p>
            <w:pPr>
              <w:jc w:val="center"/>
            </w:pPr>
            <w:r>
              <w:rPr>
                <w:b/>
                <w:color w:val="63696F"/>
                <w:sz w:val="15"/>
              </w:rPr>
              <w:t>MIDPOINT (≈P35)</w:t>
              <w:br/>
            </w:r>
            <w:r>
              <w:rPr>
                <w:b/>
                <w:color w:val="8B3A3A"/>
                <w:sz w:val="32"/>
              </w:rPr>
              <w:t>$295,000</w:t>
            </w:r>
            <w:r>
              <w:rPr>
                <w:color w:val="63696F"/>
                <w:sz w:val="15"/>
              </w:rPr>
              <w:br/>
              <w:t>directional estimate</w:t>
            </w:r>
          </w:p>
        </w:tc>
        <w:tc>
          <w:tcPr>
            <w:tcW w:type="dxa" w:w="2628"/>
            <w:shd w:val="clear" w:color="auto" w:fill="EEF2F7"/>
          </w:tcPr>
          <w:p>
            <w:pPr>
              <w:jc w:val="center"/>
            </w:pPr>
            <w:r>
              <w:rPr>
                <w:b/>
                <w:color w:val="63696F"/>
                <w:sz w:val="15"/>
              </w:rPr>
              <w:t>HIGH (≈P40–P50)</w:t>
              <w:br/>
            </w:r>
            <w:r>
              <w:rPr>
                <w:b/>
                <w:color w:val="1F3A5F"/>
                <w:sz w:val="32"/>
              </w:rPr>
              <w:t>$305,000</w:t>
            </w:r>
            <w:r>
              <w:rPr>
                <w:color w:val="63696F"/>
                <w:sz w:val="15"/>
              </w:rPr>
              <w:br/>
              <w:t>upper governance bound</w:t>
            </w:r>
          </w:p>
        </w:tc>
        <w:tc>
          <w:tcPr>
            <w:tcW w:type="dxa" w:w="2628"/>
            <w:shd w:val="clear" w:color="auto" w:fill="F7EEEE"/>
          </w:tcPr>
          <w:p>
            <w:pPr>
              <w:jc w:val="center"/>
            </w:pPr>
            <w:r>
              <w:rPr>
                <w:b/>
                <w:color w:val="63696F"/>
                <w:sz w:val="15"/>
              </w:rPr>
              <w:t>MARKET P50</w:t>
              <w:br/>
            </w:r>
            <w:r>
              <w:rPr>
                <w:b/>
                <w:color w:val="8B3A3A"/>
                <w:sz w:val="32"/>
              </w:rPr>
              <w:t>$321,038</w:t>
            </w:r>
            <w:r>
              <w:rPr>
                <w:color w:val="63696F"/>
                <w:sz w:val="15"/>
              </w:rPr>
              <w:br/>
              <w:t>blended median</w:t>
            </w:r>
          </w:p>
        </w:tc>
      </w:tr>
    </w:tbl>
    <w:p/>
    <w:p>
      <w:r>
        <w:t>Low end (≈p25–p30): $281,000</w:t>
      </w:r>
    </w:p>
    <w:p>
      <w:r>
        <w:t>Midpoint (≈p35, directional): $295,000</w:t>
      </w:r>
    </w:p>
    <w:p>
      <w:r>
        <w:t>High end (≈p40–p50): $305,000</w:t>
      </w:r>
    </w:p>
    <w:p>
      <w:r>
        <w:rPr>
          <w:b/>
        </w:rPr>
        <w:t xml:space="preserve">Methodology: </w:t>
      </w:r>
      <w:r>
        <w:t>Recommended range targets the p25–p50 band for a candidate at this YOE level, using piecewise linear interpolation between survey percentile points. Midpoint is a directional estimate at approximately p35, rounded to the nearest $1,000.</w:t>
      </w:r>
    </w:p>
    <w:p>
      <w:pPr>
        <w:pStyle w:val="Heading1"/>
        <w:pBdr>
          <w:bottom w:val="single" w:sz="12" w:space="4" w:color="1F3A5F"/>
        </w:pBdr>
      </w:pPr>
      <w:r>
        <w:rPr>
          <w:rFonts w:ascii="Calibri" w:hAnsi="Calibri"/>
          <w:b/>
          <w:smallCaps/>
          <w:color w:val="1F3A5F"/>
          <w:sz w:val="22"/>
        </w:rPr>
        <w:t>Market Position Exhibit</w:t>
      </w:r>
    </w:p>
    <w:p>
      <w:pPr>
        <w:jc w:val="center"/>
      </w:pPr>
      <w:r>
        <w:drawing>
          <wp:inline xmlns:a="http://schemas.openxmlformats.org/drawingml/2006/main" xmlns:pic="http://schemas.openxmlformats.org/drawingml/2006/picture">
            <wp:extent cx="6583680" cy="2586446"/>
            <wp:docPr id="1" name="Picture 1"/>
            <wp:cNvGraphicFramePr>
              <a:graphicFrameLocks noChangeAspect="1"/>
            </wp:cNvGraphicFramePr>
            <a:graphic>
              <a:graphicData uri="http://schemas.openxmlformats.org/drawingml/2006/picture">
                <pic:pic>
                  <pic:nvPicPr>
                    <pic:cNvPr id="0" name="market_anchor_exhibit.png"/>
                    <pic:cNvPicPr/>
                  </pic:nvPicPr>
                  <pic:blipFill>
                    <a:blip r:embed="rId9"/>
                    <a:stretch>
                      <a:fillRect/>
                    </a:stretch>
                  </pic:blipFill>
                  <pic:spPr>
                    <a:xfrm>
                      <a:off x="0" y="0"/>
                      <a:ext cx="6583680" cy="2586446"/>
                    </a:xfrm>
                    <a:prstGeom prst="rect"/>
                  </pic:spPr>
                </pic:pic>
              </a:graphicData>
            </a:graphic>
          </wp:inline>
        </w:drawing>
      </w:r>
    </w:p>
    <w:p>
      <w:pPr>
        <w:pStyle w:val="Heading1"/>
        <w:pBdr>
          <w:bottom w:val="single" w:sz="12" w:space="4" w:color="1F3A5F"/>
        </w:pBdr>
      </w:pPr>
      <w:r>
        <w:rPr>
          <w:rFonts w:ascii="Calibri" w:hAnsi="Calibri"/>
          <w:b/>
          <w:smallCaps/>
          <w:color w:val="1F3A5F"/>
          <w:sz w:val="22"/>
        </w:rPr>
        <w:t>Footnotes</w:t>
      </w:r>
    </w:p>
    <w:p>
      <w:pPr>
        <w:pStyle w:val="ListBullet"/>
      </w:pPr>
      <w:r>
        <w:t>Survey distributions are not linear between percentile points; interpolated estimates are directional, not exact.</w:t>
      </w:r>
    </w:p>
    <w:p>
      <w:pPr>
        <w:pStyle w:val="ListBullet"/>
      </w:pPr>
      <w:r>
        <w:t>Blended benchmark = weighted average across aggregated survey data sources by n-count.</w:t>
      </w:r>
    </w:p>
    <w:p>
      <w:pPr>
        <w:pStyle w:val="ListBullet"/>
      </w:pPr>
      <w:r>
        <w:t>No internal equity or cost impact analysis is included in this CV-only assessment.</w:t>
      </w:r>
    </w:p>
    <w:p>
      <w:pPr>
        <w:pStyle w:val="ListBullet"/>
      </w:pPr>
      <w:r>
        <w:t>Analysis date: 2026-08-08</w:t>
      </w:r>
    </w:p>
    <w:sectPr w:rsidR="00FC693F" w:rsidRPr="0006063C" w:rsidSect="00034616">
      <w:footerReference w:type="default" r:id="rId10"/>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0512" w:val="right"/>
      </w:tabs>
    </w:pPr>
    <w:r/>
    <w:r>
      <w:rPr>
        <w:color w:val="9AA5AD"/>
        <w:sz w:val="16"/>
      </w:rPr>
      <w:t>Market Anchor Analysis — Confidential</w:t>
      <w:tab/>
    </w:r>
    <w:r>
      <w:rPr>
        <w:color w:val="9AA5AD"/>
        <w:sz w:val="16"/>
      </w:rPr>
      <w:t xml:space="preserve">Page </w:t>
    </w:r>
    <w:r>
      <w:fldChar w:fldCharType="begin"/>
      <w:instrText xml:space="preserve">PAGE</w:instrText>
      <w:fldChar w:fldCharType="separate"/>
      <w:fldChar w:fldCharType="end"/>
    </w:r>
    <w:r>
      <w:rPr>
        <w:color w:val="9AA5AD"/>
        <w:sz w:val="16"/>
      </w:rPr>
      <w:t xml:space="preserve"> of </w:t>
    </w:r>
    <w:r>
      <w:fldChar w:fldCharType="begin"/>
      <w:instrText xml:space="preserve">NUMPAGES</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