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Georgia" w:hAnsi="Georgia"/>
          <w:b/>
          <w:color w:val="1F3A5F"/>
          <w:sz w:val="52"/>
        </w:rPr>
        <w:t>Fair Market Value Review</w:t>
      </w:r>
    </w:p>
    <w:p>
      <w:pPr>
        <w:pBdr>
          <w:bottom w:val="single" w:sz="16" w:space="4" w:color="1F3A5F"/>
        </w:pBdr>
      </w:pPr>
      <w:r>
        <w:rPr>
          <w:i/>
          <w:color w:val="63696F"/>
          <w:sz w:val="18"/>
        </w:rPr>
        <w:t>Pediatric Critical Care Faculty  ·  Prepared 2026-08-08  ·  Confidential — for compensation committee review</w:t>
      </w:r>
    </w:p>
    <w:p>
      <w:r>
        <w:rPr>
          <w:b/>
          <w:color w:val="63696F"/>
          <w:sz w:val="18"/>
        </w:rPr>
        <w:t>Cohort: Pediatric Critical Care Faculty</w:t>
      </w:r>
      <w:r>
        <w:rPr>
          <w:color w:val="63696F"/>
          <w:sz w:val="18"/>
        </w:rPr>
        <w:t xml:space="preserve">    Division/Service Line: N/A</w:t>
      </w:r>
    </w:p>
    <w:p>
      <w:pPr>
        <w:pStyle w:val="Heading1"/>
        <w:pBdr>
          <w:bottom w:val="single" w:sz="12" w:space="4" w:color="1F3A5F"/>
        </w:pBdr>
      </w:pPr>
      <w:r>
        <w:rPr>
          <w:rFonts w:ascii="Calibri" w:hAnsi="Calibri"/>
          <w:b/>
          <w:smallCaps/>
          <w:color w:val="1F3A5F"/>
          <w:sz w:val="22"/>
        </w:rPr>
        <w:t>Data Sources</w:t>
      </w:r>
    </w:p>
    <w:p>
      <w:r>
        <w:t>Annual Salary Increases file (authoritative for current base, TCC percentile, wRVU percentile).</w:t>
      </w:r>
    </w:p>
    <w:p>
      <w:r>
        <w:t>Survey Combined file (aggregated survey data by specialty).</w:t>
      </w:r>
    </w:p>
    <w:p>
      <w:r>
        <w:t>FMV review workbook (output deliverable).</w:t>
      </w:r>
    </w:p>
    <w:p>
      <w:r>
        <w:rPr>
          <w:i/>
        </w:rPr>
        <w:t>Snapshot date: 2026-08-08</w:t>
      </w:r>
    </w:p>
    <w:p>
      <w:pPr>
        <w:pStyle w:val="Heading1"/>
        <w:pBdr>
          <w:bottom w:val="single" w:sz="12" w:space="4" w:color="1F3A5F"/>
        </w:pBdr>
      </w:pPr>
      <w:r>
        <w:rPr>
          <w:rFonts w:ascii="Calibri" w:hAnsi="Calibri"/>
          <w:b/>
          <w:smallCaps/>
          <w:color w:val="1F3A5F"/>
          <w:sz w:val="22"/>
        </w:rPr>
        <w:t>Executive Summary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val="clear" w:color="auto" w:fill="EEF2F7"/>
          </w:tcPr>
          <w:p>
            <w:pPr>
              <w:jc w:val="center"/>
            </w:pPr>
            <w:r>
              <w:rPr>
                <w:b/>
                <w:color w:val="63696F"/>
                <w:sz w:val="15"/>
              </w:rPr>
              <w:t>TOTAL CURRENT BASE</w:t>
              <w:br/>
            </w:r>
            <w:r>
              <w:rPr>
                <w:b/>
                <w:color w:val="1F3A5F"/>
                <w:sz w:val="32"/>
              </w:rPr>
              <w:t>$830,000</w:t>
            </w:r>
            <w:r>
              <w:rPr>
                <w:color w:val="63696F"/>
                <w:sz w:val="15"/>
              </w:rPr>
              <w:br/>
              <w:t>3 provider(s)</w:t>
            </w:r>
          </w:p>
        </w:tc>
        <w:tc>
          <w:tcPr>
            <w:tcW w:type="dxa" w:w="2628"/>
            <w:shd w:val="clear" w:color="auto" w:fill="F7EEEE"/>
          </w:tcPr>
          <w:p>
            <w:pPr>
              <w:jc w:val="center"/>
            </w:pPr>
            <w:r>
              <w:rPr>
                <w:b/>
                <w:color w:val="63696F"/>
                <w:sz w:val="15"/>
              </w:rPr>
              <w:t>TOTAL PROPOSED BASE</w:t>
              <w:br/>
            </w:r>
            <w:r>
              <w:rPr>
                <w:b/>
                <w:color w:val="8B3A3A"/>
                <w:sz w:val="32"/>
              </w:rPr>
              <w:t>$968,000</w:t>
            </w:r>
            <w:r>
              <w:rPr>
                <w:color w:val="63696F"/>
                <w:sz w:val="15"/>
              </w:rPr>
              <w:br/>
              <w:t>post-adjustment</w:t>
            </w:r>
          </w:p>
        </w:tc>
        <w:tc>
          <w:tcPr>
            <w:tcW w:type="dxa" w:w="2628"/>
            <w:shd w:val="clear" w:color="auto" w:fill="EEF2F7"/>
          </w:tcPr>
          <w:p>
            <w:pPr>
              <w:jc w:val="center"/>
            </w:pPr>
            <w:r>
              <w:rPr>
                <w:b/>
                <w:color w:val="63696F"/>
                <w:sz w:val="15"/>
              </w:rPr>
              <w:t>Δ VS CURRENT</w:t>
              <w:br/>
            </w:r>
            <w:r>
              <w:rPr>
                <w:b/>
                <w:color w:val="1F3A5F"/>
                <w:sz w:val="32"/>
              </w:rPr>
              <w:t>+$138,000</w:t>
            </w:r>
            <w:r>
              <w:rPr>
                <w:color w:val="63696F"/>
                <w:sz w:val="15"/>
              </w:rPr>
              <w:br/>
              <w:t>+16.6%</w:t>
            </w:r>
          </w:p>
        </w:tc>
        <w:tc>
          <w:tcPr>
            <w:tcW w:type="dxa" w:w="2628"/>
            <w:shd w:val="clear" w:color="auto" w:fill="F7EEEE"/>
          </w:tcPr>
          <w:p>
            <w:pPr>
              <w:jc w:val="center"/>
            </w:pPr>
            <w:r>
              <w:rPr>
                <w:b/>
                <w:color w:val="63696F"/>
                <w:sz w:val="15"/>
              </w:rPr>
              <w:t>Δ VS PLANNED</w:t>
              <w:br/>
            </w:r>
            <w:r>
              <w:rPr>
                <w:b/>
                <w:color w:val="8B3A3A"/>
                <w:sz w:val="32"/>
              </w:rPr>
              <w:t>+$104,000</w:t>
            </w:r>
            <w:r>
              <w:rPr>
                <w:color w:val="63696F"/>
                <w:sz w:val="15"/>
              </w:rPr>
              <w:br/>
              <w:t>+12.0%</w:t>
            </w:r>
          </w:p>
        </w:tc>
      </w:tr>
    </w:tbl>
    <w:p/>
    <w:p>
      <w:pPr>
        <w:pStyle w:val="ListBullet"/>
      </w:pPr>
      <w:r>
        <w:t>Cohort size: 3 provider(s).</w:t>
      </w:r>
    </w:p>
    <w:p>
      <w:pPr>
        <w:pStyle w:val="ListBullet"/>
      </w:pPr>
      <w:r>
        <w:t>Total current base: $830,000.</w:t>
      </w:r>
    </w:p>
    <w:p>
      <w:pPr>
        <w:pStyle w:val="ListBullet"/>
      </w:pPr>
      <w:r>
        <w:t>Total planned base (post-annual-increase): $864,000.</w:t>
      </w:r>
    </w:p>
    <w:p>
      <w:pPr>
        <w:pStyle w:val="ListBullet"/>
      </w:pPr>
      <w:r>
        <w:t>Total proposed base: $968,000.</w:t>
      </w:r>
    </w:p>
    <w:p>
      <w:pPr>
        <w:pStyle w:val="ListBullet"/>
      </w:pPr>
      <w:r>
        <w:t>Incremental cost vs current: $138,000 (16.6%).</w:t>
      </w:r>
    </w:p>
    <w:p>
      <w:pPr>
        <w:pStyle w:val="ListBullet"/>
      </w:pPr>
      <w:r>
        <w:t>Incremental cost vs planned: $104,000 (12.0%).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512"/>
      </w:tblGrid>
      <w:tr>
        <w:tc>
          <w:tcPr>
            <w:tcW w:type="dxa" w:w="10512"/>
            <w:shd w:val="clear" w:color="auto" w:fill="EEF2F7"/>
            <w:tcBorders>
              <w:left w:val="single" w:sz="24" w:color="1F3A5F"/>
            </w:tcBorders>
          </w:tcPr>
          <w:p>
            <w:r>
              <w:rPr>
                <w:b/>
                <w:color w:val="1F3A5F"/>
                <w:sz w:val="20"/>
              </w:rPr>
              <w:t xml:space="preserve">MARKET POSITION — </w:t>
            </w:r>
            <w:r>
              <w:rPr>
                <w:color w:val="23262B"/>
                <w:sz w:val="20"/>
              </w:rPr>
              <w:t>Average proposed base ($322,667) vs market p50 ($320,000): +0.8% vs market median.</w:t>
            </w:r>
          </w:p>
        </w:tc>
      </w:tr>
    </w:tbl>
    <w:p/>
    <w:p>
      <w:pPr>
        <w:pStyle w:val="Heading1"/>
        <w:pBdr>
          <w:bottom w:val="single" w:sz="12" w:space="4" w:color="1F3A5F"/>
        </w:pBdr>
      </w:pPr>
      <w:r>
        <w:rPr>
          <w:rFonts w:ascii="Calibri" w:hAnsi="Calibri"/>
          <w:b/>
          <w:smallCaps/>
          <w:color w:val="1F3A5F"/>
          <w:sz w:val="22"/>
        </w:rPr>
        <w:t>Cohort Detail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shd w:val="clear" w:color="auto" w:fill="0048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1502"/>
            <w:shd w:val="clear" w:color="auto" w:fill="0048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YOE</w:t>
            </w:r>
          </w:p>
        </w:tc>
        <w:tc>
          <w:tcPr>
            <w:tcW w:type="dxa" w:w="1502"/>
            <w:shd w:val="clear" w:color="auto" w:fill="0048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Current Base</w:t>
            </w:r>
          </w:p>
        </w:tc>
        <w:tc>
          <w:tcPr>
            <w:tcW w:type="dxa" w:w="1502"/>
            <w:shd w:val="clear" w:color="auto" w:fill="0048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Planned Base</w:t>
            </w:r>
          </w:p>
        </w:tc>
        <w:tc>
          <w:tcPr>
            <w:tcW w:type="dxa" w:w="1502"/>
            <w:shd w:val="clear" w:color="auto" w:fill="0048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Proposed Base</w:t>
            </w:r>
          </w:p>
        </w:tc>
        <w:tc>
          <w:tcPr>
            <w:tcW w:type="dxa" w:w="1502"/>
            <w:shd w:val="clear" w:color="auto" w:fill="0048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Δ vs Current</w:t>
            </w:r>
          </w:p>
        </w:tc>
        <w:tc>
          <w:tcPr>
            <w:tcW w:type="dxa" w:w="1502"/>
            <w:shd w:val="clear" w:color="auto" w:fill="0048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Δ vs Planned</w:t>
            </w:r>
          </w:p>
        </w:tc>
      </w:tr>
      <w:tr>
        <w:tc>
          <w:tcPr>
            <w:tcW w:type="dxa" w:w="1502"/>
            <w:tcBorders>
              <w:bottom w:val="single" w:sz="4" w:color="D9DEE3"/>
            </w:tcBorders>
          </w:tcPr>
          <w:p>
            <w:r>
              <w:t>Provider 1</w:t>
            </w:r>
          </w:p>
        </w:tc>
        <w:tc>
          <w:tcPr>
            <w:tcW w:type="dxa" w:w="1502"/>
            <w:tcBorders>
              <w:bottom w:val="single" w:sz="4" w:color="D9DEE3"/>
            </w:tcBorders>
          </w:tcPr>
          <w:p>
            <w:r>
              <w:t>8.0</w:t>
            </w:r>
          </w:p>
        </w:tc>
        <w:tc>
          <w:tcPr>
            <w:tcW w:type="dxa" w:w="1502"/>
            <w:tcBorders>
              <w:bottom w:val="single" w:sz="4" w:color="D9DEE3"/>
            </w:tcBorders>
          </w:tcPr>
          <w:p>
            <w:pPr>
              <w:jc w:val="right"/>
            </w:pPr>
            <w:r>
              <w:t>$275,000</w:t>
            </w:r>
          </w:p>
        </w:tc>
        <w:tc>
          <w:tcPr>
            <w:tcW w:type="dxa" w:w="1502"/>
            <w:tcBorders>
              <w:bottom w:val="single" w:sz="4" w:color="D9DEE3"/>
            </w:tcBorders>
          </w:tcPr>
          <w:p>
            <w:pPr>
              <w:jc w:val="right"/>
            </w:pPr>
            <w:r>
              <w:t>$287,000</w:t>
            </w:r>
          </w:p>
        </w:tc>
        <w:tc>
          <w:tcPr>
            <w:tcW w:type="dxa" w:w="1502"/>
            <w:tcBorders>
              <w:bottom w:val="single" w:sz="4" w:color="D9DEE3"/>
            </w:tcBorders>
          </w:tcPr>
          <w:p>
            <w:pPr>
              <w:jc w:val="right"/>
            </w:pPr>
            <w:r>
              <w:t>$325,000</w:t>
            </w:r>
          </w:p>
        </w:tc>
        <w:tc>
          <w:tcPr>
            <w:tcW w:type="dxa" w:w="1502"/>
            <w:tcBorders>
              <w:bottom w:val="single" w:sz="4" w:color="D9DEE3"/>
            </w:tcBorders>
          </w:tcPr>
          <w:p>
            <w:pPr>
              <w:jc w:val="right"/>
            </w:pPr>
            <w:r>
              <w:t>$50,000 (+18.2%)</w:t>
            </w:r>
          </w:p>
        </w:tc>
        <w:tc>
          <w:tcPr>
            <w:tcW w:type="dxa" w:w="1502"/>
            <w:tcBorders>
              <w:bottom w:val="single" w:sz="4" w:color="D9DEE3"/>
            </w:tcBorders>
          </w:tcPr>
          <w:p>
            <w:pPr>
              <w:jc w:val="right"/>
            </w:pPr>
            <w:r>
              <w:t>$38,000 (+13.2%)</w:t>
            </w:r>
          </w:p>
        </w:tc>
      </w:tr>
      <w:tr>
        <w:tc>
          <w:tcPr>
            <w:tcW w:type="dxa" w:w="1502"/>
            <w:shd w:val="clear" w:color="auto" w:fill="F5F8FA"/>
            <w:tcBorders>
              <w:bottom w:val="single" w:sz="4" w:color="D9DEE3"/>
            </w:tcBorders>
          </w:tcPr>
          <w:p>
            <w:r>
              <w:t>Provider 2</w:t>
            </w:r>
          </w:p>
        </w:tc>
        <w:tc>
          <w:tcPr>
            <w:tcW w:type="dxa" w:w="1502"/>
            <w:shd w:val="clear" w:color="auto" w:fill="F5F8FA"/>
            <w:tcBorders>
              <w:bottom w:val="single" w:sz="4" w:color="D9DEE3"/>
            </w:tcBorders>
          </w:tcPr>
          <w:p>
            <w:r>
              <w:t>12.0</w:t>
            </w:r>
          </w:p>
        </w:tc>
        <w:tc>
          <w:tcPr>
            <w:tcW w:type="dxa" w:w="1502"/>
            <w:shd w:val="clear" w:color="auto" w:fill="F5F8FA"/>
            <w:tcBorders>
              <w:bottom w:val="single" w:sz="4" w:color="D9DEE3"/>
            </w:tcBorders>
          </w:tcPr>
          <w:p>
            <w:pPr>
              <w:jc w:val="right"/>
            </w:pPr>
            <w:r>
              <w:t>$295,000</w:t>
            </w:r>
          </w:p>
        </w:tc>
        <w:tc>
          <w:tcPr>
            <w:tcW w:type="dxa" w:w="1502"/>
            <w:shd w:val="clear" w:color="auto" w:fill="F5F8FA"/>
            <w:tcBorders>
              <w:bottom w:val="single" w:sz="4" w:color="D9DEE3"/>
            </w:tcBorders>
          </w:tcPr>
          <w:p>
            <w:pPr>
              <w:jc w:val="right"/>
            </w:pPr>
            <w:r>
              <w:t>$307,000</w:t>
            </w:r>
          </w:p>
        </w:tc>
        <w:tc>
          <w:tcPr>
            <w:tcW w:type="dxa" w:w="1502"/>
            <w:shd w:val="clear" w:color="auto" w:fill="F5F8FA"/>
            <w:tcBorders>
              <w:bottom w:val="single" w:sz="4" w:color="D9DEE3"/>
            </w:tcBorders>
          </w:tcPr>
          <w:p>
            <w:pPr>
              <w:jc w:val="right"/>
            </w:pPr>
            <w:r>
              <w:t>$345,000</w:t>
            </w:r>
          </w:p>
        </w:tc>
        <w:tc>
          <w:tcPr>
            <w:tcW w:type="dxa" w:w="1502"/>
            <w:shd w:val="clear" w:color="auto" w:fill="F5F8FA"/>
            <w:tcBorders>
              <w:bottom w:val="single" w:sz="4" w:color="D9DEE3"/>
            </w:tcBorders>
          </w:tcPr>
          <w:p>
            <w:pPr>
              <w:jc w:val="right"/>
            </w:pPr>
            <w:r>
              <w:t>$50,000 (+16.9%)</w:t>
            </w:r>
          </w:p>
        </w:tc>
        <w:tc>
          <w:tcPr>
            <w:tcW w:type="dxa" w:w="1502"/>
            <w:shd w:val="clear" w:color="auto" w:fill="F5F8FA"/>
            <w:tcBorders>
              <w:bottom w:val="single" w:sz="4" w:color="D9DEE3"/>
            </w:tcBorders>
          </w:tcPr>
          <w:p>
            <w:pPr>
              <w:jc w:val="right"/>
            </w:pPr>
            <w:r>
              <w:t>$38,000 (+12.4%)</w:t>
            </w:r>
          </w:p>
        </w:tc>
      </w:tr>
      <w:tr>
        <w:tc>
          <w:tcPr>
            <w:tcW w:type="dxa" w:w="1502"/>
            <w:tcBorders>
              <w:bottom w:val="single" w:sz="4" w:color="D9DEE3"/>
            </w:tcBorders>
          </w:tcPr>
          <w:p>
            <w:r>
              <w:t>Provider 3</w:t>
            </w:r>
          </w:p>
        </w:tc>
        <w:tc>
          <w:tcPr>
            <w:tcW w:type="dxa" w:w="1502"/>
            <w:tcBorders>
              <w:bottom w:val="single" w:sz="4" w:color="D9DEE3"/>
            </w:tcBorders>
          </w:tcPr>
          <w:p>
            <w:r>
              <w:t>5.0</w:t>
            </w:r>
          </w:p>
        </w:tc>
        <w:tc>
          <w:tcPr>
            <w:tcW w:type="dxa" w:w="1502"/>
            <w:tcBorders>
              <w:bottom w:val="single" w:sz="4" w:color="D9DEE3"/>
            </w:tcBorders>
          </w:tcPr>
          <w:p>
            <w:pPr>
              <w:jc w:val="right"/>
            </w:pPr>
            <w:r>
              <w:t>$260,000</w:t>
            </w:r>
          </w:p>
        </w:tc>
        <w:tc>
          <w:tcPr>
            <w:tcW w:type="dxa" w:w="1502"/>
            <w:tcBorders>
              <w:bottom w:val="single" w:sz="4" w:color="D9DEE3"/>
            </w:tcBorders>
          </w:tcPr>
          <w:p>
            <w:pPr>
              <w:jc w:val="right"/>
            </w:pPr>
            <w:r>
              <w:t>$270,000</w:t>
            </w:r>
          </w:p>
        </w:tc>
        <w:tc>
          <w:tcPr>
            <w:tcW w:type="dxa" w:w="1502"/>
            <w:tcBorders>
              <w:bottom w:val="single" w:sz="4" w:color="D9DEE3"/>
            </w:tcBorders>
          </w:tcPr>
          <w:p>
            <w:pPr>
              <w:jc w:val="right"/>
            </w:pPr>
            <w:r>
              <w:t>$298,000</w:t>
            </w:r>
          </w:p>
        </w:tc>
        <w:tc>
          <w:tcPr>
            <w:tcW w:type="dxa" w:w="1502"/>
            <w:tcBorders>
              <w:bottom w:val="single" w:sz="4" w:color="D9DEE3"/>
            </w:tcBorders>
          </w:tcPr>
          <w:p>
            <w:pPr>
              <w:jc w:val="right"/>
            </w:pPr>
            <w:r>
              <w:t>$38,000 (+14.6%)</w:t>
            </w:r>
          </w:p>
        </w:tc>
        <w:tc>
          <w:tcPr>
            <w:tcW w:type="dxa" w:w="1502"/>
            <w:tcBorders>
              <w:bottom w:val="single" w:sz="4" w:color="D9DEE3"/>
            </w:tcBorders>
          </w:tcPr>
          <w:p>
            <w:pPr>
              <w:jc w:val="right"/>
            </w:pPr>
            <w:r>
              <w:t>$28,000 (+10.4%)</w:t>
            </w:r>
          </w:p>
        </w:tc>
      </w:tr>
      <w:tr>
        <w:tc>
          <w:tcPr>
            <w:tcW w:type="dxa" w:w="1502"/>
            <w:shd w:val="clear" w:color="auto" w:fill="EEF2F7"/>
            <w:shd w:val="clear" w:color="auto" w:fill="F5F8FA"/>
            <w:tcBorders>
              <w:bottom w:val="single" w:sz="4" w:color="D9DEE3"/>
            </w:tcBorders>
          </w:tcPr>
          <w:p>
            <w:r>
              <w:rPr>
                <w:b/>
                <w:color w:val="1F3A5F"/>
              </w:rPr>
              <w:t>Cohort Total</w:t>
            </w:r>
          </w:p>
        </w:tc>
        <w:tc>
          <w:tcPr>
            <w:tcW w:type="dxa" w:w="1502"/>
            <w:shd w:val="clear" w:color="auto" w:fill="EEF2F7"/>
            <w:shd w:val="clear" w:color="auto" w:fill="F5F8FA"/>
            <w:tcBorders>
              <w:bottom w:val="single" w:sz="4" w:color="D9DEE3"/>
            </w:tcBorders>
          </w:tcPr>
          <w:p/>
        </w:tc>
        <w:tc>
          <w:tcPr>
            <w:tcW w:type="dxa" w:w="1502"/>
            <w:shd w:val="clear" w:color="auto" w:fill="EEF2F7"/>
            <w:shd w:val="clear" w:color="auto" w:fill="F5F8FA"/>
            <w:tcBorders>
              <w:bottom w:val="single" w:sz="4" w:color="D9DEE3"/>
            </w:tcBorders>
          </w:tcPr>
          <w:p>
            <w:pPr>
              <w:jc w:val="right"/>
            </w:pPr>
            <w:r>
              <w:rPr>
                <w:b/>
                <w:color w:val="1F3A5F"/>
              </w:rPr>
              <w:t>$830,000</w:t>
            </w:r>
          </w:p>
        </w:tc>
        <w:tc>
          <w:tcPr>
            <w:tcW w:type="dxa" w:w="1502"/>
            <w:shd w:val="clear" w:color="auto" w:fill="EEF2F7"/>
            <w:shd w:val="clear" w:color="auto" w:fill="F5F8FA"/>
            <w:tcBorders>
              <w:bottom w:val="single" w:sz="4" w:color="D9DEE3"/>
            </w:tcBorders>
          </w:tcPr>
          <w:p>
            <w:pPr>
              <w:jc w:val="right"/>
            </w:pPr>
            <w:r>
              <w:rPr>
                <w:b/>
                <w:color w:val="1F3A5F"/>
              </w:rPr>
              <w:t>$864,000</w:t>
            </w:r>
          </w:p>
        </w:tc>
        <w:tc>
          <w:tcPr>
            <w:tcW w:type="dxa" w:w="1502"/>
            <w:shd w:val="clear" w:color="auto" w:fill="EEF2F7"/>
            <w:shd w:val="clear" w:color="auto" w:fill="F5F8FA"/>
            <w:tcBorders>
              <w:bottom w:val="single" w:sz="4" w:color="D9DEE3"/>
            </w:tcBorders>
          </w:tcPr>
          <w:p>
            <w:pPr>
              <w:jc w:val="right"/>
            </w:pPr>
            <w:r>
              <w:rPr>
                <w:b/>
                <w:color w:val="1F3A5F"/>
              </w:rPr>
              <w:t>$968,000</w:t>
            </w:r>
          </w:p>
        </w:tc>
        <w:tc>
          <w:tcPr>
            <w:tcW w:type="dxa" w:w="1502"/>
            <w:shd w:val="clear" w:color="auto" w:fill="EEF2F7"/>
            <w:shd w:val="clear" w:color="auto" w:fill="F5F8FA"/>
            <w:tcBorders>
              <w:bottom w:val="single" w:sz="4" w:color="D9DEE3"/>
            </w:tcBorders>
          </w:tcPr>
          <w:p>
            <w:pPr>
              <w:jc w:val="right"/>
            </w:pPr>
            <w:r>
              <w:rPr>
                <w:b/>
                <w:color w:val="1F3A5F"/>
              </w:rPr>
              <w:t>$138,000</w:t>
            </w:r>
          </w:p>
        </w:tc>
        <w:tc>
          <w:tcPr>
            <w:tcW w:type="dxa" w:w="1502"/>
            <w:shd w:val="clear" w:color="auto" w:fill="EEF2F7"/>
            <w:shd w:val="clear" w:color="auto" w:fill="F5F8FA"/>
            <w:tcBorders>
              <w:bottom w:val="single" w:sz="4" w:color="D9DEE3"/>
            </w:tcBorders>
          </w:tcPr>
          <w:p>
            <w:pPr>
              <w:jc w:val="right"/>
            </w:pPr>
            <w:r>
              <w:rPr>
                <w:b/>
                <w:color w:val="1F3A5F"/>
              </w:rPr>
              <w:t>$104,000</w:t>
            </w:r>
          </w:p>
        </w:tc>
      </w:tr>
    </w:tbl>
    <w:p>
      <w:pPr>
        <w:pStyle w:val="Heading1"/>
        <w:pBdr>
          <w:bottom w:val="single" w:sz="12" w:space="4" w:color="1F3A5F"/>
        </w:pBdr>
      </w:pPr>
      <w:r>
        <w:rPr>
          <w:rFonts w:ascii="Calibri" w:hAnsi="Calibri"/>
          <w:b/>
          <w:smallCaps/>
          <w:color w:val="1F3A5F"/>
          <w:sz w:val="22"/>
        </w:rPr>
        <w:t>Market Range Exhibit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25864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ew_packet_exhib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586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Market band: p25–p75 (shaded). p50 median (vertical line). p90 (triangle). </w:t>
      </w:r>
      <w:r>
        <w:rPr>
          <w:i/>
        </w:rPr>
        <w:t>Current (circle), Planned (square), Proposed (diamond).</w:t>
      </w:r>
    </w:p>
    <w:p>
      <w:pPr>
        <w:pStyle w:val="Heading1"/>
        <w:pBdr>
          <w:bottom w:val="single" w:sz="12" w:space="4" w:color="1F3A5F"/>
        </w:pBdr>
      </w:pPr>
      <w:r>
        <w:rPr>
          <w:rFonts w:ascii="Calibri" w:hAnsi="Calibri"/>
          <w:b/>
          <w:smallCaps/>
          <w:color w:val="1F3A5F"/>
          <w:sz w:val="22"/>
        </w:rPr>
        <w:t>Logic &amp; Empirical Rationale</w:t>
      </w:r>
    </w:p>
    <w:p>
      <w:pPr>
        <w:pStyle w:val="ListBullet"/>
      </w:pPr>
      <w:r>
        <w:t>Internal equity: proposed salaries maintain YOE-based progression without inversions.</w:t>
      </w:r>
    </w:p>
    <w:p>
      <w:pPr>
        <w:pStyle w:val="ListBullet"/>
      </w:pPr>
      <w:r>
        <w:t>External anchoring: proposed bases position providers within the p25–p75 market band.</w:t>
      </w:r>
    </w:p>
    <w:p>
      <w:pPr>
        <w:pStyle w:val="ListBullet"/>
      </w:pPr>
      <w:r>
        <w:t>Targeted adjustment: focuses on mid-career providers where compression risk is highest.</w:t>
      </w:r>
    </w:p>
    <w:p>
      <w:pPr>
        <w:pStyle w:val="ListBullet"/>
      </w:pPr>
      <w:r>
        <w:t>Compression guardrails: no cascade adjustments proposed at this time.</w:t>
      </w:r>
    </w:p>
    <w:p>
      <w:pPr>
        <w:pStyle w:val="Heading1"/>
        <w:pBdr>
          <w:bottom w:val="single" w:sz="12" w:space="4" w:color="1F3A5F"/>
        </w:pBdr>
      </w:pPr>
      <w:r>
        <w:rPr>
          <w:rFonts w:ascii="Calibri" w:hAnsi="Calibri"/>
          <w:b/>
          <w:smallCaps/>
          <w:color w:val="1F3A5F"/>
          <w:sz w:val="22"/>
        </w:rPr>
        <w:t>Cost Impact</w:t>
      </w:r>
    </w:p>
    <w:p>
      <w:r>
        <w:t>Annualized incremental base cost vs current: $138,000</w:t>
      </w:r>
    </w:p>
    <w:p>
      <w:r>
        <w:t>Incremental beyond planned annual increases: $104,000</w:t>
      </w:r>
    </w:p>
    <w:p>
      <w:r>
        <w:rPr>
          <w:i/>
        </w:rPr>
        <w:t xml:space="preserve">Note: Fringe/benefits excluded from above figures. </w:t>
      </w:r>
      <w:r>
        <w:rPr>
          <w:i/>
        </w:rPr>
        <w:t>Apply organization-specific benefits rate for fully loaded cost.</w:t>
      </w:r>
    </w:p>
    <w:p>
      <w:pPr>
        <w:pStyle w:val="Heading1"/>
        <w:pBdr>
          <w:bottom w:val="single" w:sz="12" w:space="4" w:color="1F3A5F"/>
        </w:pBdr>
      </w:pPr>
      <w:r>
        <w:rPr>
          <w:rFonts w:ascii="Calibri" w:hAnsi="Calibri"/>
          <w:b/>
          <w:smallCaps/>
          <w:color w:val="1F3A5F"/>
          <w:sz w:val="22"/>
        </w:rPr>
        <w:t>Governance Notes &amp; Guardrails</w:t>
      </w:r>
    </w:p>
    <w:p>
      <w:pPr>
        <w:pStyle w:val="ListBullet"/>
      </w:pPr>
      <w:r>
        <w:t>Proposed salaries do not create senior-junior inversions.</w:t>
      </w:r>
    </w:p>
    <w:p>
      <w:pPr>
        <w:pStyle w:val="ListBullet"/>
      </w:pPr>
      <w:r>
        <w:t>All percentiles are from governance reference (post-annual-increase file).</w:t>
      </w:r>
    </w:p>
    <w:p>
      <w:pPr>
        <w:pStyle w:val="ListBullet"/>
      </w:pPr>
      <w:r>
        <w:t>Percentiles are NOT FTE-adjusted — part-time lower percentile positioning is correct.</w:t>
      </w:r>
    </w:p>
    <w:p>
      <w:pPr>
        <w:pStyle w:val="ListBullet"/>
      </w:pPr>
      <w:r>
        <w:t>Benchmark source: blended weighted-average of aggregated survey data (weighted by sample size).</w:t>
      </w:r>
    </w:p>
    <w:p>
      <w:pPr>
        <w:pStyle w:val="Heading1"/>
        <w:pBdr>
          <w:bottom w:val="single" w:sz="12" w:space="4" w:color="1F3A5F"/>
        </w:pBdr>
      </w:pPr>
      <w:r>
        <w:rPr>
          <w:rFonts w:ascii="Calibri" w:hAnsi="Calibri"/>
          <w:b/>
          <w:smallCaps/>
          <w:color w:val="1F3A5F"/>
          <w:sz w:val="22"/>
        </w:rPr>
        <w:t>Footnotes &amp; Caveats</w:t>
      </w:r>
    </w:p>
    <w:p>
      <w:pPr>
        <w:pStyle w:val="ListBullet"/>
      </w:pPr>
      <w:r>
        <w:t>Market percentiles are from published survey data; interpolated estimates are labeled as directional.</w:t>
      </w:r>
    </w:p>
    <w:p>
      <w:pPr>
        <w:pStyle w:val="ListBullet"/>
      </w:pPr>
      <w:r>
        <w:t>Cost figures reflect base salary only unless otherwise noted.</w:t>
      </w:r>
    </w:p>
    <w:p>
      <w:pPr>
        <w:pStyle w:val="ListBullet"/>
      </w:pPr>
      <w:r>
        <w:t>All data sourced from the most recent annual salary increases file and survey combined file.</w:t>
      </w:r>
    </w:p>
    <w:sectPr w:rsidR="00FC693F" w:rsidRPr="0006063C" w:rsidSect="00034616">
      <w:footerReference w:type="default" r:id="rId10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512" w:val="right"/>
      </w:tabs>
    </w:pPr>
    <w:r/>
    <w:r>
      <w:rPr>
        <w:color w:val="9AA5AD"/>
        <w:sz w:val="16"/>
      </w:rPr>
      <w:t>Fair Market Value Review — Confidential</w:t>
      <w:tab/>
    </w:r>
    <w:r>
      <w:rPr>
        <w:color w:val="9AA5AD"/>
        <w:sz w:val="16"/>
      </w:rP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rPr>
        <w:color w:val="9AA5AD"/>
        <w:sz w:val="16"/>
      </w:rP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