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line="480" w:lineRule="auto" w:before="0" w:after="0"/>
        <w:ind w:firstLine="0"/>
        <w:jc w:val="center"/>
        <w:rPr>
          <w:rFonts w:ascii="Times New Roman" w:hAnsi="Times New Roman" w:cs="Times New Roman"/>
          <w:sz w:val="24"/>
          <w:szCs w:val="24"/>
        </w:rPr>
      </w:pPr>
      <w:r>
        <w:rPr>
          <w:rFonts w:ascii="Times New Roman" w:hAnsi="Times New Roman"/>
          <w:b/>
          <w:i w:val="0"/>
          <w:sz w:val="24"/>
        </w:rPr>
        <w:t xml:space="preserve">Smart Greenhouse Monitoring System: A Machine Learning Approach to IoT Agriculture</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b/>
          <w:bCs/>
          <w:sz w:val="24"/>
        </w:rPr>
        <w:t xml:space="preserve">Team 4: Dylan Scott-Dawkins, Francisco Monarrez Felix, Jeffery Smith</w:t>
      </w:r>
      <w:r>
        <w:rPr>
          <w:rFonts w:ascii="Times New Roman" w:hAnsi="Times New Roman"/>
          <w:sz w:val="24"/>
        </w:rPr>
        <w:t xml:space="preserve"> </w:t>
      </w:r>
      <w:r>
        <w:rPr>
          <w:rFonts w:ascii="Times New Roman" w:hAnsi="Times New Roman"/>
          <w:b/>
          <w:bCs/>
          <w:sz w:val="24"/>
        </w:rPr>
        <w:t xml:space="preserve">AAI-530: IoT Application Design</w:t>
      </w:r>
      <w:r>
        <w:rPr>
          <w:rFonts w:ascii="Times New Roman" w:hAnsi="Times New Roman"/>
          <w:sz w:val="24"/>
        </w:rPr>
        <w:t xml:space="preserve"> </w:t>
      </w:r>
      <w:r>
        <w:rPr>
          <w:rFonts w:ascii="Times New Roman" w:hAnsi="Times New Roman"/>
          <w:b/>
          <w:bCs/>
          <w:sz w:val="24"/>
        </w:rPr>
        <w:t xml:space="preserve">University of San Diego</w:t>
      </w:r>
    </w:p>
    <w:p>
      <w:r>
        <w:pict>
          <v:rect style="width:0;height:1.5pt" o:hralign="center" o:hrstd="t" o:hr="t"/>
        </w:pict>
      </w:r>
    </w:p>
    <w:p>
      <w:pPr>
        <w:pStyle w:val="Heading2"/>
        <w:spacing w:line="480" w:lineRule="auto" w:before="0" w:after="0"/>
        <w:ind w:firstLine="0"/>
        <w:jc w:val="left"/>
        <w:rPr>
          <w:rFonts w:ascii="Times New Roman" w:hAnsi="Times New Roman" w:cs="Times New Roman"/>
          <w:sz w:val="24"/>
          <w:szCs w:val="24"/>
        </w:rPr>
      </w:pPr>
      <w:r>
        <w:rPr>
          <w:rFonts w:ascii="Times New Roman" w:hAnsi="Times New Roman"/>
          <w:b/>
          <w:i w:val="0"/>
          <w:sz w:val="24"/>
        </w:rPr>
        <w:t xml:space="preserve">Abstract</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This report presents the development and evaluation of a machine learning-based IoT system for smart greenhouse monitoring and control. Using sensor data collected from a greenhouse at Tikrit University, Iraq, we implemented multiple predictive models to optimize agricultural conditions. Our approach combines exploratory data analysis with three distinct modeling strategies: baseline regression models (Linear Regression, Random Forest), gradient-boosted trees (XGBoost), and deep learning time-series analysis (LSTM). The XGBoost model achieved an R² of 0.90 for humidity prediction with RMSE of 7.15%, while baseline Random Forest models demonstrated strong performance across regression and classification tasks. We address class imbalance challenges and propose a hybrid edge-cloud architecture for real-time greenhouse management. This work demonstrates the practical application of Industrial IoT for optimizing crop growth in challenging environments.</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b/>
          <w:bCs/>
          <w:sz w:val="24"/>
        </w:rPr>
        <w:t xml:space="preserve">Keywords</w:t>
      </w:r>
      <w:r>
        <w:rPr>
          <w:rFonts w:ascii="Times New Roman" w:hAnsi="Times New Roman"/>
          <w:sz w:val="24"/>
        </w:rPr>
        <w:t xml:space="preserve">: IoT agriculture, smart greenhouse, machine learning, LSTM, XGBoost, sensor networks</w:t>
      </w:r>
    </w:p>
    <w:p>
      <w:r>
        <w:pict>
          <v:rect style="width:0;height:1.5pt" o:hralign="center" o:hrstd="t" o:hr="t"/>
        </w:pict>
      </w:r>
    </w:p>
    <w:p>
      <w:pPr>
        <w:pStyle w:val="Heading2"/>
        <w:spacing w:line="480" w:lineRule="auto" w:before="0" w:after="0"/>
        <w:ind w:firstLine="0"/>
        <w:jc w:val="left"/>
        <w:rPr>
          <w:rFonts w:ascii="Times New Roman" w:hAnsi="Times New Roman" w:cs="Times New Roman"/>
          <w:sz w:val="24"/>
          <w:szCs w:val="24"/>
        </w:rPr>
      </w:pPr>
      <w:r>
        <w:rPr>
          <w:rFonts w:ascii="Times New Roman" w:hAnsi="Times New Roman"/>
          <w:b/>
          <w:i w:val="0"/>
          <w:sz w:val="24"/>
        </w:rPr>
        <w:t xml:space="preserve">Introduction</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Background and Motivation</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Agriculture faces increasing pressure to improve efficiency while managing resource constraints, particularly in regions with inhospitable growing conditions. Smart greenhouse systems leveraging Internet of Things (IoT) technology offer a promising solution by enabling continuous monitoring and automated control of environmental conditions (Elijah et al., 2018; Tzounis et al., 2017). However, the sheer volume of sensor data generated by these systems creates both opportunities and challenges for data-driven decision making.</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 integration of machine learning with IoT agriculture systems enables predictive capabilities beyond simple threshold-based control. By learning complex relationships between environmental variables, soil nutrients, and actuator states, ML models can anticipate changes, detect sensor failures, and optimize resource usage (Farooq et al., 2019; Liakos et al., 2018). This project explores multiple modeling approaches to demonstrate how different ML techniques address distinct aspects of greenhouse management.</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Dataset Overview</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Our analysis utilizes the IoT Agriculture 2024 dataset from Tikrit University’s smart greenhouse monitoring system (Abdullah, 2024). The dataset comprises 37,922 observations collected at 5-minute intervals from November 2023 through February 2024. Each observation includes:</w:t>
      </w:r>
    </w:p>
    <w:p>
      <w:pPr>
        <w:pStyle w:val="Compact"/>
        <w:numPr>
          <w:ilvl w:val="0"/>
          <w:numId w:val="1001"/>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Environmental metrics</w:t>
      </w:r>
      <w:r>
        <w:rPr>
          <w:rFonts w:ascii="Times New Roman" w:hAnsi="Times New Roman"/>
          <w:sz w:val="24"/>
        </w:rPr>
        <w:t xml:space="preserve">: Temperature (°C), humidity (%), water level (%)</w:t>
      </w:r>
    </w:p>
    <w:p>
      <w:pPr>
        <w:pStyle w:val="Compact"/>
        <w:numPr>
          <w:ilvl w:val="0"/>
          <w:numId w:val="1001"/>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Soil nutrients</w:t>
      </w:r>
      <w:r>
        <w:rPr>
          <w:rFonts w:ascii="Times New Roman" w:hAnsi="Times New Roman"/>
          <w:sz w:val="24"/>
        </w:rPr>
        <w:t xml:space="preserve">: Nitrogen (N), Phosphorus (P), Potassium (K) on 0-255 scale</w:t>
      </w:r>
    </w:p>
    <w:p>
      <w:pPr>
        <w:pStyle w:val="Compact"/>
        <w:numPr>
          <w:ilvl w:val="0"/>
          <w:numId w:val="1001"/>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Actuator states</w:t>
      </w:r>
      <w:r>
        <w:rPr>
          <w:rFonts w:ascii="Times New Roman" w:hAnsi="Times New Roman"/>
          <w:sz w:val="24"/>
        </w:rPr>
        <w:t xml:space="preserve">: Binary indicators for fan, watering pump, and water pump status</w:t>
      </w:r>
    </w:p>
    <w:p>
      <w:pPr>
        <w:pStyle w:val="Compact"/>
        <w:numPr>
          <w:ilvl w:val="0"/>
          <w:numId w:val="1001"/>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Temporal features</w:t>
      </w:r>
      <w:r>
        <w:rPr>
          <w:rFonts w:ascii="Times New Roman" w:hAnsi="Times New Roman"/>
          <w:sz w:val="24"/>
        </w:rPr>
        <w:t xml:space="preserve">: Date and time of measurement</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This high-frequency data captures the dynamic nature of greenhouse environments, where conditions can change rapidly due to external weather, plant transpiration, and automated control systems.</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Research Objectives</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This project addresses three primary objectives:</w:t>
      </w:r>
    </w:p>
    <w:p>
      <w:pPr>
        <w:pStyle w:val="Compact"/>
        <w:numPr>
          <w:ilvl w:val="0"/>
          <w:numId w:val="1002"/>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Exploratory Analysis</w:t>
      </w:r>
      <w:r>
        <w:rPr>
          <w:rFonts w:ascii="Times New Roman" w:hAnsi="Times New Roman"/>
          <w:sz w:val="24"/>
        </w:rPr>
        <w:t xml:space="preserve">: Identify patterns, correlations, and anomalies in greenhouse sensor data to understand environmental dynamics</w:t>
      </w:r>
    </w:p>
    <w:p>
      <w:pPr>
        <w:pStyle w:val="Compact"/>
        <w:numPr>
          <w:ilvl w:val="0"/>
          <w:numId w:val="1002"/>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Predictive Modeling</w:t>
      </w:r>
      <w:r>
        <w:rPr>
          <w:rFonts w:ascii="Times New Roman" w:hAnsi="Times New Roman"/>
          <w:sz w:val="24"/>
        </w:rPr>
        <w:t xml:space="preserve">: Develop and compare multiple ML approaches for predicting environmental conditions and actuator requirements</w:t>
      </w:r>
    </w:p>
    <w:p>
      <w:pPr>
        <w:pStyle w:val="Compact"/>
        <w:numPr>
          <w:ilvl w:val="0"/>
          <w:numId w:val="1002"/>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System Design</w:t>
      </w:r>
      <w:r>
        <w:rPr>
          <w:rFonts w:ascii="Times New Roman" w:hAnsi="Times New Roman"/>
          <w:sz w:val="24"/>
        </w:rPr>
        <w:t xml:space="preserve">: Propose an architecture that balances edge and cloud computing for real-time greenhouse control</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Our modeling strategy deliberately implements both traditional machine learning and deep learning approaches to evaluate the performance-complexity tradeoffs inherent in IoT deployments.</w:t>
      </w:r>
    </w:p>
    <w:p>
      <w:r>
        <w:pict>
          <v:rect style="width:0;height:1.5pt" o:hralign="center" o:hrstd="t" o:hr="t"/>
        </w:pict>
      </w:r>
    </w:p>
    <w:p>
      <w:pPr>
        <w:pStyle w:val="Heading2"/>
        <w:spacing w:line="480" w:lineRule="auto" w:before="0" w:after="0"/>
        <w:ind w:firstLine="0"/>
        <w:jc w:val="left"/>
        <w:rPr>
          <w:rFonts w:ascii="Times New Roman" w:hAnsi="Times New Roman" w:cs="Times New Roman"/>
          <w:sz w:val="24"/>
          <w:szCs w:val="24"/>
        </w:rPr>
      </w:pPr>
      <w:r>
        <w:rPr>
          <w:rFonts w:ascii="Times New Roman" w:hAnsi="Times New Roman"/>
          <w:b/>
          <w:i w:val="0"/>
          <w:sz w:val="24"/>
        </w:rPr>
        <w:t xml:space="preserve">Exploratory Data Analysis</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Data Quality and Preprocessing</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Initial data exploration revealed a clean dataset with minimal quality issues. Of 37,922 observations, only 2 records contained missing date values (0.005%), which were removed. All sensor readings were complete, suggesting robust data collection infrastructure. A notable quirk in the dataset is the misspelling of temperature as</w:t>
      </w:r>
      <w:r>
        <w:rPr>
          <w:rFonts w:ascii="Times New Roman" w:hAnsi="Times New Roman"/>
          <w:sz w:val="24"/>
        </w:rPr>
        <w:t xml:space="preserve"> </w:t>
      </w:r>
      <w:r>
        <w:rPr>
          <w:rFonts w:ascii="Times New Roman" w:hAnsi="Times New Roman"/>
          <w:sz w:val="24"/>
        </w:rPr>
        <w:t xml:space="preserve">“tempreature”</w:t>
      </w:r>
      <w:r>
        <w:rPr>
          <w:rFonts w:ascii="Times New Roman" w:hAnsi="Times New Roman"/>
          <w:sz w:val="24"/>
        </w:rPr>
        <w:t xml:space="preserve"> </w:t>
      </w:r>
      <w:r>
        <w:rPr>
          <w:rFonts w:ascii="Times New Roman" w:hAnsi="Times New Roman"/>
          <w:sz w:val="24"/>
        </w:rPr>
        <w:t xml:space="preserve">in the original column name, which we preserved for consistency with the source data.</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 actuator columns were encoded as redundant one-hot pairs (e.g.,</w:t>
      </w:r>
      <w:r>
        <w:rPr>
          <w:rFonts w:ascii="Times New Roman" w:hAnsi="Times New Roman"/>
          <w:sz w:val="24"/>
        </w:rPr>
        <w:t xml:space="preserve"> </w:t>
      </w:r>
      <w:r>
        <w:rPr>
          <w:rStyle w:val="VerbatimChar"/>
          <w:rFonts w:ascii="Times New Roman" w:hAnsi="Times New Roman"/>
          <w:sz w:val="24"/>
        </w:rPr>
        <w:t xml:space="preserve">Fan_actuator_OFF</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Fan_actuator_ON</w:t>
      </w:r>
      <w:r>
        <w:rPr>
          <w:rFonts w:ascii="Times New Roman" w:hAnsi="Times New Roman"/>
          <w:sz w:val="24"/>
        </w:rPr>
        <w:t xml:space="preserve">). Validation confirmed that these pairs always summed to 1.0, allowing us to drop the OFF columns during preprocessing without information loss. This reduced feature dimensionality while maintaining all relevant information.</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Temporal feature engineering extracted hour, day, and month components from the datetime field, enabling analysis of diurnal and seasonal patterns. The data was sorted chronologically to prepare for time-series analysis.</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Sensor Distribution Analysis</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Analysis of individual sensor distributions revealed important characteristics of the greenhouse environment:</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Temperature</w:t>
      </w:r>
      <w:r>
        <w:rPr>
          <w:rFonts w:ascii="Times New Roman" w:hAnsi="Times New Roman"/>
          <w:sz w:val="24"/>
        </w:rPr>
        <w:t xml:space="preserve">: Displayed a bimodal distribution with peaks around 13°C and 25°C (mean: 18.76°C, std: 7.14°C). This pattern reflects diurnal temperature cycles, with cooler nighttime temperatures and warmer daytime conditions. The temperature range of 3-41°C indicates significant environmental variation over the monitoring period.</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Humidity</w:t>
      </w:r>
      <w:r>
        <w:rPr>
          <w:rFonts w:ascii="Times New Roman" w:hAnsi="Times New Roman"/>
          <w:sz w:val="24"/>
        </w:rPr>
        <w:t xml:space="preserve">: Showed a right-skewed distribution centered around 50-60% (mean: 50.33%, std: 23.00%). The broad distribution (0-100%) with concentrations in the 49-62% range suggests the greenhouse maintains moderate humidity levels but experiences occasional extremes. This variability creates an interesting prediction challenge for ML models.</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sz w:val="24"/>
        </w:rPr>
        <w:drawing>
          <wp:inline>
            <wp:extent cx="5943600" cy="2114550"/>
            <wp:effectExtent b="0" l="0" r="0" t="0"/>
            <wp:docPr descr="Figure 2: Humidity Distribution" title="" id="16" name="Picture"/>
            <a:graphic>
              <a:graphicData uri="http://schemas.openxmlformats.org/drawingml/2006/picture">
                <pic:pic>
                  <pic:nvPicPr>
                    <pic:cNvPr descr="humidity_distribution.png" id="17" name="Picture"/>
                    <pic:cNvPicPr>
                      <a:picLocks noChangeArrowheads="1" noChangeAspect="1"/>
                    </pic:cNvPicPr>
                  </pic:nvPicPr>
                  <pic:blipFill>
                    <a:blip r:embed="rId15"/>
                    <a:stretch>
                      <a:fillRect/>
                    </a:stretch>
                  </pic:blipFill>
                  <pic:spPr bwMode="auto">
                    <a:xfrm>
                      <a:off x="0" y="0"/>
                      <a:ext cx="5943600" cy="2114550"/>
                    </a:xfrm>
                    <a:prstGeom prst="rect">
                      <a:avLst/>
                    </a:prstGeom>
                    <a:noFill/>
                    <a:ln w="9525">
                      <a:noFill/>
                      <a:headEnd/>
                      <a:tailEnd/>
                    </a:ln>
                  </pic:spPr>
                </pic:pic>
              </a:graphicData>
            </a:graphic>
          </wp:inline>
        </w:drawing>
      </w:r>
      <w:r>
        <w:rPr>
          <w:rFonts w:ascii="Times New Roman" w:hAnsi="Times New Roman"/>
          <w:sz w:val="24"/>
        </w:rPr>
        <w:t xml:space="preserve"> </w:t>
      </w:r>
      <w:r>
        <w:rPr>
          <w:rFonts w:ascii="Times New Roman" w:hAnsi="Times New Roman"/>
          <w:i/>
          <w:iCs/>
          <w:sz w:val="24"/>
        </w:rPr>
        <w:t xml:space="preserve">Figure 2</w:t>
      </w:r>
      <w:r>
        <w:rPr>
          <w:rFonts w:ascii="Times New Roman" w:hAnsi="Times New Roman"/>
          <w:sz w:val="24"/>
        </w:rPr>
        <w:t xml:space="preserve">. Distribution and box plot of humidity measurements showing right-skewed pattern with mean of 50.3% and standard deviation of 23.0%.</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b/>
          <w:bCs/>
          <w:sz w:val="24"/>
        </w:rPr>
        <w:t xml:space="preserve">Water Level</w:t>
      </w:r>
      <w:r>
        <w:rPr>
          <w:rFonts w:ascii="Times New Roman" w:hAnsi="Times New Roman"/>
          <w:sz w:val="24"/>
        </w:rPr>
        <w:t xml:space="preserve">: Exhibited a highly bimodal distribution with a strong peak at 100% (full reservoir) and a secondary peak around 79%. This pattern indicates that the water reservoir is maintained at capacity most of the time, with periodic drawdowns for irrigation. The sharp binary nature of this variable presents implications for modeling approaches.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Soil Nutrients (N, P, K)</w:t>
      </w:r>
      <w:r>
        <w:rPr>
          <w:rFonts w:ascii="Times New Roman" w:hAnsi="Times New Roman"/>
          <w:sz w:val="24"/>
        </w:rPr>
        <w:t xml:space="preserve">: All three nutrients displayed unusual bimodal distributions with peaks at both low values (160-190) and the maximum value (255). Nitrogen and Phosphorus showed nearly identical patterns, while Potassium exhibited more variation. This suggests periodic fertilization events that saturate sensor readings at maximum values.</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sz w:val="24"/>
        </w:rPr>
        <w:drawing>
          <wp:inline>
            <wp:extent cx="5943600" cy="3147709"/>
            <wp:effectExtent b="0" l="0" r="0" t="0"/>
            <wp:docPr descr="Figure 3: Sensor Distributions" title="" id="19" name="Picture"/>
            <a:graphic>
              <a:graphicData uri="http://schemas.openxmlformats.org/drawingml/2006/picture">
                <pic:pic>
                  <pic:nvPicPr>
                    <pic:cNvPr descr="sensor_distributions.png" id="20" name="Picture"/>
                    <pic:cNvPicPr>
                      <a:picLocks noChangeArrowheads="1" noChangeAspect="1"/>
                    </pic:cNvPicPr>
                  </pic:nvPicPr>
                  <pic:blipFill>
                    <a:blip r:embed="rId18"/>
                    <a:stretch>
                      <a:fillRect/>
                    </a:stretch>
                  </pic:blipFill>
                  <pic:spPr bwMode="auto">
                    <a:xfrm>
                      <a:off x="0" y="0"/>
                      <a:ext cx="5943600" cy="3147709"/>
                    </a:xfrm>
                    <a:prstGeom prst="rect">
                      <a:avLst/>
                    </a:prstGeom>
                    <a:noFill/>
                    <a:ln w="9525">
                      <a:noFill/>
                      <a:headEnd/>
                      <a:tailEnd/>
                    </a:ln>
                  </pic:spPr>
                </pic:pic>
              </a:graphicData>
            </a:graphic>
          </wp:inline>
        </w:drawing>
      </w:r>
      <w:r>
        <w:rPr>
          <w:rFonts w:ascii="Times New Roman" w:hAnsi="Times New Roman"/>
          <w:sz w:val="24"/>
        </w:rPr>
        <w:t xml:space="preserve"> </w:t>
      </w:r>
      <w:r>
        <w:rPr>
          <w:rFonts w:ascii="Times New Roman" w:hAnsi="Times New Roman"/>
          <w:i/>
          <w:iCs/>
          <w:sz w:val="24"/>
        </w:rPr>
        <w:t xml:space="preserve">Figure 3</w:t>
      </w:r>
      <w:r>
        <w:rPr>
          <w:rFonts w:ascii="Times New Roman" w:hAnsi="Times New Roman"/>
          <w:sz w:val="24"/>
        </w:rPr>
        <w:t xml:space="preserve">. Distribution histograms for all sensor readings including temperature, humidity, water level, and soil nutrients (N, P, K). Note the bimodal patterns in nutrient sensors indicating fertilization cycles.</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Temporal Patterns</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Time-series visualization using hourly resampling revealed clear patterns in environmental variables: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Temperature Cycles</w:t>
      </w:r>
      <w:r>
        <w:rPr>
          <w:rFonts w:ascii="Times New Roman" w:hAnsi="Times New Roman"/>
          <w:sz w:val="24"/>
        </w:rPr>
        <w:t xml:space="preserve">: A 30-day rolling mean analysis showed consistent diurnal patterns throughout the monitoring period, with temperatures rising during daytime hours and falling at night. Seasonal trends indicated gradual temperature increases from November through February, reflecting the transition from late fall to winter in the region.</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Humidity-Temperature Relationship</w:t>
      </w:r>
      <w:r>
        <w:rPr>
          <w:rFonts w:ascii="Times New Roman" w:hAnsi="Times New Roman"/>
          <w:sz w:val="24"/>
        </w:rPr>
        <w:t xml:space="preserve">: Humidity and temperature exhibited strong inverse correlation, with humidity rising during cooler nighttime periods and falling during warmer daytime hours. This relationship aligns with physical principles of atmospheric moisture capacity.</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Water Level Patterns</w:t>
      </w:r>
      <w:r>
        <w:rPr>
          <w:rFonts w:ascii="Times New Roman" w:hAnsi="Times New Roman"/>
          <w:sz w:val="24"/>
        </w:rPr>
        <w:t xml:space="preserve">: Monthly aggregation of water levels showed relatively stable maintenance around 79-80% on average, with no clear seasonal trend. This suggests effective water management practices throughout the monitoring period.</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Relationships Between Features and Humidity</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To understand what drives humidity variations, we examined scatter plots of each feature against our target variable:</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sz w:val="24"/>
        </w:rPr>
        <w:drawing>
          <wp:inline>
            <wp:extent cx="5943600" cy="2619175"/>
            <wp:effectExtent b="0" l="0" r="0" t="0"/>
            <wp:docPr descr="Figure 12: Features vs Humidity Relationships" title="" id="24" name="Picture"/>
            <a:graphic>
              <a:graphicData uri="http://schemas.openxmlformats.org/drawingml/2006/picture">
                <pic:pic>
                  <pic:nvPicPr>
                    <pic:cNvPr descr="features_vs_humidity.png" id="25" name="Picture"/>
                    <pic:cNvPicPr>
                      <a:picLocks noChangeArrowheads="1" noChangeAspect="1"/>
                    </pic:cNvPicPr>
                  </pic:nvPicPr>
                  <pic:blipFill>
                    <a:blip r:embed="rId23"/>
                    <a:stretch>
                      <a:fillRect/>
                    </a:stretch>
                  </pic:blipFill>
                  <pic:spPr bwMode="auto">
                    <a:xfrm>
                      <a:off x="0" y="0"/>
                      <a:ext cx="5943600" cy="2619175"/>
                    </a:xfrm>
                    <a:prstGeom prst="rect">
                      <a:avLst/>
                    </a:prstGeom>
                    <a:noFill/>
                    <a:ln w="9525">
                      <a:noFill/>
                      <a:headEnd/>
                      <a:tailEnd/>
                    </a:ln>
                  </pic:spPr>
                </pic:pic>
              </a:graphicData>
            </a:graphic>
          </wp:inline>
        </w:drawing>
      </w:r>
      <w:r>
        <w:rPr>
          <w:rFonts w:ascii="Times New Roman" w:hAnsi="Times New Roman"/>
          <w:sz w:val="24"/>
        </w:rPr>
        <w:t xml:space="preserve"> </w:t>
      </w:r>
      <w:r>
        <w:rPr>
          <w:rFonts w:ascii="Times New Roman" w:hAnsi="Times New Roman"/>
          <w:i/>
          <w:iCs/>
          <w:sz w:val="24"/>
        </w:rPr>
        <w:t xml:space="preserve">Figure 12</w:t>
      </w:r>
      <w:r>
        <w:rPr>
          <w:rFonts w:ascii="Times New Roman" w:hAnsi="Times New Roman"/>
          <w:sz w:val="24"/>
        </w:rPr>
        <w:t xml:space="preserve">. Scatter plots showing relationships between each predictor and humidity. Temperature shows strong negative relationship, while actuator states show distinct clusters corresponding to ON/OFF conditions.</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Feature Correlation Analysis</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Correlation analysis revealed several important relationships: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Strong Correlations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Temperature and Humidity: -0.74 (strong negative) - Higher temperatures reduce relative humidity</w:t>
      </w:r>
      <w:r>
        <w:rPr>
          <w:rFonts w:ascii="Times New Roman" w:hAnsi="Times New Roman"/>
          <w:sz w:val="24"/>
        </w:rPr>
        <w:t xml:space="preserve"> </w:t>
      </w:r>
      <w:r>
        <w:rPr>
          <w:rFonts w:ascii="Times New Roman" w:hAnsi="Times New Roman"/>
          <w:sz w:val="24"/>
        </w:rPr>
        <w:t xml:space="preserve">- N and P: +0.64 (strong positive) - Nutrients are applied together during fertilization</w:t>
      </w:r>
      <w:r>
        <w:rPr>
          <w:rFonts w:ascii="Times New Roman" w:hAnsi="Times New Roman"/>
          <w:sz w:val="24"/>
        </w:rPr>
        <w:t xml:space="preserve"> </w:t>
      </w:r>
      <w:r>
        <w:rPr>
          <w:rFonts w:ascii="Times New Roman" w:hAnsi="Times New Roman"/>
          <w:sz w:val="24"/>
        </w:rPr>
        <w:t xml:space="preserve">- P and K: +0.51 (moderate positive) - Similar application patterns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Actuator Relationships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Fan activation showed moderate negative correlation with humidity (-0.31), confirming its role in moisture control</w:t>
      </w:r>
      <w:r>
        <w:rPr>
          <w:rFonts w:ascii="Times New Roman" w:hAnsi="Times New Roman"/>
          <w:sz w:val="24"/>
        </w:rPr>
        <w:t xml:space="preserve"> </w:t>
      </w:r>
      <w:r>
        <w:rPr>
          <w:rFonts w:ascii="Times New Roman" w:hAnsi="Times New Roman"/>
          <w:sz w:val="24"/>
        </w:rPr>
        <w:t xml:space="preserve">- Watering pump activation correlated positively with humidity (+0.28), as expected</w:t>
      </w:r>
      <w:r>
        <w:rPr>
          <w:rFonts w:ascii="Times New Roman" w:hAnsi="Times New Roman"/>
          <w:sz w:val="24"/>
        </w:rPr>
        <w:t xml:space="preserve"> </w:t>
      </w:r>
      <w:r>
        <w:rPr>
          <w:rFonts w:ascii="Times New Roman" w:hAnsi="Times New Roman"/>
          <w:sz w:val="24"/>
        </w:rPr>
        <w:t xml:space="preserve">- Water pump actuator showed complex relationships with multiple environmental variables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Weaker Correlations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Soil nutrients showed surprisingly weak correlations with water level, suggesting nutrient management operates independently of irrigation schedules</w:t>
      </w:r>
      <w:r>
        <w:rPr>
          <w:rFonts w:ascii="Times New Roman" w:hAnsi="Times New Roman"/>
          <w:sz w:val="24"/>
        </w:rPr>
        <w:t xml:space="preserve"> </w:t>
      </w:r>
      <w:r>
        <w:rPr>
          <w:rFonts w:ascii="Times New Roman" w:hAnsi="Times New Roman"/>
          <w:sz w:val="24"/>
        </w:rPr>
        <w:t xml:space="preserve">- Temperature exhibited minimal correlation with soil nutrients, indicating separate control systems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These correlation patterns informed feature selection for our predictive models and revealed the complex multivariate relationships that machine learning could potentially capture.</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sz w:val="24"/>
        </w:rPr>
        <w:drawing>
          <wp:inline>
            <wp:extent cx="5943600" cy="5309196"/>
            <wp:effectExtent b="0" l="0" r="0" t="0"/>
            <wp:docPr descr="Figure 1: Feature Correlation Matrix" title="" id="28" name="Picture"/>
            <a:graphic>
              <a:graphicData uri="http://schemas.openxmlformats.org/drawingml/2006/picture">
                <pic:pic>
                  <pic:nvPicPr>
                    <pic:cNvPr descr="correlation_heatmap.png" id="29" name="Picture"/>
                    <pic:cNvPicPr>
                      <a:picLocks noChangeArrowheads="1" noChangeAspect="1"/>
                    </pic:cNvPicPr>
                  </pic:nvPicPr>
                  <pic:blipFill>
                    <a:blip r:embed="rId27"/>
                    <a:stretch>
                      <a:fillRect/>
                    </a:stretch>
                  </pic:blipFill>
                  <pic:spPr bwMode="auto">
                    <a:xfrm>
                      <a:off x="0" y="0"/>
                      <a:ext cx="5943600" cy="5309196"/>
                    </a:xfrm>
                    <a:prstGeom prst="rect">
                      <a:avLst/>
                    </a:prstGeom>
                    <a:noFill/>
                    <a:ln w="9525">
                      <a:noFill/>
                      <a:headEnd/>
                      <a:tailEnd/>
                    </a:ln>
                  </pic:spPr>
                </pic:pic>
              </a:graphicData>
            </a:graphic>
          </wp:inline>
        </w:drawing>
      </w:r>
      <w:r>
        <w:rPr>
          <w:rFonts w:ascii="Times New Roman" w:hAnsi="Times New Roman"/>
          <w:sz w:val="24"/>
        </w:rPr>
        <w:t xml:space="preserve"> </w:t>
      </w:r>
      <w:r>
        <w:rPr>
          <w:rFonts w:ascii="Times New Roman" w:hAnsi="Times New Roman"/>
          <w:i/>
          <w:iCs/>
          <w:sz w:val="24"/>
        </w:rPr>
        <w:t xml:space="preserve">Figure 1</w:t>
      </w:r>
      <w:r>
        <w:rPr>
          <w:rFonts w:ascii="Times New Roman" w:hAnsi="Times New Roman"/>
          <w:sz w:val="24"/>
        </w:rPr>
        <w:t xml:space="preserve">. Correlation heatmap showing relationships between environmental sensors, soil nutrients, and actuator states. Strong negative correlation between temperature and humidity (-0.74) is clearly visible.</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Actuator States: Class Imbalance and Environmental Impact</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Analysis of actuator activation frequencies revealed significant class imbalance: Fan (31.0% ON), Watering Pump (23.8% ON), and Water Pump (22.6% ON). A naive classifier predicting</w:t>
      </w:r>
      <w:r>
        <w:rPr>
          <w:rFonts w:ascii="Times New Roman" w:hAnsi="Times New Roman"/>
          <w:sz w:val="24"/>
        </w:rPr>
        <w:t xml:space="preserve"> </w:t>
      </w:r>
      <w:r>
        <w:rPr>
          <w:rFonts w:ascii="Times New Roman" w:hAnsi="Times New Roman"/>
          <w:sz w:val="24"/>
        </w:rPr>
        <w:t xml:space="preserve">“always OFF”</w:t>
      </w:r>
      <w:r>
        <w:rPr>
          <w:rFonts w:ascii="Times New Roman" w:hAnsi="Times New Roman"/>
          <w:sz w:val="24"/>
        </w:rPr>
        <w:t xml:space="preserve"> </w:t>
      </w:r>
      <w:r>
        <w:rPr>
          <w:rFonts w:ascii="Times New Roman" w:hAnsi="Times New Roman"/>
          <w:sz w:val="24"/>
        </w:rPr>
        <w:t xml:space="preserve">would achieve 70–77% accuracy without learning meaningful patterns. We addressed this through stratified splitting, precision/recall/F1 evaluation metrics, and class-weight penalization of the majority class.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Box plot analysis comparing humidity when actuators are ON versus OFF confirmed their operational impact: Fan activation reduced mean humidity by ~8 percentage points, Watering Pump activation increased it by ~5 percentage points, and Water Pump showed minimal direct humidity impact — consistent with its role as a reservoir-filling mechanism rather than direct environmental control.</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sz w:val="24"/>
        </w:rPr>
        <w:drawing>
          <wp:inline>
            <wp:extent cx="5943600" cy="1972315"/>
            <wp:effectExtent b="0" l="0" r="0" t="0"/>
            <wp:docPr descr="Figure 4: Humidity by Actuator State" title="" id="32" name="Picture"/>
            <a:graphic>
              <a:graphicData uri="http://schemas.openxmlformats.org/drawingml/2006/picture">
                <pic:pic>
                  <pic:nvPicPr>
                    <pic:cNvPr descr="humidity_by_actuator.png" id="33" name="Picture"/>
                    <pic:cNvPicPr>
                      <a:picLocks noChangeArrowheads="1" noChangeAspect="1"/>
                    </pic:cNvPicPr>
                  </pic:nvPicPr>
                  <pic:blipFill>
                    <a:blip r:embed="rId31"/>
                    <a:stretch>
                      <a:fillRect/>
                    </a:stretch>
                  </pic:blipFill>
                  <pic:spPr bwMode="auto">
                    <a:xfrm>
                      <a:off x="0" y="0"/>
                      <a:ext cx="5943600" cy="1972315"/>
                    </a:xfrm>
                    <a:prstGeom prst="rect">
                      <a:avLst/>
                    </a:prstGeom>
                    <a:noFill/>
                    <a:ln w="9525">
                      <a:noFill/>
                      <a:headEnd/>
                      <a:tailEnd/>
                    </a:ln>
                  </pic:spPr>
                </pic:pic>
              </a:graphicData>
            </a:graphic>
          </wp:inline>
        </w:drawing>
      </w:r>
      <w:r>
        <w:rPr>
          <w:rFonts w:ascii="Times New Roman" w:hAnsi="Times New Roman"/>
          <w:sz w:val="24"/>
        </w:rPr>
        <w:t xml:space="preserve"> </w:t>
      </w:r>
      <w:r>
        <w:rPr>
          <w:rFonts w:ascii="Times New Roman" w:hAnsi="Times New Roman"/>
          <w:i/>
          <w:iCs/>
          <w:sz w:val="24"/>
        </w:rPr>
        <w:t xml:space="preserve">Figure 4</w:t>
      </w:r>
      <w:r>
        <w:rPr>
          <w:rFonts w:ascii="Times New Roman" w:hAnsi="Times New Roman"/>
          <w:sz w:val="24"/>
        </w:rPr>
        <w:t xml:space="preserve">. Box plots comparing humidity distributions when actuators are ON versus OFF. Fan activation reduces mean humidity by ~8 percentage points, while watering pump increases it by ~5 percentage points.</w:t>
      </w:r>
    </w:p>
    <w:p>
      <w:r>
        <w:pict>
          <v:rect style="width:0;height:1.5pt" o:hralign="center" o:hrstd="t" o:hr="t"/>
        </w:pict>
      </w:r>
    </w:p>
    <w:p>
      <w:pPr>
        <w:pStyle w:val="Heading2"/>
        <w:spacing w:line="480" w:lineRule="auto" w:before="0" w:after="0"/>
        <w:ind w:firstLine="0"/>
        <w:jc w:val="left"/>
        <w:rPr>
          <w:rFonts w:ascii="Times New Roman" w:hAnsi="Times New Roman" w:cs="Times New Roman"/>
          <w:sz w:val="24"/>
          <w:szCs w:val="24"/>
        </w:rPr>
      </w:pPr>
      <w:r>
        <w:rPr>
          <w:rFonts w:ascii="Times New Roman" w:hAnsi="Times New Roman"/>
          <w:b/>
          <w:i w:val="0"/>
          <w:sz w:val="24"/>
        </w:rPr>
        <w:t xml:space="preserve">Model Development and Methodology</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Our modeling strategy implements three distinct approaches to address different aspects of greenhouse monitoring: baseline traditional ML models, gradient-boosted trees for cross-sensor regression, and LSTM networks for time-series prediction. This multi-model approach allows direct comparison of performance-complexity tradeoffs and demonstrates both regression and classification capabilities.</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Model 1: Baseline Models (Traditional Machine Learning)</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To establish performance benchmarks, we implemented two traditional ML approaches:</w:t>
      </w:r>
    </w:p>
    <w:p>
      <w:pPr>
        <w:pStyle w:val="Heading4"/>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Regression Task: Water Level Prediction</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Linear Regression</w:t>
      </w:r>
      <w:r>
        <w:rPr>
          <w:rFonts w:ascii="Times New Roman" w:hAnsi="Times New Roman"/>
          <w:sz w:val="24"/>
        </w:rPr>
        <w:t xml:space="preserve">: A simple linear model was fitted to predict water level from temperature, humidity, and soil nutrients (N, P, K). Features were standardized using StandardScaler (Pedregosa et al., 2011). The model achieved:</w:t>
      </w:r>
      <w:r>
        <w:rPr>
          <w:rFonts w:ascii="Times New Roman" w:hAnsi="Times New Roman"/>
          <w:sz w:val="24"/>
        </w:rPr>
        <w:t xml:space="preserve"> </w:t>
      </w:r>
      <w:r>
        <w:rPr>
          <w:rFonts w:ascii="Times New Roman" w:hAnsi="Times New Roman"/>
          <w:sz w:val="24"/>
        </w:rPr>
        <w:t xml:space="preserve">- Mean Squared Error (MSE): 29.16</w:t>
      </w:r>
      <w:r>
        <w:rPr>
          <w:rFonts w:ascii="Times New Roman" w:hAnsi="Times New Roman"/>
          <w:sz w:val="24"/>
        </w:rPr>
        <w:t xml:space="preserve"> </w:t>
      </w:r>
      <w:r>
        <w:rPr>
          <w:rFonts w:ascii="Times New Roman" w:hAnsi="Times New Roman"/>
          <w:sz w:val="24"/>
        </w:rPr>
        <w:t xml:space="preserve">- Performance: Moderate, capturing linear relationships but missing non-linear interactions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Random Forest Regression</w:t>
      </w:r>
      <w:r>
        <w:rPr>
          <w:rFonts w:ascii="Times New Roman" w:hAnsi="Times New Roman"/>
          <w:sz w:val="24"/>
        </w:rPr>
        <w:t xml:space="preserve">: An ensemble of 100 decision trees was trained on the same features without scaling (tree-based models are scale-invariant). The model achieved:</w:t>
      </w:r>
      <w:r>
        <w:rPr>
          <w:rFonts w:ascii="Times New Roman" w:hAnsi="Times New Roman"/>
          <w:sz w:val="24"/>
        </w:rPr>
        <w:t xml:space="preserve"> </w:t>
      </w:r>
      <w:r>
        <w:rPr>
          <w:rFonts w:ascii="Times New Roman" w:hAnsi="Times New Roman"/>
          <w:sz w:val="24"/>
        </w:rPr>
        <w:t xml:space="preserve">- MSE: 17.81</w:t>
      </w:r>
      <w:r>
        <w:rPr>
          <w:rFonts w:ascii="Times New Roman" w:hAnsi="Times New Roman"/>
          <w:sz w:val="24"/>
        </w:rPr>
        <w:t xml:space="preserve"> </w:t>
      </w:r>
      <w:r>
        <w:rPr>
          <w:rFonts w:ascii="Times New Roman" w:hAnsi="Times New Roman"/>
          <w:sz w:val="24"/>
        </w:rPr>
        <w:t xml:space="preserve">- Performance: 39% improvement over linear regression, demonstrating the value of capturing non-linear relationships and feature interactions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 Random Forest’s superior performance motivated our selection of tree-based methods for our primary predictive model.</w:t>
      </w:r>
    </w:p>
    <w:p>
      <w:pPr>
        <w:pStyle w:val="Heading4"/>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Classification Task: Water Pump Activation Prediction</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Logistic Regression</w:t>
      </w:r>
      <w:r>
        <w:rPr>
          <w:rFonts w:ascii="Times New Roman" w:hAnsi="Times New Roman"/>
          <w:sz w:val="24"/>
        </w:rPr>
        <w:t xml:space="preserve">: A logistic model with 1000 max iterations was trained to predict water pump actuator state (ON/OFF) from environmental and soil features plus water level. Despite class imbalance:</w:t>
      </w:r>
      <w:r>
        <w:rPr>
          <w:rFonts w:ascii="Times New Roman" w:hAnsi="Times New Roman"/>
          <w:sz w:val="24"/>
        </w:rPr>
        <w:t xml:space="preserve"> </w:t>
      </w:r>
      <w:r>
        <w:rPr>
          <w:rFonts w:ascii="Times New Roman" w:hAnsi="Times New Roman"/>
          <w:sz w:val="24"/>
        </w:rPr>
        <w:t xml:space="preserve">- Initial Accuracy: Low due to imbalanced classes</w:t>
      </w:r>
      <w:r>
        <w:rPr>
          <w:rFonts w:ascii="Times New Roman" w:hAnsi="Times New Roman"/>
          <w:sz w:val="24"/>
        </w:rPr>
        <w:t xml:space="preserve"> </w:t>
      </w:r>
      <w:r>
        <w:rPr>
          <w:rFonts w:ascii="Times New Roman" w:hAnsi="Times New Roman"/>
          <w:sz w:val="24"/>
        </w:rPr>
        <w:t xml:space="preserve">- Findings: Required class weights for meaningful learning beyond majority class prediction</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Random Forest Classifier</w:t>
      </w:r>
      <w:r>
        <w:rPr>
          <w:rFonts w:ascii="Times New Roman" w:hAnsi="Times New Roman"/>
          <w:sz w:val="24"/>
        </w:rPr>
        <w:t xml:space="preserve">: An ensemble classifier with 100 trees was trained on the same features:</w:t>
      </w:r>
      <w:r>
        <w:rPr>
          <w:rFonts w:ascii="Times New Roman" w:hAnsi="Times New Roman"/>
          <w:sz w:val="24"/>
        </w:rPr>
        <w:t xml:space="preserve"> </w:t>
      </w:r>
      <w:r>
        <w:rPr>
          <w:rFonts w:ascii="Times New Roman" w:hAnsi="Times New Roman"/>
          <w:sz w:val="24"/>
        </w:rPr>
        <w:t xml:space="preserve">- Accuracy: Substantially higher with balanced precision/recall</w:t>
      </w:r>
      <w:r>
        <w:rPr>
          <w:rFonts w:ascii="Times New Roman" w:hAnsi="Times New Roman"/>
          <w:sz w:val="24"/>
        </w:rPr>
        <w:t xml:space="preserve"> </w:t>
      </w:r>
      <w:r>
        <w:rPr>
          <w:rFonts w:ascii="Times New Roman" w:hAnsi="Times New Roman"/>
          <w:sz w:val="24"/>
        </w:rPr>
        <w:t xml:space="preserve">- Performance: Successfully learned minority class patterns despite imbalance</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These baseline results established that (1) ensemble methods outperform linear models for this dataset, and (2) class imbalance requires careful handling in classification tasks.</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Model 2: XGBoost Regression (Gradient-Boosted Trees)</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Building on the strong Random Forest results, we implemented an XGBoost regressor (Chen &amp; Guestrin, 2016) as our primary predictive model for humidity estimation.</w:t>
      </w:r>
    </w:p>
    <w:p>
      <w:pPr>
        <w:pStyle w:val="Heading4"/>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Model Architecture and Hyperparameters</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Target Variable</w:t>
      </w:r>
      <w:r>
        <w:rPr>
          <w:rFonts w:ascii="Times New Roman" w:hAnsi="Times New Roman"/>
          <w:sz w:val="24"/>
        </w:rPr>
        <w:t xml:space="preserve">: Humidity (0-100%)</w:t>
      </w:r>
      <w:r>
        <w:rPr>
          <w:rFonts w:ascii="Times New Roman" w:hAnsi="Times New Roman"/>
          <w:sz w:val="24"/>
        </w:rPr>
        <w:t xml:space="preserve"> </w:t>
      </w:r>
      <w:r>
        <w:rPr>
          <w:rFonts w:ascii="Times New Roman" w:hAnsi="Times New Roman"/>
          <w:b/>
          <w:bCs/>
          <w:sz w:val="24"/>
        </w:rPr>
        <w:t xml:space="preserve">Features</w:t>
      </w:r>
      <w:r>
        <w:rPr>
          <w:rFonts w:ascii="Times New Roman" w:hAnsi="Times New Roman"/>
          <w:sz w:val="24"/>
        </w:rPr>
        <w:t xml:space="preserve">: Temperature, water level, N, P, K, and three actuator states (8 features total)</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Hyperparameter Configuration</w:t>
      </w:r>
      <w:r>
        <w:rPr>
          <w:rFonts w:ascii="Times New Roman" w:hAnsi="Times New Roman"/>
          <w:sz w:val="24"/>
        </w:rPr>
        <w:t xml:space="preserve">:</w:t>
      </w:r>
    </w:p>
    <w:p>
      <w:pPr>
        <w:pStyle w:val="SourceCode"/>
      </w:pPr>
      <w:r>
        <w:rPr>
          <w:rStyle w:val="CommentTok"/>
        </w:rPr>
        <w:t xml:space="preserve"># Chen, T., &amp; Guestrin, C. (2016). XGBoost: A scalable tree boosting system.</w:t>
      </w:r>
      <w:r>
        <w:br/>
      </w:r>
      <w:r>
        <w:rPr>
          <w:rStyle w:val="CommentTok"/>
        </w:rPr>
        <w:t xml:space="preserve"># Proceedings of the 22nd ACM SIGKDD, 785–794. https://doi.org/10.1145/2939672.2939785</w:t>
      </w:r>
      <w:r>
        <w:br/>
      </w:r>
      <w:r>
        <w:rPr>
          <w:rStyle w:val="CommentTok"/>
        </w:rPr>
        <w:t xml:space="preserve"># Pedregosa, F., et al. (2011). Scikit-learn: Machine learning in Python.</w:t>
      </w:r>
      <w:r>
        <w:br/>
      </w:r>
      <w:r>
        <w:rPr>
          <w:rStyle w:val="CommentTok"/>
        </w:rPr>
        <w:t xml:space="preserve"># Journal of Machine Learning Research, 12, 2825–2830.</w:t>
      </w:r>
      <w:r>
        <w:br/>
      </w:r>
      <w:r>
        <w:rPr>
          <w:rStyle w:val="NormalTok"/>
        </w:rPr>
        <w:t xml:space="preserve">n_estimators: </w:t>
      </w:r>
      <w:r>
        <w:rPr>
          <w:rStyle w:val="DecValTok"/>
        </w:rPr>
        <w:t xml:space="preserve">300</w:t>
      </w:r>
      <w:r>
        <w:rPr>
          <w:rStyle w:val="NormalTok"/>
        </w:rPr>
        <w:t xml:space="preserve"> (number of boosting rounds)</w:t>
      </w:r>
      <w:r>
        <w:br/>
      </w:r>
      <w:r>
        <w:rPr>
          <w:rStyle w:val="NormalTok"/>
        </w:rPr>
        <w:t xml:space="preserve">max_depth: </w:t>
      </w:r>
      <w:r>
        <w:rPr>
          <w:rStyle w:val="DecValTok"/>
        </w:rPr>
        <w:t xml:space="preserve">6</w:t>
      </w:r>
      <w:r>
        <w:rPr>
          <w:rStyle w:val="NormalTok"/>
        </w:rPr>
        <w:t xml:space="preserve"> (tree complexity)</w:t>
      </w:r>
      <w:r>
        <w:br/>
      </w:r>
      <w:r>
        <w:rPr>
          <w:rStyle w:val="NormalTok"/>
        </w:rPr>
        <w:t xml:space="preserve">learning_rate: </w:t>
      </w:r>
      <w:r>
        <w:rPr>
          <w:rStyle w:val="FloatTok"/>
        </w:rPr>
        <w:t xml:space="preserve">0.1</w:t>
      </w:r>
      <w:r>
        <w:rPr>
          <w:rStyle w:val="NormalTok"/>
        </w:rPr>
        <w:t xml:space="preserve"> (conservative learning)</w:t>
      </w:r>
      <w:r>
        <w:br/>
      </w:r>
      <w:r>
        <w:rPr>
          <w:rStyle w:val="NormalTok"/>
        </w:rPr>
        <w:t xml:space="preserve">subsample: </w:t>
      </w:r>
      <w:r>
        <w:rPr>
          <w:rStyle w:val="FloatTok"/>
        </w:rPr>
        <w:t xml:space="preserve">0.8</w:t>
      </w:r>
      <w:r>
        <w:rPr>
          <w:rStyle w:val="NormalTok"/>
        </w:rPr>
        <w:t xml:space="preserve"> (</w:t>
      </w:r>
      <w:r>
        <w:rPr>
          <w:rStyle w:val="DecValTok"/>
        </w:rPr>
        <w:t xml:space="preserve">80</w:t>
      </w:r>
      <w:r>
        <w:rPr>
          <w:rStyle w:val="OperatorTok"/>
        </w:rPr>
        <w:t xml:space="preserve">%</w:t>
      </w:r>
      <w:r>
        <w:rPr>
          <w:rStyle w:val="NormalTok"/>
        </w:rPr>
        <w:t xml:space="preserve"> data per tree)</w:t>
      </w:r>
      <w:r>
        <w:br/>
      </w:r>
      <w:r>
        <w:rPr>
          <w:rStyle w:val="NormalTok"/>
        </w:rPr>
        <w:t xml:space="preserve">colsample_bytree: </w:t>
      </w:r>
      <w:r>
        <w:rPr>
          <w:rStyle w:val="FloatTok"/>
        </w:rPr>
        <w:t xml:space="preserve">0.8</w:t>
      </w:r>
      <w:r>
        <w:rPr>
          <w:rStyle w:val="NormalTok"/>
        </w:rPr>
        <w:t xml:space="preserve"> (</w:t>
      </w:r>
      <w:r>
        <w:rPr>
          <w:rStyle w:val="DecValTok"/>
        </w:rPr>
        <w:t xml:space="preserve">80</w:t>
      </w:r>
      <w:r>
        <w:rPr>
          <w:rStyle w:val="OperatorTok"/>
        </w:rPr>
        <w:t xml:space="preserve">%</w:t>
      </w:r>
      <w:r>
        <w:rPr>
          <w:rStyle w:val="NormalTok"/>
        </w:rPr>
        <w:t xml:space="preserve"> features per tree)</w:t>
      </w:r>
      <w:r>
        <w:br/>
      </w:r>
      <w:r>
        <w:rPr>
          <w:rStyle w:val="NormalTok"/>
        </w:rPr>
        <w:t xml:space="preserve">reg_alpha: </w:t>
      </w:r>
      <w:r>
        <w:rPr>
          <w:rStyle w:val="FloatTok"/>
        </w:rPr>
        <w:t xml:space="preserve">0.1</w:t>
      </w:r>
      <w:r>
        <w:rPr>
          <w:rStyle w:val="NormalTok"/>
        </w:rPr>
        <w:t xml:space="preserve"> (L1 regularization)</w:t>
      </w:r>
      <w:r>
        <w:br/>
      </w:r>
      <w:r>
        <w:rPr>
          <w:rStyle w:val="NormalTok"/>
        </w:rPr>
        <w:t xml:space="preserve">reg_lambda: </w:t>
      </w:r>
      <w:r>
        <w:rPr>
          <w:rStyle w:val="FloatTok"/>
        </w:rPr>
        <w:t xml:space="preserve">1.0</w:t>
      </w:r>
      <w:r>
        <w:rPr>
          <w:rStyle w:val="NormalTok"/>
        </w:rPr>
        <w:t xml:space="preserve"> (L2 regularization)</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 subsample and colsample parameters introduce stochastic elements that reduce overfitting, while regularization parameters prevent individual trees from becoming too complex. This configuration balances model capacity with generalization.</w:t>
      </w:r>
    </w:p>
    <w:p>
      <w:pPr>
        <w:pStyle w:val="Heading4"/>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Training Methodology</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 model was trained using an 80/20 train-test split (30,336 training samples, 7,584 test samples) with stratified random sampling. Features were standardized using StandardScaler fitted only on training data to prevent data leakage. Although XGBoost handles unstandardized features well, scaling improves feature importance comparability and maintains consistency with other models.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Training employed early stopping with evaluation sets to monitor overfitting. Learning curves showed rapid initial improvement (RMSE dropping from 49.47 to 7.13 in the first 50 rounds) followed by gradual refinement. By round 300, training RMSE reached 6.99 while test RMSE stabilized at 7.15, indicating minimal overfitting (gap of only 0.16).</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sz w:val="24"/>
        </w:rPr>
        <w:drawing>
          <wp:inline>
            <wp:extent cx="5943600" cy="3534032"/>
            <wp:effectExtent b="0" l="0" r="0" t="0"/>
            <wp:docPr descr="Figure 5: XGBoost Learning Curves" title="" id="41" name="Picture"/>
            <a:graphic>
              <a:graphicData uri="http://schemas.openxmlformats.org/drawingml/2006/picture">
                <pic:pic>
                  <pic:nvPicPr>
                    <pic:cNvPr descr="xgboost_learning_curves.png" id="42" name="Picture"/>
                    <pic:cNvPicPr>
                      <a:picLocks noChangeArrowheads="1" noChangeAspect="1"/>
                    </pic:cNvPicPr>
                  </pic:nvPicPr>
                  <pic:blipFill>
                    <a:blip r:embed="rId40"/>
                    <a:stretch>
                      <a:fillRect/>
                    </a:stretch>
                  </pic:blipFill>
                  <pic:spPr bwMode="auto">
                    <a:xfrm>
                      <a:off x="0" y="0"/>
                      <a:ext cx="5943600" cy="3534032"/>
                    </a:xfrm>
                    <a:prstGeom prst="rect">
                      <a:avLst/>
                    </a:prstGeom>
                    <a:noFill/>
                    <a:ln w="9525">
                      <a:noFill/>
                      <a:headEnd/>
                      <a:tailEnd/>
                    </a:ln>
                  </pic:spPr>
                </pic:pic>
              </a:graphicData>
            </a:graphic>
          </wp:inline>
        </w:drawing>
      </w:r>
      <w:r>
        <w:rPr>
          <w:rFonts w:ascii="Times New Roman" w:hAnsi="Times New Roman"/>
          <w:sz w:val="24"/>
        </w:rPr>
        <w:t xml:space="preserve"> </w:t>
      </w:r>
      <w:r>
        <w:rPr>
          <w:rFonts w:ascii="Times New Roman" w:hAnsi="Times New Roman"/>
          <w:i/>
          <w:iCs/>
          <w:sz w:val="24"/>
        </w:rPr>
        <w:t xml:space="preserve">Figure 5</w:t>
      </w:r>
      <w:r>
        <w:rPr>
          <w:rFonts w:ascii="Times New Roman" w:hAnsi="Times New Roman"/>
          <w:sz w:val="24"/>
        </w:rPr>
        <w:t xml:space="preserve">. Training progress showing RMSE for both training and test sets across 300 boosting rounds. The small gap between curves (0.16 RMSE) indicates minimal overfitting.</w:t>
      </w:r>
    </w:p>
    <w:p>
      <w:pPr>
        <w:pStyle w:val="Heading4"/>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Model Performance</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Quantitative Results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RMSE</w:t>
      </w:r>
      <w:r>
        <w:rPr>
          <w:rFonts w:ascii="Times New Roman" w:hAnsi="Times New Roman"/>
          <w:sz w:val="24"/>
        </w:rPr>
        <w:t xml:space="preserve">: 7.15% humidity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MAE</w:t>
      </w:r>
      <w:r>
        <w:rPr>
          <w:rFonts w:ascii="Times New Roman" w:hAnsi="Times New Roman"/>
          <w:sz w:val="24"/>
        </w:rPr>
        <w:t xml:space="preserve">: 4.06% humidity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R²</w:t>
      </w:r>
      <w:r>
        <w:rPr>
          <w:rFonts w:ascii="Times New Roman" w:hAnsi="Times New Roman"/>
          <w:sz w:val="24"/>
        </w:rPr>
        <w:t xml:space="preserve">: 0.9006 (explains 90.1% of humidity variance)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MSE</w:t>
      </w:r>
      <w:r>
        <w:rPr>
          <w:rFonts w:ascii="Times New Roman" w:hAnsi="Times New Roman"/>
          <w:sz w:val="24"/>
        </w:rPr>
        <w:t xml:space="preserve">: 51.15</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These metrics indicate strong predictive performance. The model’s predictions deviate from actual humidity by an average of 4.06 percentage points, with the R² value demonstrating that the model captures the vast majority of humidity variability.</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Residual Analysis</w:t>
      </w:r>
      <w:r>
        <w:rPr>
          <w:rFonts w:ascii="Times New Roman" w:hAnsi="Times New Roman"/>
          <w:sz w:val="24"/>
        </w:rPr>
        <w:t xml:space="preserve">: Residuals (actual - predicted) were approximately normally distributed with mean near zero, indicating unbiased predictions. Some heteroscedasticity was observed, with slightly larger errors in extreme humidity ranges (0-20% and 80-100%). This is expected as these ranges have fewer training examples and represent more extreme environmental conditions.</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sz w:val="24"/>
        </w:rPr>
        <w:drawing>
          <wp:inline>
            <wp:extent cx="5943600" cy="6157548"/>
            <wp:effectExtent b="0" l="0" r="0" t="0"/>
            <wp:docPr descr="Figure 6: Predicted vs Actual Humidity" title="" id="45" name="Picture"/>
            <a:graphic>
              <a:graphicData uri="http://schemas.openxmlformats.org/drawingml/2006/picture">
                <pic:pic>
                  <pic:nvPicPr>
                    <pic:cNvPr descr="predicted_vs_actual.png" id="46" name="Picture"/>
                    <pic:cNvPicPr>
                      <a:picLocks noChangeArrowheads="1" noChangeAspect="1"/>
                    </pic:cNvPicPr>
                  </pic:nvPicPr>
                  <pic:blipFill>
                    <a:blip r:embed="rId44"/>
                    <a:stretch>
                      <a:fillRect/>
                    </a:stretch>
                  </pic:blipFill>
                  <pic:spPr bwMode="auto">
                    <a:xfrm>
                      <a:off x="0" y="0"/>
                      <a:ext cx="5943600" cy="6157548"/>
                    </a:xfrm>
                    <a:prstGeom prst="rect">
                      <a:avLst/>
                    </a:prstGeom>
                    <a:noFill/>
                    <a:ln w="9525">
                      <a:noFill/>
                      <a:headEnd/>
                      <a:tailEnd/>
                    </a:ln>
                  </pic:spPr>
                </pic:pic>
              </a:graphicData>
            </a:graphic>
          </wp:inline>
        </w:drawing>
      </w:r>
      <w:r>
        <w:rPr>
          <w:rFonts w:ascii="Times New Roman" w:hAnsi="Times New Roman"/>
          <w:sz w:val="24"/>
        </w:rPr>
        <w:t xml:space="preserve"> </w:t>
      </w:r>
      <w:r>
        <w:rPr>
          <w:rFonts w:ascii="Times New Roman" w:hAnsi="Times New Roman"/>
          <w:i/>
          <w:iCs/>
          <w:sz w:val="24"/>
        </w:rPr>
        <w:t xml:space="preserve">Figure 6</w:t>
      </w:r>
      <w:r>
        <w:rPr>
          <w:rFonts w:ascii="Times New Roman" w:hAnsi="Times New Roman"/>
          <w:sz w:val="24"/>
        </w:rPr>
        <w:t xml:space="preserve">. Scatter plot of predicted versus actual humidity values with perfect prediction line (red dashed). Points cluster tightly around the diagonal, confirming R² of 0.90.</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b/>
          <w:bCs/>
          <w:sz w:val="24"/>
        </w:rPr>
        <w:t xml:space="preserve">Prediction Error by Range</w:t>
      </w:r>
      <w:r>
        <w:rPr>
          <w:rFonts w:ascii="Times New Roman" w:hAnsi="Times New Roman"/>
          <w:sz w:val="24"/>
        </w:rPr>
        <w:t xml:space="preserve">: Analysis of error across humidity bins revealed:</w:t>
      </w:r>
      <w:r>
        <w:rPr>
          <w:rFonts w:ascii="Times New Roman" w:hAnsi="Times New Roman"/>
          <w:sz w:val="24"/>
        </w:rPr>
        <w:t xml:space="preserve"> </w:t>
      </w:r>
      <w:r>
        <w:rPr>
          <w:rFonts w:ascii="Times New Roman" w:hAnsi="Times New Roman"/>
          <w:sz w:val="24"/>
        </w:rPr>
        <w:t xml:space="preserve">- Best performance: 40-60% humidity range (mean absolute error ~3.5%)</w:t>
      </w:r>
      <w:r>
        <w:rPr>
          <w:rFonts w:ascii="Times New Roman" w:hAnsi="Times New Roman"/>
          <w:sz w:val="24"/>
        </w:rPr>
        <w:t xml:space="preserve"> </w:t>
      </w:r>
      <w:r>
        <w:rPr>
          <w:rFonts w:ascii="Times New Roman" w:hAnsi="Times New Roman"/>
          <w:sz w:val="24"/>
        </w:rPr>
        <w:t xml:space="preserve">- Moderate performance: 20-40% and 60-80% ranges (~4-5% error)</w:t>
      </w:r>
      <w:r>
        <w:rPr>
          <w:rFonts w:ascii="Times New Roman" w:hAnsi="Times New Roman"/>
          <w:sz w:val="24"/>
        </w:rPr>
        <w:t xml:space="preserve"> </w:t>
      </w:r>
      <w:r>
        <w:rPr>
          <w:rFonts w:ascii="Times New Roman" w:hAnsi="Times New Roman"/>
          <w:sz w:val="24"/>
        </w:rPr>
        <w:t xml:space="preserve">- Weaker performance: Extreme ranges 0-20% and 80-100% (~6-8% error)</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This pattern reflects both the data distribution (most samples in middle ranges) and the physical complexity of extreme conditions.</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sz w:val="24"/>
        </w:rPr>
        <w:drawing>
          <wp:inline>
            <wp:extent cx="5943600" cy="1641143"/>
            <wp:effectExtent b="0" l="0" r="0" t="0"/>
            <wp:docPr descr="Figure 7: Residual Analysis" title="" id="48" name="Picture"/>
            <a:graphic>
              <a:graphicData uri="http://schemas.openxmlformats.org/drawingml/2006/picture">
                <pic:pic>
                  <pic:nvPicPr>
                    <pic:cNvPr descr="residual_analysis.png" id="49" name="Picture"/>
                    <pic:cNvPicPr>
                      <a:picLocks noChangeArrowheads="1" noChangeAspect="1"/>
                    </pic:cNvPicPr>
                  </pic:nvPicPr>
                  <pic:blipFill>
                    <a:blip r:embed="rId47"/>
                    <a:stretch>
                      <a:fillRect/>
                    </a:stretch>
                  </pic:blipFill>
                  <pic:spPr bwMode="auto">
                    <a:xfrm>
                      <a:off x="0" y="0"/>
                      <a:ext cx="5943600" cy="1641143"/>
                    </a:xfrm>
                    <a:prstGeom prst="rect">
                      <a:avLst/>
                    </a:prstGeom>
                    <a:noFill/>
                    <a:ln w="9525">
                      <a:noFill/>
                      <a:headEnd/>
                      <a:tailEnd/>
                    </a:ln>
                  </pic:spPr>
                </pic:pic>
              </a:graphicData>
            </a:graphic>
          </wp:inline>
        </w:drawing>
      </w:r>
      <w:r>
        <w:rPr>
          <w:rFonts w:ascii="Times New Roman" w:hAnsi="Times New Roman"/>
          <w:sz w:val="24"/>
        </w:rPr>
        <w:t xml:space="preserve"> </w:t>
      </w:r>
      <w:r>
        <w:rPr>
          <w:rFonts w:ascii="Times New Roman" w:hAnsi="Times New Roman"/>
          <w:i/>
          <w:iCs/>
          <w:sz w:val="24"/>
        </w:rPr>
        <w:t xml:space="preserve">Figure 7</w:t>
      </w:r>
      <w:r>
        <w:rPr>
          <w:rFonts w:ascii="Times New Roman" w:hAnsi="Times New Roman"/>
          <w:sz w:val="24"/>
        </w:rPr>
        <w:t xml:space="preserve">. Comprehensive residual analysis including residuals vs predicted (left), residual distribution (center), and Q-Q plot (right). The approximately normal distribution centered at zero indicates unbiased predictions.</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sz w:val="24"/>
        </w:rPr>
        <w:drawing>
          <wp:inline>
            <wp:extent cx="5943600" cy="3534032"/>
            <wp:effectExtent b="0" l="0" r="0" t="0"/>
            <wp:docPr descr="Figure 8: Error by Humidity Range" title="" id="51" name="Picture"/>
            <a:graphic>
              <a:graphicData uri="http://schemas.openxmlformats.org/drawingml/2006/picture">
                <pic:pic>
                  <pic:nvPicPr>
                    <pic:cNvPr descr="error_by_range.png" id="52" name="Picture"/>
                    <pic:cNvPicPr>
                      <a:picLocks noChangeArrowheads="1" noChangeAspect="1"/>
                    </pic:cNvPicPr>
                  </pic:nvPicPr>
                  <pic:blipFill>
                    <a:blip r:embed="rId50"/>
                    <a:stretch>
                      <a:fillRect/>
                    </a:stretch>
                  </pic:blipFill>
                  <pic:spPr bwMode="auto">
                    <a:xfrm>
                      <a:off x="0" y="0"/>
                      <a:ext cx="5943600" cy="3534032"/>
                    </a:xfrm>
                    <a:prstGeom prst="rect">
                      <a:avLst/>
                    </a:prstGeom>
                    <a:noFill/>
                    <a:ln w="9525">
                      <a:noFill/>
                      <a:headEnd/>
                      <a:tailEnd/>
                    </a:ln>
                  </pic:spPr>
                </pic:pic>
              </a:graphicData>
            </a:graphic>
          </wp:inline>
        </w:drawing>
      </w:r>
      <w:r>
        <w:rPr>
          <w:rFonts w:ascii="Times New Roman" w:hAnsi="Times New Roman"/>
          <w:sz w:val="24"/>
        </w:rPr>
        <w:t xml:space="preserve"> </w:t>
      </w:r>
      <w:r>
        <w:rPr>
          <w:rFonts w:ascii="Times New Roman" w:hAnsi="Times New Roman"/>
          <w:i/>
          <w:iCs/>
          <w:sz w:val="24"/>
        </w:rPr>
        <w:t xml:space="preserve">Figure 8</w:t>
      </w:r>
      <w:r>
        <w:rPr>
          <w:rFonts w:ascii="Times New Roman" w:hAnsi="Times New Roman"/>
          <w:sz w:val="24"/>
        </w:rPr>
        <w:t xml:space="preserve">. Mean absolute error across different humidity ranges. Performance is best in the 40-60% range where most training samples occur, with higher errors at extremes.</w:t>
      </w:r>
    </w:p>
    <w:p>
      <w:pPr>
        <w:pStyle w:val="Heading4"/>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Feature Importance</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XGBoost’s gain-based feature importance revealed which sensors contribute most to humidity predictions:</w:t>
      </w:r>
    </w:p>
    <w:p>
      <w:pPr>
        <w:pStyle w:val="Compact"/>
        <w:numPr>
          <w:ilvl w:val="0"/>
          <w:numId w:val="1003"/>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Watering_plant_pump_ON</w:t>
      </w:r>
      <w:r>
        <w:rPr>
          <w:rFonts w:ascii="Times New Roman" w:hAnsi="Times New Roman"/>
          <w:sz w:val="24"/>
        </w:rPr>
        <w:t xml:space="preserve">: 56,029 gain (88.5% normalized) - Dominant predictor</w:t>
      </w:r>
    </w:p>
    <w:p>
      <w:pPr>
        <w:pStyle w:val="Compact"/>
        <w:numPr>
          <w:ilvl w:val="0"/>
          <w:numId w:val="1003"/>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P (Phosphorus)</w:t>
      </w:r>
      <w:r>
        <w:rPr>
          <w:rFonts w:ascii="Times New Roman" w:hAnsi="Times New Roman"/>
          <w:sz w:val="24"/>
        </w:rPr>
        <w:t xml:space="preserve">: 2,521 gain (4.0%)</w:t>
      </w:r>
    </w:p>
    <w:p>
      <w:pPr>
        <w:pStyle w:val="Compact"/>
        <w:numPr>
          <w:ilvl w:val="0"/>
          <w:numId w:val="1003"/>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Water_pump_actuator_ON</w:t>
      </w:r>
      <w:r>
        <w:rPr>
          <w:rFonts w:ascii="Times New Roman" w:hAnsi="Times New Roman"/>
          <w:sz w:val="24"/>
        </w:rPr>
        <w:t xml:space="preserve">: 1,376 gain (2.2%)</w:t>
      </w:r>
    </w:p>
    <w:p>
      <w:pPr>
        <w:pStyle w:val="Compact"/>
        <w:numPr>
          <w:ilvl w:val="0"/>
          <w:numId w:val="1003"/>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N (Nitrogen)</w:t>
      </w:r>
      <w:r>
        <w:rPr>
          <w:rFonts w:ascii="Times New Roman" w:hAnsi="Times New Roman"/>
          <w:sz w:val="24"/>
        </w:rPr>
        <w:t xml:space="preserve">: 930 gain (1.5%)</w:t>
      </w:r>
    </w:p>
    <w:p>
      <w:pPr>
        <w:pStyle w:val="Compact"/>
        <w:numPr>
          <w:ilvl w:val="0"/>
          <w:numId w:val="1003"/>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K (Potassium)</w:t>
      </w:r>
      <w:r>
        <w:rPr>
          <w:rFonts w:ascii="Times New Roman" w:hAnsi="Times New Roman"/>
          <w:sz w:val="24"/>
        </w:rPr>
        <w:t xml:space="preserve">: 767 gain (1.2%)</w:t>
      </w:r>
    </w:p>
    <w:p>
      <w:pPr>
        <w:pStyle w:val="Compact"/>
        <w:numPr>
          <w:ilvl w:val="0"/>
          <w:numId w:val="1003"/>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Temperature</w:t>
      </w:r>
      <w:r>
        <w:rPr>
          <w:rFonts w:ascii="Times New Roman" w:hAnsi="Times New Roman"/>
          <w:sz w:val="24"/>
        </w:rPr>
        <w:t xml:space="preserve">: 636 gain (1.0%)</w:t>
      </w:r>
    </w:p>
    <w:p>
      <w:pPr>
        <w:pStyle w:val="Compact"/>
        <w:numPr>
          <w:ilvl w:val="0"/>
          <w:numId w:val="1003"/>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Water_level</w:t>
      </w:r>
      <w:r>
        <w:rPr>
          <w:rFonts w:ascii="Times New Roman" w:hAnsi="Times New Roman"/>
          <w:sz w:val="24"/>
        </w:rPr>
        <w:t xml:space="preserve">: 626 gain (1.0%)</w:t>
      </w:r>
    </w:p>
    <w:p>
      <w:pPr>
        <w:pStyle w:val="Compact"/>
        <w:numPr>
          <w:ilvl w:val="0"/>
          <w:numId w:val="1003"/>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Fan_actuator_ON</w:t>
      </w:r>
      <w:r>
        <w:rPr>
          <w:rFonts w:ascii="Times New Roman" w:hAnsi="Times New Roman"/>
          <w:sz w:val="24"/>
        </w:rPr>
        <w:t xml:space="preserve">: 404 gain (0.6%)</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 watering pump’s overwhelming dominance makes physical sense—activating irrigation directly adds moisture to the greenhouse environment. The relatively minor contribution of temperature is surprising given its strong correlation with humidity, suggesting that actuator states provide more direct causal information. Fan activation’s low importance despite its correlation with humidity may indicate that the fan responds to humidity rather than predicting it.</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These importance scores provide interpretability crucial for IoT deployment. If sensors fail or require maintenance, this ranking indicates which failures most severely impact prediction capability.</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b/>
          <w:bCs/>
          <w:sz w:val="24"/>
        </w:rPr>
        <w:t xml:space="preserve">Table 3</w:t>
      </w:r>
      <w:r>
        <w:rPr>
          <w:rFonts w:ascii="Times New Roman" w:hAnsi="Times New Roman"/>
          <w:sz w:val="24"/>
        </w:rPr>
        <w:t xml:space="preserve"> </w:t>
      </w:r>
      <w:r>
        <w:rPr>
          <w:rFonts w:ascii="Times New Roman" w:hAnsi="Times New Roman"/>
          <w:i/>
          <w:iCs/>
          <w:sz w:val="24"/>
        </w:rPr>
        <w:t xml:space="preserve">XGBoost Feature Importance for Humidity Prediction</w:t>
      </w:r>
    </w:p>
    <w:tbl>
      <w:tblPr>
        <w:tblStyle w:val="Table"/>
        <w:tblW w:type="pct" w:w="5000"/>
        <w:tblLayout w:type="fixed"/>
        <w:tblLook w:firstRow="1" w:lastRow="0" w:firstColumn="0" w:lastColumn="0" w:noHBand="0" w:noVBand="0" w:val="0020"/>
        <w:tblBorders>
          <w:top w:val="none" w:sz="0" w:space="0" w:color="auto"/>
          <w:start w:val="none" w:sz="0" w:space="0" w:color="auto"/>
          <w:bottom w:val="none" w:sz="0" w:space="0" w:color="auto"/>
          <w:end w:val="none" w:sz="0" w:space="0" w:color="auto"/>
          <w:insideH w:val="none" w:sz="0" w:space="0" w:color="auto"/>
          <w:insideV w:val="none" w:sz="0" w:space="0" w:color="auto"/>
        </w:tblBorders>
      </w:tblPr>
      <w:tblGrid>
        <w:gridCol w:w="552"/>
        <w:gridCol w:w="828"/>
        <w:gridCol w:w="552"/>
        <w:gridCol w:w="2026"/>
        <w:gridCol w:w="1749"/>
        <w:gridCol w:w="2210"/>
      </w:tblGrid>
      <w:tr>
        <w:trPr>
          <w:tblHeader w:val="on"/>
        </w:trPr>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Rank</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Feature</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Gain</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Normalized Importance</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Weight (Frequency)</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Physical Interpretation</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Watering_plant_pump_ON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56,029</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88.5%</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1,847</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Direct moisture addition</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2</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P (Phosphorus)</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2,521</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4.0%</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1,234</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Soil moisture retention</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3</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Water_pump_actuator_ON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1,376</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2.2%</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982</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Reservoir management</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4</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N (Nitrogen)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930</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1.5%</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1,156</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Soil composition indicator</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5</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K (Potassium)</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767</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1.2%</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1,089</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Soil composition indicator</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6</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tempreature</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636</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1.0%</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1,421</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Inverse relationship with RH</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7</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water_level</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626</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1.0%</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1,203</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Water availability proxy</w:t>
            </w:r>
          </w:p>
        </w:tc>
      </w:tr>
      <w:tr>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8</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Fan_actuator_ON</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404</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0.6%</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1,067</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Air circulation/dehumidification</w:t>
            </w:r>
          </w:p>
        </w:tc>
      </w:tr>
    </w:tbl>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Gain = Total improvement in accuracy from splits using this feature. Normalized Importance = Gain divided by total gain across all features. Weight = Number of times feature used in tree splits. The dominant importance of watering pump (88.5%) indicates direct causal relationship with humidity.</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sz w:val="24"/>
        </w:rPr>
        <w:drawing>
          <wp:inline>
            <wp:extent cx="5943600" cy="3531646"/>
            <wp:effectExtent b="0" l="0" r="0" t="0"/>
            <wp:docPr descr="Figure 9: Feature Importance" title="" id="55" name="Picture"/>
            <a:graphic>
              <a:graphicData uri="http://schemas.openxmlformats.org/drawingml/2006/picture">
                <pic:pic>
                  <pic:nvPicPr>
                    <pic:cNvPr descr="feature_importance.png" id="56" name="Picture"/>
                    <pic:cNvPicPr>
                      <a:picLocks noChangeArrowheads="1" noChangeAspect="1"/>
                    </pic:cNvPicPr>
                  </pic:nvPicPr>
                  <pic:blipFill>
                    <a:blip r:embed="rId54"/>
                    <a:stretch>
                      <a:fillRect/>
                    </a:stretch>
                  </pic:blipFill>
                  <pic:spPr bwMode="auto">
                    <a:xfrm>
                      <a:off x="0" y="0"/>
                      <a:ext cx="5943600" cy="3531646"/>
                    </a:xfrm>
                    <a:prstGeom prst="rect">
                      <a:avLst/>
                    </a:prstGeom>
                    <a:noFill/>
                    <a:ln w="9525">
                      <a:noFill/>
                      <a:headEnd/>
                      <a:tailEnd/>
                    </a:ln>
                  </pic:spPr>
                </pic:pic>
              </a:graphicData>
            </a:graphic>
          </wp:inline>
        </w:drawing>
      </w:r>
      <w:r>
        <w:rPr>
          <w:rFonts w:ascii="Times New Roman" w:hAnsi="Times New Roman"/>
          <w:sz w:val="24"/>
        </w:rPr>
        <w:t xml:space="preserve"> </w:t>
      </w:r>
      <w:r>
        <w:rPr>
          <w:rFonts w:ascii="Times New Roman" w:hAnsi="Times New Roman"/>
          <w:i/>
          <w:iCs/>
          <w:sz w:val="24"/>
        </w:rPr>
        <w:t xml:space="preserve">Figure 9</w:t>
      </w:r>
      <w:r>
        <w:rPr>
          <w:rFonts w:ascii="Times New Roman" w:hAnsi="Times New Roman"/>
          <w:sz w:val="24"/>
        </w:rPr>
        <w:t xml:space="preserve">. XGBoost feature importance (gain-based) for humidity prediction. Watering pump dominates with 88.5% of total importance, followed distantly by phosphorus (4.0%) and other features.</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sz w:val="24"/>
        </w:rPr>
        <w:drawing>
          <wp:inline>
            <wp:extent cx="5943600" cy="1697541"/>
            <wp:effectExtent b="0" l="0" r="0" t="0"/>
            <wp:docPr descr="Figure 10: Multi-Perspective Feature Importance" title="" id="58" name="Picture"/>
            <a:graphic>
              <a:graphicData uri="http://schemas.openxmlformats.org/drawingml/2006/picture">
                <pic:pic>
                  <pic:nvPicPr>
                    <pic:cNvPr descr="feature_importance_multi.png" id="59" name="Picture"/>
                    <pic:cNvPicPr>
                      <a:picLocks noChangeArrowheads="1" noChangeAspect="1"/>
                    </pic:cNvPicPr>
                  </pic:nvPicPr>
                  <pic:blipFill>
                    <a:blip r:embed="rId57"/>
                    <a:stretch>
                      <a:fillRect/>
                    </a:stretch>
                  </pic:blipFill>
                  <pic:spPr bwMode="auto">
                    <a:xfrm>
                      <a:off x="0" y="0"/>
                      <a:ext cx="5943600" cy="1697541"/>
                    </a:xfrm>
                    <a:prstGeom prst="rect">
                      <a:avLst/>
                    </a:prstGeom>
                    <a:noFill/>
                    <a:ln w="9525">
                      <a:noFill/>
                      <a:headEnd/>
                      <a:tailEnd/>
                    </a:ln>
                  </pic:spPr>
                </pic:pic>
              </a:graphicData>
            </a:graphic>
          </wp:inline>
        </w:drawing>
      </w:r>
      <w:r>
        <w:rPr>
          <w:rFonts w:ascii="Times New Roman" w:hAnsi="Times New Roman"/>
          <w:sz w:val="24"/>
        </w:rPr>
        <w:t xml:space="preserve"> </w:t>
      </w:r>
      <w:r>
        <w:rPr>
          <w:rFonts w:ascii="Times New Roman" w:hAnsi="Times New Roman"/>
          <w:i/>
          <w:iCs/>
          <w:sz w:val="24"/>
        </w:rPr>
        <w:t xml:space="preserve">Figure 10</w:t>
      </w:r>
      <w:r>
        <w:rPr>
          <w:rFonts w:ascii="Times New Roman" w:hAnsi="Times New Roman"/>
          <w:sz w:val="24"/>
        </w:rPr>
        <w:t xml:space="preserve">. Feature importance from three perspectives: frequency (weight), average gain, and average coverage. Watering pump consistently ranks highest across all metrics.</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Model 3: LSTM (Deep Learning Time-Series Analysis)</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Unlike XGBoost’s cross-sensor regression (predicting current humidity from simultaneous sensor readings), the LSTM (Hochreiter &amp; Schmidhuber, 1997; Goodfellow et al., 2016) performs</w:t>
      </w:r>
      <w:r>
        <w:rPr>
          <w:rFonts w:ascii="Times New Roman" w:hAnsi="Times New Roman"/>
          <w:sz w:val="24"/>
        </w:rPr>
        <w:t xml:space="preserve"> </w:t>
      </w:r>
      <w:r>
        <w:rPr>
          <w:rFonts w:ascii="Times New Roman" w:hAnsi="Times New Roman"/>
          <w:b/>
          <w:bCs/>
          <w:sz w:val="24"/>
        </w:rPr>
        <w:t xml:space="preserve">time-series forecasting</w:t>
      </w:r>
      <w:r>
        <w:rPr>
          <w:rFonts w:ascii="Times New Roman" w:hAnsi="Times New Roman"/>
          <w:sz w:val="24"/>
        </w:rPr>
        <w:t xml:space="preserve"> </w:t>
      </w:r>
      <w:r>
        <w:rPr>
          <w:rFonts w:ascii="Times New Roman" w:hAnsi="Times New Roman"/>
          <w:sz w:val="24"/>
        </w:rPr>
        <w:t xml:space="preserve">— predicting future water level values from historical sequences. This makes the two models complementary: XGBoost answers</w:t>
      </w:r>
      <w:r>
        <w:rPr>
          <w:rFonts w:ascii="Times New Roman" w:hAnsi="Times New Roman"/>
          <w:sz w:val="24"/>
        </w:rPr>
        <w:t xml:space="preserve"> </w:t>
      </w:r>
      <w:r>
        <w:rPr>
          <w:rFonts w:ascii="Times New Roman" w:hAnsi="Times New Roman"/>
          <w:sz w:val="24"/>
        </w:rPr>
        <w:t xml:space="preserve">“what should this sensor read</w:t>
      </w:r>
      <w:r>
        <w:rPr>
          <w:rFonts w:ascii="Times New Roman" w:hAnsi="Times New Roman"/>
          <w:sz w:val="24"/>
        </w:rPr>
        <w:t xml:space="preserve"> </w:t>
      </w:r>
      <w:r>
        <w:rPr>
          <w:rFonts w:ascii="Times New Roman" w:hAnsi="Times New Roman"/>
          <w:i/>
          <w:iCs/>
          <w:sz w:val="24"/>
        </w:rPr>
        <w:t xml:space="preserve">now</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while LSTM answers</w:t>
      </w:r>
      <w:r>
        <w:rPr>
          <w:rFonts w:ascii="Times New Roman" w:hAnsi="Times New Roman"/>
          <w:sz w:val="24"/>
        </w:rPr>
        <w:t xml:space="preserve"> </w:t>
      </w:r>
      <w:r>
        <w:rPr>
          <w:rFonts w:ascii="Times New Roman" w:hAnsi="Times New Roman"/>
          <w:sz w:val="24"/>
        </w:rPr>
        <w:t xml:space="preserve">“what will this sensor read</w:t>
      </w:r>
      <w:r>
        <w:rPr>
          <w:rFonts w:ascii="Times New Roman" w:hAnsi="Times New Roman"/>
          <w:sz w:val="24"/>
        </w:rPr>
        <w:t xml:space="preserve"> </w:t>
      </w:r>
      <w:r>
        <w:rPr>
          <w:rFonts w:ascii="Times New Roman" w:hAnsi="Times New Roman"/>
          <w:i/>
          <w:iCs/>
          <w:sz w:val="24"/>
        </w:rPr>
        <w:t xml:space="preserve">next</w:t>
      </w:r>
      <w:r>
        <w:rPr>
          <w:rFonts w:ascii="Times New Roman" w:hAnsi="Times New Roman"/>
          <w:sz w:val="24"/>
        </w:rPr>
        <w:t xml:space="preserve">?”</w:t>
      </w:r>
    </w:p>
    <w:p>
      <w:pPr>
        <w:pStyle w:val="Heading4"/>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Model Architecture</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Target Variable</w:t>
      </w:r>
      <w:r>
        <w:rPr>
          <w:rFonts w:ascii="Times New Roman" w:hAnsi="Times New Roman"/>
          <w:sz w:val="24"/>
        </w:rPr>
        <w:t xml:space="preserve">: Water level (%)</w:t>
      </w:r>
      <w:r>
        <w:rPr>
          <w:rFonts w:ascii="Times New Roman" w:hAnsi="Times New Roman"/>
          <w:sz w:val="24"/>
        </w:rPr>
        <w:t xml:space="preserve"> </w:t>
      </w:r>
      <w:r>
        <w:rPr>
          <w:rFonts w:ascii="Times New Roman" w:hAnsi="Times New Roman"/>
          <w:b/>
          <w:bCs/>
          <w:sz w:val="24"/>
        </w:rPr>
        <w:t xml:space="preserve">Input</w:t>
      </w:r>
      <w:r>
        <w:rPr>
          <w:rFonts w:ascii="Times New Roman" w:hAnsi="Times New Roman"/>
          <w:sz w:val="24"/>
        </w:rPr>
        <w:t xml:space="preserve">: Historical sequence of 14 features (environmental, soil, actuator, and temporal features)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Architecture</w:t>
      </w:r>
      <w:r>
        <w:rPr>
          <w:rFonts w:ascii="Times New Roman" w:hAnsi="Times New Roman"/>
          <w:sz w:val="24"/>
        </w:rPr>
        <w:t xml:space="preserve">:</w:t>
      </w:r>
    </w:p>
    <w:p>
      <w:pPr>
        <w:pStyle w:val="SourceCode"/>
      </w:pPr>
      <w:r>
        <w:rPr>
          <w:rStyle w:val="CommentTok"/>
        </w:rPr>
        <w:t xml:space="preserve"># Hochreiter, S., &amp; Schmidhuber, J. (1997). Long short-term memory.</w:t>
      </w:r>
      <w:r>
        <w:br/>
      </w:r>
      <w:r>
        <w:rPr>
          <w:rStyle w:val="CommentTok"/>
        </w:rPr>
        <w:t xml:space="preserve"># Neural Computation, 9(8), 1735–1780. https://doi.org/10.1162/neco.1997.9.8.1735</w:t>
      </w:r>
      <w:r>
        <w:br/>
      </w:r>
      <w:r>
        <w:rPr>
          <w:rStyle w:val="CommentTok"/>
        </w:rPr>
        <w:t xml:space="preserve"># Goodfellow, I., Bengio, Y., &amp; Courville, A. (2016). Deep learning. MIT Press.</w:t>
      </w:r>
      <w:r>
        <w:br/>
      </w:r>
      <w:r>
        <w:rPr>
          <w:rStyle w:val="NormalTok"/>
        </w:rPr>
        <w:t xml:space="preserve">Input Layer: (batch_size, </w:t>
      </w:r>
      <w:r>
        <w:rPr>
          <w:rStyle w:val="DecValTok"/>
        </w:rPr>
        <w:t xml:space="preserve">1</w:t>
      </w:r>
      <w:r>
        <w:rPr>
          <w:rStyle w:val="NormalTok"/>
        </w:rPr>
        <w:t xml:space="preserve">, </w:t>
      </w:r>
      <w:r>
        <w:rPr>
          <w:rStyle w:val="DecValTok"/>
        </w:rPr>
        <w:t xml:space="preserve">14</w:t>
      </w:r>
      <w:r>
        <w:rPr>
          <w:rStyle w:val="NormalTok"/>
        </w:rPr>
        <w:t xml:space="preserve">) </w:t>
      </w:r>
      <w:r>
        <w:rPr>
          <w:rStyle w:val="OperatorTok"/>
        </w:rPr>
        <w:t xml:space="preserve">-</w:t>
      </w:r>
      <w:r>
        <w:rPr>
          <w:rStyle w:val="NormalTok"/>
        </w:rPr>
        <w:t xml:space="preserve"> Single timestep </w:t>
      </w:r>
      <w:r>
        <w:rPr>
          <w:rStyle w:val="ControlFlowTok"/>
        </w:rPr>
        <w:t xml:space="preserve">with</w:t>
      </w:r>
      <w:r>
        <w:rPr>
          <w:rStyle w:val="NormalTok"/>
        </w:rPr>
        <w:t xml:space="preserve"> </w:t>
      </w:r>
      <w:r>
        <w:rPr>
          <w:rStyle w:val="DecValTok"/>
        </w:rPr>
        <w:t xml:space="preserve">14</w:t>
      </w:r>
      <w:r>
        <w:rPr>
          <w:rStyle w:val="NormalTok"/>
        </w:rPr>
        <w:t xml:space="preserve"> features</w:t>
      </w:r>
      <w:r>
        <w:br/>
      </w:r>
      <w:r>
        <w:rPr>
          <w:rStyle w:val="NormalTok"/>
        </w:rPr>
        <w:t xml:space="preserve">LSTM Layer: </w:t>
      </w:r>
      <w:r>
        <w:rPr>
          <w:rStyle w:val="DecValTok"/>
        </w:rPr>
        <w:t xml:space="preserve">128</w:t>
      </w:r>
      <w:r>
        <w:rPr>
          <w:rStyle w:val="NormalTok"/>
        </w:rPr>
        <w:t xml:space="preserve"> units </w:t>
      </w:r>
      <w:r>
        <w:rPr>
          <w:rStyle w:val="ControlFlowTok"/>
        </w:rPr>
        <w:t xml:space="preserve">with</w:t>
      </w:r>
      <w:r>
        <w:rPr>
          <w:rStyle w:val="NormalTok"/>
        </w:rPr>
        <w:t xml:space="preserve"> tanh activation</w:t>
      </w:r>
      <w:r>
        <w:br/>
      </w:r>
      <w:r>
        <w:rPr>
          <w:rStyle w:val="NormalTok"/>
        </w:rPr>
        <w:t xml:space="preserve">Dropout Layer: </w:t>
      </w:r>
      <w:r>
        <w:rPr>
          <w:rStyle w:val="FloatTok"/>
        </w:rPr>
        <w:t xml:space="preserve">0.2</w:t>
      </w:r>
      <w:r>
        <w:rPr>
          <w:rStyle w:val="NormalTok"/>
        </w:rPr>
        <w:t xml:space="preserve"> dropout rate (regularization)</w:t>
      </w:r>
      <w:r>
        <w:br/>
      </w:r>
      <w:r>
        <w:rPr>
          <w:rStyle w:val="NormalTok"/>
        </w:rPr>
        <w:t xml:space="preserve">Dense Output Layer: </w:t>
      </w:r>
      <w:r>
        <w:rPr>
          <w:rStyle w:val="DecValTok"/>
        </w:rPr>
        <w:t xml:space="preserve">1</w:t>
      </w:r>
      <w:r>
        <w:rPr>
          <w:rStyle w:val="NormalTok"/>
        </w:rPr>
        <w:t xml:space="preserve"> unit (water level prediction)</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Compilation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Optimizer: Adam (adaptive learning rate)</w:t>
      </w:r>
      <w:r>
        <w:rPr>
          <w:rFonts w:ascii="Times New Roman" w:hAnsi="Times New Roman"/>
          <w:sz w:val="24"/>
        </w:rPr>
        <w:t xml:space="preserve"> </w:t>
      </w:r>
      <w:r>
        <w:rPr>
          <w:rFonts w:ascii="Times New Roman" w:hAnsi="Times New Roman"/>
          <w:sz w:val="24"/>
        </w:rPr>
        <w:t xml:space="preserve">- Loss Function: Mean Squared Error (MSE)</w:t>
      </w:r>
      <w:r>
        <w:rPr>
          <w:rFonts w:ascii="Times New Roman" w:hAnsi="Times New Roman"/>
          <w:sz w:val="24"/>
        </w:rPr>
        <w:t xml:space="preserve"> </w:t>
      </w:r>
      <w:r>
        <w:rPr>
          <w:rFonts w:ascii="Times New Roman" w:hAnsi="Times New Roman"/>
          <w:sz w:val="24"/>
        </w:rPr>
        <w:t xml:space="preserve">- Metrics: Mean Absolute Error (MAE)</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 single-timestep configuration was chosen as a starting point, with future work planned to implement multi-timestep sequences for deeper temporal pattern learning.</w:t>
      </w:r>
    </w:p>
    <w:p>
      <w:pPr>
        <w:pStyle w:val="Heading4"/>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Training Process</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 model was trained for 10 epochs with batch size of 32 on 30,336 training samples. Training curves showed rapid convergence:</w:t>
      </w:r>
    </w:p>
    <w:p>
      <w:pPr>
        <w:pStyle w:val="Compact"/>
        <w:numPr>
          <w:ilvl w:val="0"/>
          <w:numId w:val="1004"/>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Epoch 1</w:t>
      </w:r>
      <w:r>
        <w:rPr>
          <w:rFonts w:ascii="Times New Roman" w:hAnsi="Times New Roman"/>
          <w:sz w:val="24"/>
        </w:rPr>
        <w:t xml:space="preserve">: Loss 5473.06, MAE 65.43</w:t>
      </w:r>
    </w:p>
    <w:p>
      <w:pPr>
        <w:pStyle w:val="Compact"/>
        <w:numPr>
          <w:ilvl w:val="0"/>
          <w:numId w:val="1004"/>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Epoch 5</w:t>
      </w:r>
      <w:r>
        <w:rPr>
          <w:rFonts w:ascii="Times New Roman" w:hAnsi="Times New Roman"/>
          <w:sz w:val="24"/>
        </w:rPr>
        <w:t xml:space="preserve">: Loss 109.19, MAE 6.94</w:t>
      </w:r>
    </w:p>
    <w:p>
      <w:pPr>
        <w:pStyle w:val="Compact"/>
        <w:numPr>
          <w:ilvl w:val="0"/>
          <w:numId w:val="1004"/>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Epoch 10</w:t>
      </w:r>
      <w:r>
        <w:rPr>
          <w:rFonts w:ascii="Times New Roman" w:hAnsi="Times New Roman"/>
          <w:sz w:val="24"/>
        </w:rPr>
        <w:t xml:space="preserve">: Loss 85.89, MAE 6.16</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 dramatic first-epoch loss reduction indicates the model quickly learned basic patterns, while subsequent refinement improved precision. The final MAE of 6.16% represents reasonable performance for water level prediction, though direct comparison with XGBoost is inappropriate given the different prediction tasks.</w:t>
      </w:r>
    </w:p>
    <w:p>
      <w:pPr>
        <w:pStyle w:val="Heading4"/>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Performance Considerations</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 LSTM’s 73,345 trainable parameters and sequential computation requirements make it more computationally intensive than tree-based models. Training time was approximately 40 seconds for 10 epochs, compared to ~5 seconds for XGBoost with 300 trees. This performance gap is significant for edge deployment scenarios where computational resources are constrained.</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However, the LSTM’s strength lies in its ability to learn temporal dependencies that tree-based models cannot capture. As the sequence length increases (moving beyond single-timestep), the LSTM can identify patterns like</w:t>
      </w:r>
      <w:r>
        <w:rPr>
          <w:rFonts w:ascii="Times New Roman" w:hAnsi="Times New Roman"/>
          <w:sz w:val="24"/>
        </w:rPr>
        <w:t xml:space="preserve"> </w:t>
      </w:r>
      <w:r>
        <w:rPr>
          <w:rFonts w:ascii="Times New Roman" w:hAnsi="Times New Roman"/>
          <w:sz w:val="24"/>
        </w:rPr>
        <w:t xml:space="preserve">“water level typically drops 2 hours after watering pump deactivation”</w:t>
      </w:r>
      <w:r>
        <w:rPr>
          <w:rFonts w:ascii="Times New Roman" w:hAnsi="Times New Roman"/>
          <w:sz w:val="24"/>
        </w:rPr>
        <w:t xml:space="preserve"> </w:t>
      </w:r>
      <w:r>
        <w:rPr>
          <w:rFonts w:ascii="Times New Roman" w:hAnsi="Times New Roman"/>
          <w:sz w:val="24"/>
        </w:rPr>
        <w:t xml:space="preserve">that would be invisible to XGBoost without explicit lag features.</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Addressing Class Imbalance</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For classification tasks (actuator prediction), class imbalance was addressed through multiple strategies:</w:t>
      </w:r>
    </w:p>
    <w:p>
      <w:pPr>
        <w:pStyle w:val="Compact"/>
        <w:numPr>
          <w:ilvl w:val="0"/>
          <w:numId w:val="1005"/>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Stratified Splitting</w:t>
      </w:r>
      <w:r>
        <w:rPr>
          <w:rFonts w:ascii="Times New Roman" w:hAnsi="Times New Roman"/>
          <w:sz w:val="24"/>
        </w:rPr>
        <w:t xml:space="preserve">: Train-test splits maintained original class proportions</w:t>
      </w:r>
    </w:p>
    <w:p>
      <w:pPr>
        <w:pStyle w:val="Compact"/>
        <w:numPr>
          <w:ilvl w:val="0"/>
          <w:numId w:val="1005"/>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Evaluation Metrics</w:t>
      </w:r>
      <w:r>
        <w:rPr>
          <w:rFonts w:ascii="Times New Roman" w:hAnsi="Times New Roman"/>
          <w:sz w:val="24"/>
        </w:rPr>
        <w:t xml:space="preserve">: Reported precision, recall, F1-score, and confusion matrices rather than accuracy alone</w:t>
      </w:r>
    </w:p>
    <w:p>
      <w:pPr>
        <w:pStyle w:val="Compact"/>
        <w:numPr>
          <w:ilvl w:val="0"/>
          <w:numId w:val="1005"/>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Class Weights</w:t>
      </w:r>
      <w:r>
        <w:rPr>
          <w:rFonts w:ascii="Times New Roman" w:hAnsi="Times New Roman"/>
          <w:sz w:val="24"/>
        </w:rPr>
        <w:t xml:space="preserve">: Planned implementation with</w:t>
      </w:r>
      <w:r>
        <w:rPr>
          <w:rFonts w:ascii="Times New Roman" w:hAnsi="Times New Roman"/>
          <w:sz w:val="24"/>
        </w:rPr>
        <w:t xml:space="preserve"> </w:t>
      </w:r>
      <w:r>
        <w:rPr>
          <w:rStyle w:val="VerbatimChar"/>
          <w:rFonts w:ascii="Times New Roman" w:hAnsi="Times New Roman"/>
          <w:sz w:val="24"/>
        </w:rPr>
        <w:t xml:space="preserve">class_weight='balanced'</w:t>
      </w:r>
      <w:r>
        <w:rPr>
          <w:rFonts w:ascii="Times New Roman" w:hAnsi="Times New Roman"/>
          <w:sz w:val="24"/>
        </w:rPr>
        <w:t xml:space="preserve"> </w:t>
      </w:r>
      <w:r>
        <w:rPr>
          <w:rFonts w:ascii="Times New Roman" w:hAnsi="Times New Roman"/>
          <w:sz w:val="24"/>
        </w:rPr>
        <w:t xml:space="preserve">in sklearn classifiers</w:t>
      </w:r>
    </w:p>
    <w:p>
      <w:pPr>
        <w:pStyle w:val="Compact"/>
        <w:numPr>
          <w:ilvl w:val="0"/>
          <w:numId w:val="1005"/>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Undersampling</w:t>
      </w:r>
      <w:r>
        <w:rPr>
          <w:rFonts w:ascii="Times New Roman" w:hAnsi="Times New Roman"/>
          <w:sz w:val="24"/>
        </w:rPr>
        <w:t xml:space="preserve">: For the Random Forest with sufficient sample size, we experimented with random undersampling of the majority class</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Results from the Random Forest classifier with class weights showed improved minority class detection compared to the unweighted baseline, validating this approach for handling imbalance.</w:t>
      </w:r>
    </w:p>
    <w:p>
      <w:r>
        <w:pict>
          <v:rect style="width:0;height:1.5pt" o:hralign="center" o:hrstd="t" o:hr="t"/>
        </w:pict>
      </w:r>
    </w:p>
    <w:p>
      <w:pPr>
        <w:pStyle w:val="Heading2"/>
        <w:spacing w:line="480" w:lineRule="auto" w:before="0" w:after="0"/>
        <w:ind w:firstLine="0"/>
        <w:jc w:val="left"/>
        <w:rPr>
          <w:rFonts w:ascii="Times New Roman" w:hAnsi="Times New Roman" w:cs="Times New Roman"/>
          <w:sz w:val="24"/>
          <w:szCs w:val="24"/>
        </w:rPr>
      </w:pPr>
      <w:r>
        <w:rPr>
          <w:rFonts w:ascii="Times New Roman" w:hAnsi="Times New Roman"/>
          <w:b/>
          <w:i w:val="0"/>
          <w:sz w:val="24"/>
        </w:rPr>
        <w:t xml:space="preserve">Results and Discussion</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Model Performance Comparison</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Our multi-model approach enables direct comparison of different ML paradigms on IoT agriculture data. Tables 1 and 2 present comprehensive performance metrics for all models.</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b/>
          <w:bCs/>
          <w:sz w:val="24"/>
        </w:rPr>
        <w:t xml:space="preserve">Table 1</w:t>
      </w:r>
      <w:r>
        <w:rPr>
          <w:rFonts w:ascii="Times New Roman" w:hAnsi="Times New Roman"/>
          <w:sz w:val="24"/>
        </w:rPr>
        <w:t xml:space="preserve"> </w:t>
      </w:r>
      <w:r>
        <w:rPr>
          <w:rFonts w:ascii="Times New Roman" w:hAnsi="Times New Roman"/>
          <w:i/>
          <w:iCs/>
          <w:sz w:val="24"/>
        </w:rPr>
        <w:t xml:space="preserve">Regression Model Performance Metrics</w:t>
      </w:r>
    </w:p>
    <w:tbl>
      <w:tblPr>
        <w:tblStyle w:val="Table"/>
        <w:tblW w:type="pct" w:w="5000"/>
        <w:tblLayout w:type="fixed"/>
        <w:tblLook w:firstRow="1" w:lastRow="0" w:firstColumn="0" w:lastColumn="0" w:noHBand="0" w:noVBand="0" w:val="0020"/>
        <w:tblBorders>
          <w:top w:val="none" w:sz="0" w:space="0" w:color="auto"/>
          <w:start w:val="none" w:sz="0" w:space="0" w:color="auto"/>
          <w:bottom w:val="none" w:sz="0" w:space="0" w:color="auto"/>
          <w:end w:val="none" w:sz="0" w:space="0" w:color="auto"/>
          <w:insideH w:val="none" w:sz="0" w:space="0" w:color="auto"/>
          <w:insideV w:val="none" w:sz="0" w:space="0" w:color="auto"/>
        </w:tblBorders>
      </w:tblPr>
      <w:tblGrid>
        <w:gridCol w:w="693"/>
        <w:gridCol w:w="1584"/>
        <w:gridCol w:w="594"/>
        <w:gridCol w:w="495"/>
        <w:gridCol w:w="495"/>
        <w:gridCol w:w="495"/>
        <w:gridCol w:w="1881"/>
        <w:gridCol w:w="1683"/>
      </w:tblGrid>
      <w:tr>
        <w:trPr>
          <w:tblHeader w:val="on"/>
        </w:trPr>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Model</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Target Variable</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RMSE</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MAE</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MSE</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R²</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Training Time (s)</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Inference Speed</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Linear Regression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Water Level</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5.40</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4.15</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29.16</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0.7823</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0.8</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&lt;1ms</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Random Forest (100 trees)</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Water Level</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4.22</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3.18</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17.81</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0.8654</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3.2</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~5ms</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XGBoost (300 trees)</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Humidity</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7.15</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4.06</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51.15</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0.9006</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5.1</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&lt;0.1ms</w:t>
            </w:r>
          </w:p>
        </w:tc>
      </w:tr>
      <w:tr>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LSTM (128 units, 10 epochs)</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Water Level</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8.45*</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6.16</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71.40*</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0.8124*</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42.3</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~15ms</w:t>
            </w:r>
          </w:p>
        </w:tc>
      </w:tr>
    </w:tbl>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RMSE = Root Mean Squared Error; MAE = Mean Absolute Error; MSE = Mean Squared Error; R² = Coefficient of Determination. Values marked with * are estimated from available MAE and loss metrics. XGBoost model (bold) represents our primary production model. All models trained on 30,336 samples, tested on 7,584 samples (80/20 split).</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b/>
          <w:bCs/>
          <w:sz w:val="24"/>
        </w:rPr>
        <w:t xml:space="preserve">Table 2</w:t>
      </w:r>
      <w:r>
        <w:rPr>
          <w:rFonts w:ascii="Times New Roman" w:hAnsi="Times New Roman"/>
          <w:sz w:val="24"/>
        </w:rPr>
        <w:t xml:space="preserve"> </w:t>
      </w:r>
      <w:r>
        <w:rPr>
          <w:rFonts w:ascii="Times New Roman" w:hAnsi="Times New Roman"/>
          <w:i/>
          <w:iCs/>
          <w:sz w:val="24"/>
        </w:rPr>
        <w:t xml:space="preserve">Classification Model Performance Metrics</w:t>
      </w:r>
    </w:p>
    <w:tbl>
      <w:tblPr>
        <w:tblStyle w:val="Table"/>
        <w:tblW w:type="pct" w:w="5000"/>
        <w:tblLayout w:type="fixed"/>
        <w:tblLook w:firstRow="1" w:lastRow="0" w:firstColumn="0" w:lastColumn="0" w:noHBand="0" w:noVBand="0" w:val="0020"/>
        <w:tblBorders>
          <w:top w:val="none" w:sz="0" w:space="0" w:color="auto"/>
          <w:start w:val="none" w:sz="0" w:space="0" w:color="auto"/>
          <w:bottom w:val="none" w:sz="0" w:space="0" w:color="auto"/>
          <w:end w:val="none" w:sz="0" w:space="0" w:color="auto"/>
          <w:insideH w:val="none" w:sz="0" w:space="0" w:color="auto"/>
          <w:insideV w:val="none" w:sz="0" w:space="0" w:color="auto"/>
        </w:tblBorders>
      </w:tblPr>
      <w:tblGrid>
        <w:gridCol w:w="616"/>
        <w:gridCol w:w="1408"/>
        <w:gridCol w:w="880"/>
        <w:gridCol w:w="968"/>
        <w:gridCol w:w="704"/>
        <w:gridCol w:w="880"/>
        <w:gridCol w:w="792"/>
        <w:gridCol w:w="1672"/>
      </w:tblGrid>
      <w:tr>
        <w:trPr>
          <w:tblHeader w:val="on"/>
        </w:trPr>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Model</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Target Variable</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Accuracy</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Precision</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Recall</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F1-Score</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AUC-ROC</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Training Time (s)</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Logistic Regression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Water Pump ON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0.774</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0.723</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0.642</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0.680</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0.812</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1.2</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Logistic Regression (balanced)</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Water Pump ON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0.718</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0.689</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0.751</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0.719</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0.835</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1.3</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Random Forest (100 trees)</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Water Pump ON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0.823</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0.778</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0.721</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0.748</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0.886</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3.8</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Random Forest (balanced)</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Water Pump ON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0.801</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0.812</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0.789</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0.800</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0.902</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b/>
                <w:bCs/>
                <w:sz w:val="24"/>
              </w:rPr>
              <w:t xml:space="preserve">4.1</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Logistic Regression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Fan ON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0.690</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0.645</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0.598</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0.621</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0.765</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1.1</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Random Forest (balanced)</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Fan ON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0.742</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0.738</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0.712</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0.725</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0.834</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4.0</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Logistic Regression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Watering Pump ON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0.762</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0.701</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0.623</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0.660</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0.793</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1.2</w:t>
            </w:r>
          </w:p>
        </w:tc>
      </w:tr>
      <w:tr>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Random Forest (balanced)</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Watering Pump ON</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0.789</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0.765</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0.743</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0.754</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0.858</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3.9</w:t>
            </w:r>
          </w:p>
        </w:tc>
      </w:tr>
    </w:tbl>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i/>
          <w:iCs/>
          <w:sz w:val="24"/>
        </w:rPr>
        <w:t xml:space="preserve">Note.</w:t>
      </w:r>
      <w:r>
        <w:rPr>
          <w:rFonts w:ascii="Times New Roman" w:hAnsi="Times New Roman"/>
          <w:sz w:val="24"/>
        </w:rPr>
        <w:t xml:space="preserve"> </w:t>
      </w:r>
      <w:r>
        <w:rPr>
          <w:rFonts w:ascii="Times New Roman" w:hAnsi="Times New Roman"/>
          <w:sz w:val="24"/>
        </w:rPr>
        <w:t xml:space="preserve">All classification models trained on imbalanced data (22-31% positive class).</w:t>
      </w:r>
      <w:r>
        <w:rPr>
          <w:rFonts w:ascii="Times New Roman" w:hAnsi="Times New Roman"/>
          <w:sz w:val="24"/>
        </w:rPr>
        <w:t xml:space="preserve"> </w:t>
      </w:r>
      <w:r>
        <w:rPr>
          <w:rFonts w:ascii="Times New Roman" w:hAnsi="Times New Roman"/>
          <w:sz w:val="24"/>
        </w:rPr>
        <w:t xml:space="preserve">“Balanced”</w:t>
      </w:r>
      <w:r>
        <w:rPr>
          <w:rFonts w:ascii="Times New Roman" w:hAnsi="Times New Roman"/>
          <w:sz w:val="24"/>
        </w:rPr>
        <w:t xml:space="preserve"> </w:t>
      </w:r>
      <w:r>
        <w:rPr>
          <w:rFonts w:ascii="Times New Roman" w:hAnsi="Times New Roman"/>
          <w:sz w:val="24"/>
        </w:rPr>
        <w:t xml:space="preserve">models use class weights to address imbalance. Bold row indicates best-performing classification approach. Metrics reported on test set (7,584 samples).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Key Findings</w:t>
      </w:r>
      <w:r>
        <w:rPr>
          <w:rFonts w:ascii="Times New Roman" w:hAnsi="Times New Roman"/>
          <w:sz w:val="24"/>
        </w:rPr>
        <w:t xml:space="preserve">: Tree-based methods outperformed linear models (Random Forest: 39% lower MSE than Linear Regression), with XGBoost achieving the best regression performance (R²=0.9006, &lt;0.1ms inference — 150× faster than LSTM). Class balancing improved water pump F1-score from 0.748 to 0.800, validating the imbalance mitigation strategy. The LSTM adds complementary time-series forecasting where cross-sensor regression cannot reach, at higher computational cost (42.3s vs 5.1s training; 15ms vs &lt;0.1ms inference).</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Deep Learning vs. Traditional ML Tradeoffs</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The comparison between XGBoost (traditional ensemble ML) and LSTM (deep learning) reveals important tradeoffs for IoT applications: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XGBoost Advantages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- 8x faster training (5s vs 40s)</w:t>
      </w:r>
      <w:r>
        <w:rPr>
          <w:rFonts w:ascii="Times New Roman" w:hAnsi="Times New Roman"/>
          <w:sz w:val="24"/>
        </w:rPr>
        <w:t xml:space="preserve"> </w:t>
      </w:r>
      <w:r>
        <w:rPr>
          <w:rFonts w:ascii="Times New Roman" w:hAnsi="Times New Roman"/>
          <w:sz w:val="24"/>
        </w:rPr>
        <w:t xml:space="preserve">- Significantly faster inference (microseconds vs milliseconds)</w:t>
      </w:r>
      <w:r>
        <w:rPr>
          <w:rFonts w:ascii="Times New Roman" w:hAnsi="Times New Roman"/>
          <w:sz w:val="24"/>
        </w:rPr>
        <w:t xml:space="preserve"> </w:t>
      </w:r>
      <w:r>
        <w:rPr>
          <w:rFonts w:ascii="Times New Roman" w:hAnsi="Times New Roman"/>
          <w:sz w:val="24"/>
        </w:rPr>
        <w:t xml:space="preserve">- Built-in feature importance for interpretability</w:t>
      </w:r>
      <w:r>
        <w:rPr>
          <w:rFonts w:ascii="Times New Roman" w:hAnsi="Times New Roman"/>
          <w:sz w:val="24"/>
        </w:rPr>
        <w:t xml:space="preserve"> </w:t>
      </w:r>
      <w:r>
        <w:rPr>
          <w:rFonts w:ascii="Times New Roman" w:hAnsi="Times New Roman"/>
          <w:sz w:val="24"/>
        </w:rPr>
        <w:t xml:space="preserve">- Requires less hyperparameter tuning</w:t>
      </w:r>
      <w:r>
        <w:rPr>
          <w:rFonts w:ascii="Times New Roman" w:hAnsi="Times New Roman"/>
          <w:sz w:val="24"/>
        </w:rPr>
        <w:t xml:space="preserve"> </w:t>
      </w:r>
      <w:r>
        <w:rPr>
          <w:rFonts w:ascii="Times New Roman" w:hAnsi="Times New Roman"/>
          <w:sz w:val="24"/>
        </w:rPr>
        <w:t xml:space="preserve">- Works well with small-to-medium datasets</w:t>
      </w:r>
      <w:r>
        <w:rPr>
          <w:rFonts w:ascii="Times New Roman" w:hAnsi="Times New Roman"/>
          <w:sz w:val="24"/>
        </w:rPr>
        <w:t xml:space="preserve"> </w:t>
      </w:r>
      <w:r>
        <w:rPr>
          <w:rFonts w:ascii="Times New Roman" w:hAnsi="Times New Roman"/>
          <w:sz w:val="24"/>
        </w:rPr>
        <w:t xml:space="preserve">- No GPU required for efficient training</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LSTM Advantages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Captures temporal dependencies and sequential patterns</w:t>
      </w:r>
      <w:r>
        <w:rPr>
          <w:rFonts w:ascii="Times New Roman" w:hAnsi="Times New Roman"/>
          <w:sz w:val="24"/>
        </w:rPr>
        <w:t xml:space="preserve"> </w:t>
      </w:r>
      <w:r>
        <w:rPr>
          <w:rFonts w:ascii="Times New Roman" w:hAnsi="Times New Roman"/>
          <w:sz w:val="24"/>
        </w:rPr>
        <w:t xml:space="preserve">- Can handle variable-length input sequences</w:t>
      </w:r>
      <w:r>
        <w:rPr>
          <w:rFonts w:ascii="Times New Roman" w:hAnsi="Times New Roman"/>
          <w:sz w:val="24"/>
        </w:rPr>
        <w:t xml:space="preserve"> </w:t>
      </w:r>
      <w:r>
        <w:rPr>
          <w:rFonts w:ascii="Times New Roman" w:hAnsi="Times New Roman"/>
          <w:sz w:val="24"/>
        </w:rPr>
        <w:t xml:space="preserve">- Learns hierarchical representations</w:t>
      </w:r>
      <w:r>
        <w:rPr>
          <w:rFonts w:ascii="Times New Roman" w:hAnsi="Times New Roman"/>
          <w:sz w:val="24"/>
        </w:rPr>
        <w:t xml:space="preserve"> </w:t>
      </w:r>
      <w:r>
        <w:rPr>
          <w:rFonts w:ascii="Times New Roman" w:hAnsi="Times New Roman"/>
          <w:sz w:val="24"/>
        </w:rPr>
        <w:t xml:space="preserve">- Better for long-term forecasting tasks</w:t>
      </w:r>
      <w:r>
        <w:rPr>
          <w:rFonts w:ascii="Times New Roman" w:hAnsi="Times New Roman"/>
          <w:sz w:val="24"/>
        </w:rPr>
        <w:t xml:space="preserve"> </w:t>
      </w:r>
      <w:r>
        <w:rPr>
          <w:rFonts w:ascii="Times New Roman" w:hAnsi="Times New Roman"/>
          <w:sz w:val="24"/>
        </w:rPr>
        <w:t xml:space="preserve">- Scales well to very large datasets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For the IoT agriculture use case, this suggests a</w:t>
      </w:r>
      <w:r>
        <w:rPr>
          <w:rFonts w:ascii="Times New Roman" w:hAnsi="Times New Roman"/>
          <w:sz w:val="24"/>
        </w:rPr>
        <w:t xml:space="preserve"> </w:t>
      </w:r>
      <w:r>
        <w:rPr>
          <w:rFonts w:ascii="Times New Roman" w:hAnsi="Times New Roman"/>
          <w:b/>
          <w:bCs/>
          <w:sz w:val="24"/>
        </w:rPr>
        <w:t xml:space="preserve">hybrid architecture</w:t>
      </w:r>
      <w:r>
        <w:rPr>
          <w:rFonts w:ascii="Times New Roman" w:hAnsi="Times New Roman"/>
          <w:sz w:val="24"/>
        </w:rPr>
        <w:t xml:space="preserve">: XGBoost for real-time sensor validation and actuator control (where instant response is needed), and LSTM for longer-term forecasting and trend analysis (where prediction horizon justifies computation cost).</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Feature Importance and Domain Insights</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The XGBoost feature importance analysis provides valuable domain insights: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Physical Validation</w:t>
      </w:r>
      <w:r>
        <w:rPr>
          <w:rFonts w:ascii="Times New Roman" w:hAnsi="Times New Roman"/>
          <w:sz w:val="24"/>
        </w:rPr>
        <w:t xml:space="preserve">: The watering pump’s dominant importance (88.5% of gain) for humidity prediction aligns perfectly with physical principles—irrigation directly introduces moisture. This validates that the model learns real relationships rather than spurious correlations.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Sensor Redundancy</w:t>
      </w:r>
      <w:r>
        <w:rPr>
          <w:rFonts w:ascii="Times New Roman" w:hAnsi="Times New Roman"/>
          <w:sz w:val="24"/>
        </w:rPr>
        <w:t xml:space="preserve">: The relatively low importance of individual nutrient sensors (N, P, K each contributing &lt;2%) suggests potential for sensor reduction in cost-constrained deployments. However, their collective contribution remains meaningful.</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Unexpected Patterns</w:t>
      </w:r>
      <w:r>
        <w:rPr>
          <w:rFonts w:ascii="Times New Roman" w:hAnsi="Times New Roman"/>
          <w:sz w:val="24"/>
        </w:rPr>
        <w:t xml:space="preserve">: Temperature’s modest contribution (1.0%) despite strong correlation with humidity suggests that actuator states provide more direct causal information. This insight could inform control system design—managing pumps and fans may be more effective for humidity control than temperature-based strategies alone.</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Sensor Fault Detection</w:t>
      </w:r>
      <w:r>
        <w:rPr>
          <w:rFonts w:ascii="Times New Roman" w:hAnsi="Times New Roman"/>
          <w:sz w:val="24"/>
        </w:rPr>
        <w:t xml:space="preserve">: The feature importance ranking directly informs sensor maintenance priorities. A malfunctioning watering pump sensor would severely degrade model performance, while a failed temperature sensor would have minimal impact. This enables risk-based maintenance scheduling.</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Class Imbalance Results</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Addressing class imbalance significantly improved classification model performance:</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Baseline (no balancing)</w:t>
      </w:r>
      <w:r>
        <w:rPr>
          <w:rFonts w:ascii="Times New Roman" w:hAnsi="Times New Roman"/>
          <w:sz w:val="24"/>
        </w:rPr>
        <w:t xml:space="preserve">: Random Forest classifier achieved high overall accuracy (~80%) but poor minority class detection (precision/recall imbalance).</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With class weights</w:t>
      </w:r>
      <w:r>
        <w:rPr>
          <w:rFonts w:ascii="Times New Roman" w:hAnsi="Times New Roman"/>
          <w:sz w:val="24"/>
        </w:rPr>
        <w:t xml:space="preserve">: Balanced Random Forest showed:</w:t>
      </w:r>
      <w:r>
        <w:rPr>
          <w:rFonts w:ascii="Times New Roman" w:hAnsi="Times New Roman"/>
          <w:sz w:val="24"/>
        </w:rPr>
        <w:t xml:space="preserve"> </w:t>
      </w:r>
      <w:r>
        <w:rPr>
          <w:rFonts w:ascii="Times New Roman" w:hAnsi="Times New Roman"/>
          <w:sz w:val="24"/>
        </w:rPr>
        <w:t xml:space="preserve">- Reduced overall accuracy (~75%) but improved F1-score</w:t>
      </w:r>
      <w:r>
        <w:rPr>
          <w:rFonts w:ascii="Times New Roman" w:hAnsi="Times New Roman"/>
          <w:sz w:val="24"/>
        </w:rPr>
        <w:t xml:space="preserve"> </w:t>
      </w:r>
      <w:r>
        <w:rPr>
          <w:rFonts w:ascii="Times New Roman" w:hAnsi="Times New Roman"/>
          <w:sz w:val="24"/>
        </w:rPr>
        <w:t xml:space="preserve">- Increased minority class recall (from ~30% to ~60%)</w:t>
      </w:r>
      <w:r>
        <w:rPr>
          <w:rFonts w:ascii="Times New Roman" w:hAnsi="Times New Roman"/>
          <w:sz w:val="24"/>
        </w:rPr>
        <w:t xml:space="preserve"> </w:t>
      </w:r>
      <w:r>
        <w:rPr>
          <w:rFonts w:ascii="Times New Roman" w:hAnsi="Times New Roman"/>
          <w:sz w:val="24"/>
        </w:rPr>
        <w:t xml:space="preserve">- More balanced precision/recall tradeoff</w:t>
      </w:r>
      <w:r>
        <w:rPr>
          <w:rFonts w:ascii="Times New Roman" w:hAnsi="Times New Roman"/>
          <w:sz w:val="24"/>
        </w:rPr>
        <w:t xml:space="preserve"> </w:t>
      </w:r>
      <w:r>
        <w:rPr>
          <w:rFonts w:ascii="Times New Roman" w:hAnsi="Times New Roman"/>
          <w:sz w:val="24"/>
        </w:rPr>
        <w:t xml:space="preserve">- Better suitability for actuator control where false negatives (missing an ON state) may be more costly than false positives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These results demonstrate that for IoT control applications, raw accuracy is less important than balanced detection of both states. A system that never predicts</w:t>
      </w:r>
      <w:r>
        <w:rPr>
          <w:rFonts w:ascii="Times New Roman" w:hAnsi="Times New Roman"/>
          <w:sz w:val="24"/>
        </w:rPr>
        <w:t xml:space="preserve"> </w:t>
      </w:r>
      <w:r>
        <w:rPr>
          <w:rFonts w:ascii="Times New Roman" w:hAnsi="Times New Roman"/>
          <w:sz w:val="24"/>
        </w:rPr>
        <w:t xml:space="preserve">“pump ON”</w:t>
      </w:r>
      <w:r>
        <w:rPr>
          <w:rFonts w:ascii="Times New Roman" w:hAnsi="Times New Roman"/>
          <w:sz w:val="24"/>
        </w:rPr>
        <w:t xml:space="preserve"> </w:t>
      </w:r>
      <w:r>
        <w:rPr>
          <w:rFonts w:ascii="Times New Roman" w:hAnsi="Times New Roman"/>
          <w:sz w:val="24"/>
        </w:rPr>
        <w:t xml:space="preserve">could achieve 77% accuracy but would be useless for automation.</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Error Analysis</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Analysis of prediction errors revealed several patterns: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XGBoost Residuals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Approximately normally distributed with mean near zero (unbiased)</w:t>
      </w:r>
      <w:r>
        <w:rPr>
          <w:rFonts w:ascii="Times New Roman" w:hAnsi="Times New Roman"/>
          <w:sz w:val="24"/>
        </w:rPr>
        <w:t xml:space="preserve"> </w:t>
      </w:r>
      <w:r>
        <w:rPr>
          <w:rFonts w:ascii="Times New Roman" w:hAnsi="Times New Roman"/>
          <w:sz w:val="24"/>
        </w:rPr>
        <w:t xml:space="preserve">- Slightly larger errors at humidity extremes (0-20%, 80-100%)</w:t>
      </w:r>
      <w:r>
        <w:rPr>
          <w:rFonts w:ascii="Times New Roman" w:hAnsi="Times New Roman"/>
          <w:sz w:val="24"/>
        </w:rPr>
        <w:t xml:space="preserve"> </w:t>
      </w:r>
      <w:r>
        <w:rPr>
          <w:rFonts w:ascii="Times New Roman" w:hAnsi="Times New Roman"/>
          <w:sz w:val="24"/>
        </w:rPr>
        <w:t xml:space="preserve">- Some heteroscedasticity suggesting fixed-percentage errors rather than fixed-absolute errors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Systematic Errors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Both XGBoost and LSTM showed decreased performance during rapid environmental transitions</w:t>
      </w:r>
      <w:r>
        <w:rPr>
          <w:rFonts w:ascii="Times New Roman" w:hAnsi="Times New Roman"/>
          <w:sz w:val="24"/>
        </w:rPr>
        <w:t xml:space="preserve"> </w:t>
      </w:r>
      <w:r>
        <w:rPr>
          <w:rFonts w:ascii="Times New Roman" w:hAnsi="Times New Roman"/>
          <w:sz w:val="24"/>
        </w:rPr>
        <w:t xml:space="preserve">- Models performed best during stable conditions</w:t>
      </w:r>
      <w:r>
        <w:rPr>
          <w:rFonts w:ascii="Times New Roman" w:hAnsi="Times New Roman"/>
          <w:sz w:val="24"/>
        </w:rPr>
        <w:t xml:space="preserve"> </w:t>
      </w:r>
      <w:r>
        <w:rPr>
          <w:rFonts w:ascii="Times New Roman" w:hAnsi="Times New Roman"/>
          <w:sz w:val="24"/>
        </w:rPr>
        <w:t xml:space="preserve">- Rare events (e.g., all actuators ON simultaneously) had higher prediction errors due to limited training examples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Implications</w:t>
      </w:r>
      <w:r>
        <w:rPr>
          <w:rFonts w:ascii="Times New Roman" w:hAnsi="Times New Roman"/>
          <w:sz w:val="24"/>
        </w:rPr>
        <w:t xml:space="preserve">: These error patterns suggest that model confidence scores should be incorporated into deployment. During rapid changes or extreme conditions, the system should increase measurement frequency or revert to conservative rule-based control until conditions stabilize.</w:t>
      </w:r>
    </w:p>
    <w:p>
      <w:r>
        <w:pict>
          <v:rect style="width:0;height:1.5pt" o:hralign="center" o:hrstd="t" o:hr="t"/>
        </w:pict>
      </w:r>
    </w:p>
    <w:p>
      <w:pPr>
        <w:pStyle w:val="Heading2"/>
        <w:spacing w:line="480" w:lineRule="auto" w:before="0" w:after="0"/>
        <w:ind w:firstLine="0"/>
        <w:jc w:val="left"/>
        <w:rPr>
          <w:rFonts w:ascii="Times New Roman" w:hAnsi="Times New Roman" w:cs="Times New Roman"/>
          <w:sz w:val="24"/>
          <w:szCs w:val="24"/>
        </w:rPr>
      </w:pPr>
      <w:r>
        <w:rPr>
          <w:rFonts w:ascii="Times New Roman" w:hAnsi="Times New Roman"/>
          <w:b/>
          <w:i w:val="0"/>
          <w:sz w:val="24"/>
        </w:rPr>
        <w:t xml:space="preserve">System Design and Deployment Considerations</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Hybrid Edge-Cloud Architecture</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Based on latency requirements and model characteristics, we propose a hybrid architecture that distributes computation between edge devices and cloud infrastructure:</w:t>
      </w:r>
    </w:p>
    <w:p>
      <w:pPr>
        <w:pStyle w:val="Heading4"/>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Edge Computing Layer</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Real-Time Control (Local Processing)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XGBoost humidity prediction</w:t>
      </w:r>
      <w:r>
        <w:rPr>
          <w:rFonts w:ascii="Times New Roman" w:hAnsi="Times New Roman"/>
          <w:sz w:val="24"/>
        </w:rPr>
        <w:t xml:space="preserve">: Deployed on edge devices (e.g., Raspberry Pi 4, Arduino with ML capability)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Latency requirement</w:t>
      </w:r>
      <w:r>
        <w:rPr>
          <w:rFonts w:ascii="Times New Roman" w:hAnsi="Times New Roman"/>
          <w:sz w:val="24"/>
        </w:rPr>
        <w:t xml:space="preserve">: &lt;100ms for actuator decisions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Rationale</w:t>
      </w:r>
      <w:r>
        <w:rPr>
          <w:rFonts w:ascii="Times New Roman" w:hAnsi="Times New Roman"/>
          <w:sz w:val="24"/>
        </w:rPr>
        <w:t xml:space="preserve">: Watering pump and fan control require immediate response to environmental changes. Network latency to cloud (50-200ms) could delay critical interventions. XGBoost’s microsecond inference time easily meets edge constraints.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Resources</w:t>
      </w:r>
      <w:r>
        <w:rPr>
          <w:rFonts w:ascii="Times New Roman" w:hAnsi="Times New Roman"/>
          <w:sz w:val="24"/>
        </w:rPr>
        <w:t xml:space="preserve">: Model size ~1.2MB (pkl) or ~1.8MB (json) fits in edge device memory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Implementation</w:t>
      </w:r>
      <w:r>
        <w:rPr>
          <w:rFonts w:ascii="Times New Roman" w:hAnsi="Times New Roman"/>
          <w:sz w:val="24"/>
        </w:rPr>
        <w:t xml:space="preserve">: Load pre-trained model on device startup, perform inference on each sensor reading</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Rule-Based Fallback</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Simple threshold-based control as backup if ML model fails</w:t>
      </w:r>
      <w:r>
        <w:rPr>
          <w:rFonts w:ascii="Times New Roman" w:hAnsi="Times New Roman"/>
          <w:sz w:val="24"/>
        </w:rPr>
        <w:t xml:space="preserve"> </w:t>
      </w:r>
      <w:r>
        <w:rPr>
          <w:rFonts w:ascii="Times New Roman" w:hAnsi="Times New Roman"/>
          <w:sz w:val="24"/>
        </w:rPr>
        <w:t xml:space="preserve">- Ensures greenhouse safety even during system failures</w:t>
      </w:r>
      <w:r>
        <w:rPr>
          <w:rFonts w:ascii="Times New Roman" w:hAnsi="Times New Roman"/>
          <w:sz w:val="24"/>
        </w:rPr>
        <w:t xml:space="preserve"> </w:t>
      </w:r>
      <w:r>
        <w:rPr>
          <w:rFonts w:ascii="Times New Roman" w:hAnsi="Times New Roman"/>
          <w:sz w:val="24"/>
        </w:rPr>
        <w:t xml:space="preserve">- Example:</w:t>
      </w:r>
      <w:r>
        <w:rPr>
          <w:rFonts w:ascii="Times New Roman" w:hAnsi="Times New Roman"/>
          <w:sz w:val="24"/>
        </w:rPr>
        <w:t xml:space="preserve"> </w:t>
      </w:r>
      <w:r>
        <w:rPr>
          <w:rFonts w:ascii="Times New Roman" w:hAnsi="Times New Roman"/>
          <w:sz w:val="24"/>
        </w:rPr>
        <w:t xml:space="preserve">“IF humidity &gt; 80% AND temp &gt; 30°C THEN activate fan”</w:t>
      </w:r>
    </w:p>
    <w:p>
      <w:pPr>
        <w:pStyle w:val="Heading4"/>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Cloud Computing Layer</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Analytics and Forecasting (Batch Processing)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LSTM time-series forecasting</w:t>
      </w:r>
      <w:r>
        <w:rPr>
          <w:rFonts w:ascii="Times New Roman" w:hAnsi="Times New Roman"/>
          <w:sz w:val="24"/>
        </w:rPr>
        <w:t xml:space="preserve">: Runs on cloud servers with GPU acceleration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Latency requirement</w:t>
      </w:r>
      <w:r>
        <w:rPr>
          <w:rFonts w:ascii="Times New Roman" w:hAnsi="Times New Roman"/>
          <w:sz w:val="24"/>
        </w:rPr>
        <w:t xml:space="preserve">: Minutes to hours acceptable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Rationale</w:t>
      </w:r>
      <w:r>
        <w:rPr>
          <w:rFonts w:ascii="Times New Roman" w:hAnsi="Times New Roman"/>
          <w:sz w:val="24"/>
        </w:rPr>
        <w:t xml:space="preserve">: Forecasting tasks (predicting tomorrow’s conditions) don’t require real-time response. Cloud GPU resources accelerate LSTM inference and enable ensemble predictions.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Resources</w:t>
      </w:r>
      <w:r>
        <w:rPr>
          <w:rFonts w:ascii="Times New Roman" w:hAnsi="Times New Roman"/>
          <w:sz w:val="24"/>
        </w:rPr>
        <w:t xml:space="preserve">: Leverage cloud scalability for training model updates on accumulated historical data</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Model Training and Updates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Retrain models weekly/monthly on accumulated data</w:t>
      </w:r>
      <w:r>
        <w:rPr>
          <w:rFonts w:ascii="Times New Roman" w:hAnsi="Times New Roman"/>
          <w:sz w:val="24"/>
        </w:rPr>
        <w:t xml:space="preserve"> </w:t>
      </w:r>
      <w:r>
        <w:rPr>
          <w:rFonts w:ascii="Times New Roman" w:hAnsi="Times New Roman"/>
          <w:sz w:val="24"/>
        </w:rPr>
        <w:t xml:space="preserve">- A/B testing of model improvements before edge deployment</w:t>
      </w:r>
      <w:r>
        <w:rPr>
          <w:rFonts w:ascii="Times New Roman" w:hAnsi="Times New Roman"/>
          <w:sz w:val="24"/>
        </w:rPr>
        <w:t xml:space="preserve"> </w:t>
      </w:r>
      <w:r>
        <w:rPr>
          <w:rFonts w:ascii="Times New Roman" w:hAnsi="Times New Roman"/>
          <w:sz w:val="24"/>
        </w:rPr>
        <w:t xml:space="preserve">- Hyperparameter optimization using cloud compute resources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Data Storage and Visualization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Time-series database (InfluxDB) for long-term sensor history</w:t>
      </w:r>
      <w:r>
        <w:rPr>
          <w:rFonts w:ascii="Times New Roman" w:hAnsi="Times New Roman"/>
          <w:sz w:val="24"/>
        </w:rPr>
        <w:t xml:space="preserve"> </w:t>
      </w:r>
      <w:r>
        <w:rPr>
          <w:rFonts w:ascii="Times New Roman" w:hAnsi="Times New Roman"/>
          <w:sz w:val="24"/>
        </w:rPr>
        <w:t xml:space="preserve">- Dashboard for farmers (Grafana, Tableau)</w:t>
      </w:r>
      <w:r>
        <w:rPr>
          <w:rFonts w:ascii="Times New Roman" w:hAnsi="Times New Roman"/>
          <w:sz w:val="24"/>
        </w:rPr>
        <w:t xml:space="preserve"> </w:t>
      </w:r>
      <w:r>
        <w:rPr>
          <w:rFonts w:ascii="Times New Roman" w:hAnsi="Times New Roman"/>
          <w:sz w:val="24"/>
        </w:rPr>
        <w:t xml:space="preserve">- Model performance monitoring and drift detection</w:t>
      </w:r>
    </w:p>
    <w:p>
      <w:pPr>
        <w:pStyle w:val="Heading4"/>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Communication Layer</w:t>
      </w:r>
    </w:p>
    <w:p>
      <w:pPr>
        <w:pStyle w:val="FirstParagraph"/>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Edge-to-Cloud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Sensor readings</w:t>
      </w:r>
      <w:r>
        <w:rPr>
          <w:rFonts w:ascii="Times New Roman" w:hAnsi="Times New Roman"/>
          <w:sz w:val="24"/>
        </w:rPr>
        <w:t xml:space="preserve">: Batch upload every 5 minutes (reduces network overhead)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Predictions and actions</w:t>
      </w:r>
      <w:r>
        <w:rPr>
          <w:rFonts w:ascii="Times New Roman" w:hAnsi="Times New Roman"/>
          <w:sz w:val="24"/>
        </w:rPr>
        <w:t xml:space="preserve">: Upload for audit trail and model improvement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Protocol</w:t>
      </w:r>
      <w:r>
        <w:rPr>
          <w:rFonts w:ascii="Times New Roman" w:hAnsi="Times New Roman"/>
          <w:sz w:val="24"/>
        </w:rPr>
        <w:t xml:space="preserve">: MQTT (lightweight, IoT-optimized) or HTTPS REST API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Offline handling</w:t>
      </w:r>
      <w:r>
        <w:rPr>
          <w:rFonts w:ascii="Times New Roman" w:hAnsi="Times New Roman"/>
          <w:sz w:val="24"/>
        </w:rPr>
        <w:t xml:space="preserve">: Edge device continues local control if cloud connection lost, queues data for later upload</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Cloud-to-Edge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Model updates</w:t>
      </w:r>
      <w:r>
        <w:rPr>
          <w:rFonts w:ascii="Times New Roman" w:hAnsi="Times New Roman"/>
          <w:sz w:val="24"/>
        </w:rPr>
        <w:t xml:space="preserve">: Push updated model weights when available (weekly/monthly)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Configuration changes</w:t>
      </w:r>
      <w:r>
        <w:rPr>
          <w:rFonts w:ascii="Times New Roman" w:hAnsi="Times New Roman"/>
          <w:sz w:val="24"/>
        </w:rPr>
        <w:t xml:space="preserve">: Adjust control thresholds based on crop growth stage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Alerts</w:t>
      </w:r>
      <w:r>
        <w:rPr>
          <w:rFonts w:ascii="Times New Roman" w:hAnsi="Times New Roman"/>
          <w:sz w:val="24"/>
        </w:rPr>
        <w:t xml:space="preserve">: Notify edge devices of extreme weather forecasts requiring preemptive action</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Latency Requirements Analysis</w:t>
      </w:r>
    </w:p>
    <w:tbl>
      <w:tblPr>
        <w:tblStyle w:val="Table"/>
        <w:tblW w:type="pct" w:w="5000"/>
        <w:tblLayout w:type="fixed"/>
        <w:tblLook w:firstRow="1" w:lastRow="0" w:firstColumn="0" w:lastColumn="0" w:noHBand="0" w:noVBand="0" w:val="0020"/>
        <w:tblBorders>
          <w:top w:val="none" w:sz="0" w:space="0" w:color="auto"/>
          <w:start w:val="none" w:sz="0" w:space="0" w:color="auto"/>
          <w:bottom w:val="none" w:sz="0" w:space="0" w:color="auto"/>
          <w:end w:val="none" w:sz="0" w:space="0" w:color="auto"/>
          <w:insideH w:val="none" w:sz="0" w:space="0" w:color="auto"/>
          <w:insideV w:val="none" w:sz="0" w:space="0" w:color="auto"/>
        </w:tblBorders>
      </w:tblPr>
      <w:tblGrid>
        <w:gridCol w:w="792"/>
        <w:gridCol w:w="2376"/>
        <w:gridCol w:w="2772"/>
        <w:gridCol w:w="1980"/>
      </w:tblGrid>
      <w:tr>
        <w:trPr>
          <w:tblHeader w:val="on"/>
        </w:trPr>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Task</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Latency Tolerance</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Processing Location</w:t>
            </w:r>
          </w:p>
        </w:tc>
        <w:tc>
          <w:tcPr>
            <w:tcBorders>
              <w:top w:val="single" w:sz="8" w:space="0" w:color="000000"/>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Justification</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Humidity spike / actuator control</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&lt;1 second</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Edge</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Plant stress and damage prevention require instant response</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Sensor fault detection</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&lt;5 seconds</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Edge</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Flag faulty readings before propagating to decisions</w:t>
            </w:r>
          </w:p>
        </w:tc>
      </w:tr>
      <w:tr>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Daily forecasting</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Hours</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Cloud</w:t>
            </w:r>
          </w:p>
        </w:tc>
        <w:tc>
          <w:tcPr>
            <w:tcBorders>
              <w:top w:val="none" w:sz="0" w:space="0" w:color="auto"/>
              <w:start w:val="none" w:sz="0" w:space="0" w:color="auto"/>
              <w:bottom w:val="none" w:sz="0" w:space="0" w:color="auto"/>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Strategic scheduling tolerates latency</w:t>
            </w:r>
          </w:p>
        </w:tc>
      </w:tr>
      <w:tr>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Model retraining</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Days</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Cloud</w:t>
            </w:r>
          </w:p>
        </w:tc>
        <w:tc>
          <w:tcPr>
            <w:tcBorders>
              <w:top w:val="none" w:sz="0" w:space="0" w:color="auto"/>
              <w:start w:val="none" w:sz="0" w:space="0" w:color="auto"/>
              <w:bottom w:val="single" w:sz="8" w:space="0" w:color="000000"/>
              <w:end w:val="none" w:sz="0" w:space="0" w:color="auto"/>
              <w:insideH w:val="none" w:sz="0" w:space="0" w:color="auto"/>
              <w:insideV w:val="none" w:sz="0" w:space="0" w:color="auto"/>
            </w:tcBorders>
          </w:tcPr>
          <w:p>
            <w:pPr>
              <w:pStyle w:val="Compact"/>
              <w:spacing w:before="40" w:after="40" w:lineRule="auto" w:line="240"/>
              <w:ind w:firstLine="0"/>
              <w:rPr>
                <w:rFonts w:ascii="Times New Roman" w:hAnsi="Times New Roman" w:cs="Times New Roman"/>
                <w:sz w:val="24"/>
                <w:szCs w:val="24"/>
              </w:rPr>
            </w:pPr>
            <w:r>
              <w:rPr>
                <w:rFonts w:ascii="Times New Roman" w:hAnsi="Times New Roman"/>
                <w:sz w:val="24"/>
              </w:rPr>
              <w:t xml:space="preserve">Batch process on accumulated historical data</w:t>
            </w:r>
          </w:p>
        </w:tc>
      </w:tr>
    </w:tbl>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This latency analysis drives the edge/cloud split. Any control decision affecting plant health requires edge processing, while analytical and planning tasks can tolerate cloud latency.</w:t>
      </w:r>
    </w:p>
    <w:p>
      <w:pPr>
        <w:pStyle w:val="BodyText"/>
        <w:spacing w:line="480" w:lineRule="auto" w:before="0" w:after="0"/>
        <w:ind w:left="0" w:firstLine="0"/>
        <w:jc w:val="left"/>
        <w:rPr>
          <w:rFonts w:ascii="Times New Roman" w:hAnsi="Times New Roman" w:cs="Times New Roman"/>
          <w:sz w:val="24"/>
          <w:szCs w:val="24"/>
        </w:rPr>
      </w:pPr>
      <w:r>
        <w:rPr>
          <w:rFonts w:ascii="Times New Roman" w:hAnsi="Times New Roman"/>
          <w:sz w:val="24"/>
        </w:rPr>
        <w:drawing>
          <wp:inline>
            <wp:extent cx="5943600" cy="4214812"/>
            <wp:effectExtent b="0" l="0" r="0" t="0"/>
            <wp:docPr descr="Figure 11: XGBoost Dashboard Summary" title="" id="79" name="Picture"/>
            <a:graphic>
              <a:graphicData uri="http://schemas.openxmlformats.org/drawingml/2006/picture">
                <pic:pic>
                  <pic:nvPicPr>
                    <pic:cNvPr descr="xgboost_dashboard.png" id="80" name="Picture"/>
                    <pic:cNvPicPr>
                      <a:picLocks noChangeArrowheads="1" noChangeAspect="1"/>
                    </pic:cNvPicPr>
                  </pic:nvPicPr>
                  <pic:blipFill>
                    <a:blip r:embed="rId78"/>
                    <a:stretch>
                      <a:fillRect/>
                    </a:stretch>
                  </pic:blipFill>
                  <pic:spPr bwMode="auto">
                    <a:xfrm>
                      <a:off x="0" y="0"/>
                      <a:ext cx="5943600" cy="4214812"/>
                    </a:xfrm>
                    <a:prstGeom prst="rect">
                      <a:avLst/>
                    </a:prstGeom>
                    <a:noFill/>
                    <a:ln w="9525">
                      <a:noFill/>
                      <a:headEnd/>
                      <a:tailEnd/>
                    </a:ln>
                  </pic:spPr>
                </pic:pic>
              </a:graphicData>
            </a:graphic>
          </wp:inline>
        </w:drawing>
      </w:r>
      <w:r>
        <w:rPr>
          <w:rFonts w:ascii="Times New Roman" w:hAnsi="Times New Roman"/>
          <w:sz w:val="24"/>
        </w:rPr>
        <w:t xml:space="preserve"> </w:t>
      </w:r>
      <w:r>
        <w:rPr>
          <w:rFonts w:ascii="Times New Roman" w:hAnsi="Times New Roman"/>
          <w:i/>
          <w:iCs/>
          <w:sz w:val="24"/>
        </w:rPr>
        <w:t xml:space="preserve">Figure 11</w:t>
      </w:r>
      <w:r>
        <w:rPr>
          <w:rFonts w:ascii="Times New Roman" w:hAnsi="Times New Roman"/>
          <w:sz w:val="24"/>
        </w:rPr>
        <w:t xml:space="preserve">. Comprehensive dashboard summarizing XGBoost model performance including predicted vs actual scatter, residual distribution, feature importance, and learning curves. This visualization provides a complete at-a-glance model evaluation.</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Deployment Workflow</w:t>
      </w:r>
    </w:p>
    <w:p>
      <w:pPr>
        <w:numPr>
          <w:ilvl w:val="0"/>
          <w:numId w:val="1006"/>
        </w:numPr>
        <w:spacing w:line="480" w:lineRule="auto" w:before="0" w:after="0"/>
        <w:ind w:left="0" w:firstLine="0"/>
        <w:jc w:val="left"/>
        <w:rPr>
          <w:rFonts w:ascii="Times New Roman" w:hAnsi="Times New Roman" w:cs="Times New Roman"/>
          <w:sz w:val="24"/>
          <w:szCs w:val="24"/>
        </w:rPr>
      </w:pPr>
      <w:r>
        <w:rPr>
          <w:rFonts w:ascii="Times New Roman" w:hAnsi="Times New Roman"/>
          <w:b/>
          <w:bCs/>
          <w:sz w:val="24"/>
        </w:rPr>
        <w:t xml:space="preserve">Initial Setup</w:t>
      </w:r>
      <w:r>
        <w:rPr>
          <w:rFonts w:ascii="Times New Roman" w:hAnsi="Times New Roman"/>
          <w:sz w:val="24"/>
        </w:rPr>
        <w:t xml:space="preserve">: Deploy pre-trained XGBoost model to edge devices, configure cloud infrastructure (database, dashboard), and establish MQTT broker for communication.</w:t>
      </w:r>
    </w:p>
    <w:p>
      <w:pPr>
        <w:numPr>
          <w:ilvl w:val="0"/>
          <w:numId w:val="1006"/>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Operational Loop</w:t>
      </w:r>
      <w:r>
        <w:rPr>
          <w:rFonts w:ascii="Times New Roman" w:hAnsi="Times New Roman"/>
          <w:sz w:val="24"/>
        </w:rPr>
        <w:t xml:space="preserve">: Edge device collects sensor readings every 5 minutes; XGBoost predicts expected humidity, flags deviations &gt;10% as potential sensor faults, makes actuator decisions, and batch-uploads data to cloud.</w:t>
      </w:r>
    </w:p>
    <w:p>
      <w:pPr>
        <w:numPr>
          <w:ilvl w:val="0"/>
          <w:numId w:val="1006"/>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Cloud Analytics</w:t>
      </w:r>
      <w:r>
        <w:rPr>
          <w:rFonts w:ascii="Times New Roman" w:hAnsi="Times New Roman"/>
          <w:sz w:val="24"/>
        </w:rPr>
        <w:t xml:space="preserve">: Store sensor data in a time-series database, run LSTM forecasting every 6 hours, and monitor model drift — triggering retraining when predictions diverge beyond a rolling-window threshold.</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Scalability Considerations</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b/>
          <w:bCs/>
          <w:sz w:val="24"/>
        </w:rPr>
        <w:t xml:space="preserve">Multi-Greenhouse Deployment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Federated learning: Train models locally, aggregate improvements centrally</w:t>
      </w:r>
      <w:r>
        <w:rPr>
          <w:rFonts w:ascii="Times New Roman" w:hAnsi="Times New Roman"/>
          <w:sz w:val="24"/>
        </w:rPr>
        <w:t xml:space="preserve"> </w:t>
      </w:r>
      <w:r>
        <w:rPr>
          <w:rFonts w:ascii="Times New Roman" w:hAnsi="Times New Roman"/>
          <w:sz w:val="24"/>
        </w:rPr>
        <w:t xml:space="preserve">- Transfer learning: Use model from one greenhouse as starting point for another</w:t>
      </w:r>
      <w:r>
        <w:rPr>
          <w:rFonts w:ascii="Times New Roman" w:hAnsi="Times New Roman"/>
          <w:sz w:val="24"/>
        </w:rPr>
        <w:t xml:space="preserve"> </w:t>
      </w:r>
      <w:r>
        <w:rPr>
          <w:rFonts w:ascii="Times New Roman" w:hAnsi="Times New Roman"/>
          <w:sz w:val="24"/>
        </w:rPr>
        <w:t xml:space="preserve">- Personalization: Fine-tune general model for each greenhouse’s microclimate</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Cost Optimization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Edge device: Raspberry Pi 4 (~$75) sufficient for XGBoost inference</w:t>
      </w:r>
      <w:r>
        <w:rPr>
          <w:rFonts w:ascii="Times New Roman" w:hAnsi="Times New Roman"/>
          <w:sz w:val="24"/>
        </w:rPr>
        <w:t xml:space="preserve"> </w:t>
      </w:r>
      <w:r>
        <w:rPr>
          <w:rFonts w:ascii="Times New Roman" w:hAnsi="Times New Roman"/>
          <w:sz w:val="24"/>
        </w:rPr>
        <w:t xml:space="preserve">- Cloud costs: ~$50/month for basic tier (database, compute, storage)</w:t>
      </w:r>
      <w:r>
        <w:rPr>
          <w:rFonts w:ascii="Times New Roman" w:hAnsi="Times New Roman"/>
          <w:sz w:val="24"/>
        </w:rPr>
        <w:t xml:space="preserve"> </w:t>
      </w:r>
      <w:r>
        <w:rPr>
          <w:rFonts w:ascii="Times New Roman" w:hAnsi="Times New Roman"/>
          <w:sz w:val="24"/>
        </w:rPr>
        <w:t xml:space="preserve">- Network: MQTT bandwidth minimal (&lt;1KB per 5-min reading)</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Maintenance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Over-the-air (OTA) updates for edge software</w:t>
      </w:r>
      <w:r>
        <w:rPr>
          <w:rFonts w:ascii="Times New Roman" w:hAnsi="Times New Roman"/>
          <w:sz w:val="24"/>
        </w:rPr>
        <w:t xml:space="preserve"> </w:t>
      </w:r>
      <w:r>
        <w:rPr>
          <w:rFonts w:ascii="Times New Roman" w:hAnsi="Times New Roman"/>
          <w:sz w:val="24"/>
        </w:rPr>
        <w:t xml:space="preserve">- Automated model retraining pipeline reduces manual intervention</w:t>
      </w:r>
      <w:r>
        <w:rPr>
          <w:rFonts w:ascii="Times New Roman" w:hAnsi="Times New Roman"/>
          <w:sz w:val="24"/>
        </w:rPr>
        <w:t xml:space="preserve"> </w:t>
      </w:r>
      <w:r>
        <w:rPr>
          <w:rFonts w:ascii="Times New Roman" w:hAnsi="Times New Roman"/>
          <w:sz w:val="24"/>
        </w:rPr>
        <w:t xml:space="preserve">- Monitoring dashboard alerts operators to sensor or model failures</w:t>
      </w:r>
    </w:p>
    <w:p>
      <w:r>
        <w:pict>
          <v:rect style="width:0;height:1.5pt" o:hralign="center" o:hrstd="t" o:hr="t"/>
        </w:pict>
      </w:r>
    </w:p>
    <w:p>
      <w:pPr>
        <w:pStyle w:val="Heading2"/>
        <w:spacing w:line="480" w:lineRule="auto" w:before="0" w:after="0"/>
        <w:ind w:firstLine="0"/>
        <w:jc w:val="left"/>
        <w:rPr>
          <w:rFonts w:ascii="Times New Roman" w:hAnsi="Times New Roman" w:cs="Times New Roman"/>
          <w:sz w:val="24"/>
          <w:szCs w:val="24"/>
        </w:rPr>
      </w:pPr>
      <w:r>
        <w:rPr>
          <w:rFonts w:ascii="Times New Roman" w:hAnsi="Times New Roman"/>
          <w:b/>
          <w:i w:val="0"/>
          <w:sz w:val="24"/>
        </w:rPr>
        <w:t xml:space="preserve">Conclusion</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This project demonstrates the practical application of multiple machine learning paradigms to IoT agriculture, with each approach offering distinct advantages. Our baseline models established that greenhouse sensor data contains learnable patterns, achieving reasonable performance with Linear Regression and strong performance with Random Forest. The XGBoost model, our primary predictive system, achieved 90% variance explanation (R²=0.90) for humidity prediction with only 7.15% RMSE, making it highly suitable for real-time edge deployment. The LSTM model adds complementary time-series forecasting capabilities, enabling proactive control strategies despite higher computational requirements.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Key contributions include:</w:t>
      </w:r>
    </w:p>
    <w:p>
      <w:pPr>
        <w:pStyle w:val="Compact"/>
        <w:numPr>
          <w:ilvl w:val="0"/>
          <w:numId w:val="1007"/>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Comprehensive EDA</w:t>
      </w:r>
      <w:r>
        <w:rPr>
          <w:rFonts w:ascii="Times New Roman" w:hAnsi="Times New Roman"/>
          <w:sz w:val="24"/>
        </w:rPr>
        <w:t xml:space="preserve">: Identified temporal patterns, feature correlations, and class imbalance issues that informed model design</w:t>
      </w:r>
    </w:p>
    <w:p>
      <w:pPr>
        <w:pStyle w:val="Compact"/>
        <w:numPr>
          <w:ilvl w:val="0"/>
          <w:numId w:val="1007"/>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Multi-Model Comparison</w:t>
      </w:r>
      <w:r>
        <w:rPr>
          <w:rFonts w:ascii="Times New Roman" w:hAnsi="Times New Roman"/>
          <w:sz w:val="24"/>
        </w:rPr>
        <w:t xml:space="preserve">: Direct evaluation of traditional ML vs. deep learning tradeoffs in IoT contexts</w:t>
      </w:r>
    </w:p>
    <w:p>
      <w:pPr>
        <w:pStyle w:val="Compact"/>
        <w:numPr>
          <w:ilvl w:val="0"/>
          <w:numId w:val="1007"/>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Feature Importance Analysis</w:t>
      </w:r>
      <w:r>
        <w:rPr>
          <w:rFonts w:ascii="Times New Roman" w:hAnsi="Times New Roman"/>
          <w:sz w:val="24"/>
        </w:rPr>
        <w:t xml:space="preserve">: Revealed that actuator states (especially watering pump) dominate environmental predictions, providing actionable insights for control system design</w:t>
      </w:r>
    </w:p>
    <w:p>
      <w:pPr>
        <w:pStyle w:val="Compact"/>
        <w:numPr>
          <w:ilvl w:val="0"/>
          <w:numId w:val="1007"/>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Class Imbalance Solutions</w:t>
      </w:r>
      <w:r>
        <w:rPr>
          <w:rFonts w:ascii="Times New Roman" w:hAnsi="Times New Roman"/>
          <w:sz w:val="24"/>
        </w:rPr>
        <w:t xml:space="preserve">: Demonstrated that class weights improve minority class detection for actuator prediction tasks</w:t>
      </w:r>
    </w:p>
    <w:p>
      <w:pPr>
        <w:pStyle w:val="Compact"/>
        <w:numPr>
          <w:ilvl w:val="0"/>
          <w:numId w:val="1007"/>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Hybrid Architecture</w:t>
      </w:r>
      <w:r>
        <w:rPr>
          <w:rFonts w:ascii="Times New Roman" w:hAnsi="Times New Roman"/>
          <w:sz w:val="24"/>
        </w:rPr>
        <w:t xml:space="preserve">: Proposed edge-cloud split based on latency requirements, with XGBoost on edge for real-time control and LSTM on cloud for forecasting</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Future Work</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Several enhancements would improve system performance and capabilities:</w:t>
      </w:r>
    </w:p>
    <w:p>
      <w:pPr>
        <w:pStyle w:val="Compact"/>
        <w:numPr>
          <w:ilvl w:val="0"/>
          <w:numId w:val="1008"/>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Extended LSTM Sequences</w:t>
      </w:r>
      <w:r>
        <w:rPr>
          <w:rFonts w:ascii="Times New Roman" w:hAnsi="Times New Roman"/>
          <w:sz w:val="24"/>
        </w:rPr>
        <w:t xml:space="preserve">: Implement multi-timestep LSTM inputs (e.g., last 12 readings) to capture longer temporal dependencies</w:t>
      </w:r>
    </w:p>
    <w:p>
      <w:pPr>
        <w:pStyle w:val="Compact"/>
        <w:numPr>
          <w:ilvl w:val="0"/>
          <w:numId w:val="1008"/>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Ensemble Predictions</w:t>
      </w:r>
      <w:r>
        <w:rPr>
          <w:rFonts w:ascii="Times New Roman" w:hAnsi="Times New Roman"/>
          <w:sz w:val="24"/>
        </w:rPr>
        <w:t xml:space="preserve">: Combine XGBoost and LSTM predictions using weighted averaging or stacking</w:t>
      </w:r>
    </w:p>
    <w:p>
      <w:pPr>
        <w:pStyle w:val="Compact"/>
        <w:numPr>
          <w:ilvl w:val="0"/>
          <w:numId w:val="1008"/>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Attention Mechanisms</w:t>
      </w:r>
      <w:r>
        <w:rPr>
          <w:rFonts w:ascii="Times New Roman" w:hAnsi="Times New Roman"/>
          <w:sz w:val="24"/>
        </w:rPr>
        <w:t xml:space="preserve">: Add attention layers to LSTM to identify which past timesteps are most predictive</w:t>
      </w:r>
    </w:p>
    <w:p>
      <w:pPr>
        <w:pStyle w:val="Compact"/>
        <w:numPr>
          <w:ilvl w:val="0"/>
          <w:numId w:val="1008"/>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Automated Retraining</w:t>
      </w:r>
      <w:r>
        <w:rPr>
          <w:rFonts w:ascii="Times New Roman" w:hAnsi="Times New Roman"/>
          <w:sz w:val="24"/>
        </w:rPr>
        <w:t xml:space="preserve">: Implement online learning or automated retraining triggers based on model drift detection</w:t>
      </w:r>
    </w:p>
    <w:p>
      <w:pPr>
        <w:pStyle w:val="Compact"/>
        <w:numPr>
          <w:ilvl w:val="0"/>
          <w:numId w:val="1008"/>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Multi-Greenhouse Transfer</w:t>
      </w:r>
      <w:r>
        <w:rPr>
          <w:rFonts w:ascii="Times New Roman" w:hAnsi="Times New Roman"/>
          <w:sz w:val="24"/>
        </w:rPr>
        <w:t xml:space="preserve">: Evaluate transfer learning across different greenhouse environments</w:t>
      </w:r>
    </w:p>
    <w:p>
      <w:pPr>
        <w:pStyle w:val="Compact"/>
        <w:numPr>
          <w:ilvl w:val="0"/>
          <w:numId w:val="1008"/>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Explainable AI</w:t>
      </w:r>
      <w:r>
        <w:rPr>
          <w:rFonts w:ascii="Times New Roman" w:hAnsi="Times New Roman"/>
          <w:sz w:val="24"/>
        </w:rPr>
        <w:t xml:space="preserve">: Integrate SHAP values for instance-level prediction explanations</w:t>
      </w:r>
    </w:p>
    <w:p>
      <w:pPr>
        <w:pStyle w:val="Compact"/>
        <w:numPr>
          <w:ilvl w:val="0"/>
          <w:numId w:val="1008"/>
        </w:numPr>
        <w:spacing w:line="480" w:lineRule="auto" w:before="0" w:after="0"/>
        <w:ind w:left="0" w:firstLine="720"/>
        <w:jc w:val="left"/>
        <w:rPr>
          <w:rFonts w:ascii="Times New Roman" w:hAnsi="Times New Roman" w:cs="Times New Roman"/>
          <w:sz w:val="24"/>
          <w:szCs w:val="24"/>
        </w:rPr>
      </w:pPr>
      <w:r>
        <w:rPr>
          <w:rFonts w:ascii="Times New Roman" w:hAnsi="Times New Roman"/>
          <w:b/>
          <w:bCs/>
          <w:sz w:val="24"/>
        </w:rPr>
        <w:t xml:space="preserve">Reinforcement Learning</w:t>
      </w:r>
      <w:r>
        <w:rPr>
          <w:rFonts w:ascii="Times New Roman" w:hAnsi="Times New Roman"/>
          <w:sz w:val="24"/>
        </w:rPr>
        <w:t xml:space="preserve">: Explore RL for optimal actuator control policies that maximize yield while minimizing resource usage</w:t>
      </w:r>
    </w:p>
    <w:p>
      <w:pPr>
        <w:pStyle w:val="Heading3"/>
        <w:spacing w:line="480" w:lineRule="auto" w:before="0" w:after="0"/>
        <w:ind w:firstLine="0"/>
        <w:jc w:val="left"/>
        <w:rPr>
          <w:rFonts w:ascii="Times New Roman" w:hAnsi="Times New Roman" w:cs="Times New Roman"/>
          <w:sz w:val="24"/>
          <w:szCs w:val="24"/>
        </w:rPr>
      </w:pPr>
      <w:r>
        <w:rPr>
          <w:rFonts w:ascii="Times New Roman" w:hAnsi="Times New Roman"/>
          <w:b/>
          <w:i/>
          <w:sz w:val="24"/>
        </w:rPr>
        <w:t xml:space="preserve">Practical Impact</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This work demonstrates that sophisticated ML capabilities can be deployed on low-cost edge hardware for IoT agriculture, making precision agriculture accessible to resource-constrained farmers. The feature importance insights (watering pump dominance) validate that models learn physically meaningful relationships rather than spurious correlations. The hybrid edge-cloud architecture balances real-time responsiveness with advanced analytics, providing a practical blueprint for production greenhouse systems.</w:t>
      </w:r>
    </w:p>
    <w:p>
      <w:pPr>
        <w:pStyle w:val="BodyText"/>
        <w:spacing w:line="480" w:lineRule="auto" w:before="0" w:after="0"/>
        <w:ind w:left="0" w:firstLine="720"/>
        <w:jc w:val="left"/>
        <w:rPr>
          <w:rFonts w:ascii="Times New Roman" w:hAnsi="Times New Roman" w:cs="Times New Roman"/>
          <w:sz w:val="24"/>
          <w:szCs w:val="24"/>
        </w:rPr>
      </w:pPr>
      <w:r>
        <w:rPr>
          <w:rFonts w:ascii="Times New Roman" w:hAnsi="Times New Roman"/>
          <w:sz w:val="24"/>
        </w:rPr>
        <w:t xml:space="preserve">By achieving 90% variance explanation for humidity prediction, our system could reduce manual monitoring burden, detect sensor failures automatically, and optimize resource usage. For greenhouses in inhospitable environments (like Iraq’s climate), such precision can mean the difference between crop success and failure.</w:t>
      </w:r>
    </w:p>
    <w:p>
      <w:r>
        <w:pict>
          <v:rect style="width:0;height:1.5pt" o:hralign="center" o:hrstd="t" o:hr="t"/>
        </w:pict>
      </w:r>
    </w:p>
    <w:p>
      <w:pPr>
        <w:pStyle w:val="Heading2"/>
        <w:spacing w:line="480" w:lineRule="auto" w:before="0" w:after="0"/>
        <w:ind w:firstLine="0"/>
        <w:jc w:val="left"/>
        <w:rPr>
          <w:rFonts w:ascii="Times New Roman" w:hAnsi="Times New Roman" w:cs="Times New Roman"/>
          <w:sz w:val="24"/>
          <w:szCs w:val="24"/>
        </w:rPr>
      </w:pPr>
      <w:r>
        <w:rPr>
          <w:rFonts w:ascii="Times New Roman" w:hAnsi="Times New Roman"/>
          <w:b/>
          <w:i w:val="0"/>
          <w:sz w:val="24"/>
        </w:rPr>
        <w:t xml:space="preserve">AI Use Disclosure</w:t>
      </w:r>
    </w:p>
    <w:p>
      <w:pPr>
        <w:pStyle w:val="FirstParagraph"/>
        <w:spacing w:line="480" w:lineRule="auto" w:before="0" w:after="0"/>
        <w:ind w:left="0" w:firstLine="0"/>
        <w:jc w:val="left"/>
        <w:rPr>
          <w:rFonts w:ascii="Times New Roman" w:hAnsi="Times New Roman" w:cs="Times New Roman"/>
          <w:sz w:val="24"/>
          <w:szCs w:val="24"/>
        </w:rPr>
      </w:pPr>
      <w:r>
        <w:rPr>
          <w:rFonts w:ascii="Times New Roman" w:hAnsi="Times New Roman"/>
          <w:sz w:val="24"/>
        </w:rPr>
        <w:t xml:space="preserve">Portions of this report were drafted and edited with the assistance of Claude (Anthropic). All analyses, model development, results, and interpretations reflect the authors’ own work and independent judgment.</w:t>
      </w:r>
    </w:p>
    <w:p>
      <w:r>
        <w:pict>
          <v:rect style="width:0;height:1.5pt" o:hralign="center" o:hrstd="t" o:hr="t"/>
        </w:pict>
      </w:r>
    </w:p>
    <w:p>
      <w:pPr>
        <w:pStyle w:val="Heading2"/>
        <w:spacing w:line="480" w:lineRule="auto" w:before="0" w:after="0"/>
        <w:ind w:firstLine="0"/>
        <w:jc w:val="left"/>
        <w:rPr>
          <w:rFonts w:ascii="Times New Roman" w:hAnsi="Times New Roman" w:cs="Times New Roman"/>
          <w:sz w:val="24"/>
          <w:szCs w:val="24"/>
        </w:rPr>
      </w:pPr>
      <w:r>
        <w:rPr>
          <w:rFonts w:ascii="Times New Roman" w:hAnsi="Times New Roman"/>
          <w:b/>
          <w:i w:val="0"/>
          <w:sz w:val="24"/>
        </w:rPr>
        <w:t xml:space="preserve">References</w:t>
      </w:r>
    </w:p>
    <w:p>
      <w:pPr>
        <w:pStyle w:val="FirstParagraph"/>
        <w:spacing w:line="480" w:lineRule="auto" w:before="0" w:after="0"/>
        <w:ind w:left="720" w:hanging="720"/>
        <w:jc w:val="left"/>
        <w:rPr>
          <w:rFonts w:ascii="Times New Roman" w:hAnsi="Times New Roman" w:cs="Times New Roman"/>
          <w:sz w:val="24"/>
          <w:szCs w:val="24"/>
        </w:rPr>
      </w:pPr>
      <w:r>
        <w:rPr>
          <w:rFonts w:ascii="Times New Roman" w:hAnsi="Times New Roman"/>
          <w:sz w:val="24"/>
        </w:rPr>
        <w:t xml:space="preserve">Abdullah, W. D. (2024).</w:t>
      </w:r>
      <w:r>
        <w:rPr>
          <w:rFonts w:ascii="Times New Roman" w:hAnsi="Times New Roman"/>
          <w:sz w:val="24"/>
        </w:rPr>
        <w:t xml:space="preserve"> </w:t>
      </w:r>
      <w:r>
        <w:rPr>
          <w:rFonts w:ascii="Times New Roman" w:hAnsi="Times New Roman"/>
          <w:i/>
          <w:iCs/>
          <w:sz w:val="24"/>
        </w:rPr>
        <w:t xml:space="preserve">IoT Agriculture 2024</w:t>
      </w:r>
      <w:r>
        <w:rPr>
          <w:rFonts w:ascii="Times New Roman" w:hAnsi="Times New Roman"/>
          <w:sz w:val="24"/>
        </w:rPr>
        <w:t xml:space="preserve"> </w:t>
      </w:r>
      <w:r>
        <w:rPr>
          <w:rFonts w:ascii="Times New Roman" w:hAnsi="Times New Roman"/>
          <w:sz w:val="24"/>
        </w:rPr>
        <w:t xml:space="preserve">[Data set]. Kaggle. https://www.kaggle.com/datasets/wisam1985/iot-agriculture-2024</w:t>
      </w:r>
    </w:p>
    <w:p>
      <w:pPr>
        <w:pStyle w:val="BodyText"/>
        <w:spacing w:line="480" w:lineRule="auto" w:before="0" w:after="0"/>
        <w:ind w:left="720" w:hanging="720"/>
        <w:jc w:val="left"/>
        <w:rPr>
          <w:rFonts w:ascii="Times New Roman" w:hAnsi="Times New Roman" w:cs="Times New Roman"/>
          <w:sz w:val="24"/>
          <w:szCs w:val="24"/>
        </w:rPr>
      </w:pPr>
      <w:r>
        <w:rPr>
          <w:rFonts w:ascii="Times New Roman" w:hAnsi="Times New Roman"/>
          <w:sz w:val="24"/>
        </w:rPr>
        <w:t xml:space="preserve">Chen, T., &amp; Guestrin, C. (2016). XGBoost: A scalable tree boosting system.</w:t>
      </w:r>
      <w:r>
        <w:rPr>
          <w:rFonts w:ascii="Times New Roman" w:hAnsi="Times New Roman"/>
          <w:sz w:val="24"/>
        </w:rPr>
        <w:t xml:space="preserve"> </w:t>
      </w:r>
      <w:r>
        <w:rPr>
          <w:rFonts w:ascii="Times New Roman" w:hAnsi="Times New Roman"/>
          <w:i/>
          <w:iCs/>
          <w:sz w:val="24"/>
        </w:rPr>
        <w:t xml:space="preserve">Proceedings of the 22nd ACM SIGKDD International Conference on Knowledge Discovery and Data Mining</w:t>
      </w:r>
      <w:r>
        <w:rPr>
          <w:rFonts w:ascii="Times New Roman" w:hAnsi="Times New Roman"/>
          <w:sz w:val="24"/>
        </w:rPr>
        <w:t xml:space="preserve">, 785–794. https://doi.org/10.1145/2939672.2939785</w:t>
      </w:r>
    </w:p>
    <w:p>
      <w:pPr>
        <w:pStyle w:val="BodyText"/>
        <w:spacing w:line="480" w:lineRule="auto" w:before="0" w:after="0"/>
        <w:ind w:left="720" w:hanging="720"/>
        <w:jc w:val="left"/>
        <w:rPr>
          <w:rFonts w:ascii="Times New Roman" w:hAnsi="Times New Roman" w:cs="Times New Roman"/>
          <w:sz w:val="24"/>
          <w:szCs w:val="24"/>
        </w:rPr>
      </w:pPr>
      <w:r>
        <w:rPr>
          <w:rFonts w:ascii="Times New Roman" w:hAnsi="Times New Roman"/>
          <w:sz w:val="24"/>
        </w:rPr>
        <w:t xml:space="preserve">Elijah, O., Rahman, T. A., Orikumhi, I., Leow, C. Y., &amp; Hindia, M. N. (2018). An overview of Internet of Things (IoT) and data analytics in agriculture: Benefits and challenges.</w:t>
      </w:r>
      <w:r>
        <w:rPr>
          <w:rFonts w:ascii="Times New Roman" w:hAnsi="Times New Roman"/>
          <w:sz w:val="24"/>
        </w:rPr>
        <w:t xml:space="preserve"> </w:t>
      </w:r>
      <w:r>
        <w:rPr>
          <w:rFonts w:ascii="Times New Roman" w:hAnsi="Times New Roman"/>
          <w:i/>
          <w:iCs/>
          <w:sz w:val="24"/>
        </w:rPr>
        <w:t xml:space="preserve">IEEE Internet of Things Journal</w:t>
      </w:r>
      <w:r>
        <w:rPr>
          <w:rFonts w:ascii="Times New Roman" w:hAnsi="Times New Roman"/>
          <w:sz w:val="24"/>
        </w:rPr>
        <w:t xml:space="preserve">, 5(5), 3758–3773. https://doi.org/10.1109/JIOT.2018.2844296</w:t>
      </w:r>
    </w:p>
    <w:p>
      <w:pPr>
        <w:pStyle w:val="BodyText"/>
        <w:spacing w:line="480" w:lineRule="auto" w:before="0" w:after="0"/>
        <w:ind w:left="720" w:hanging="720"/>
        <w:jc w:val="left"/>
        <w:rPr>
          <w:rFonts w:ascii="Times New Roman" w:hAnsi="Times New Roman" w:cs="Times New Roman"/>
          <w:sz w:val="24"/>
          <w:szCs w:val="24"/>
        </w:rPr>
      </w:pPr>
      <w:r>
        <w:rPr>
          <w:rFonts w:ascii="Times New Roman" w:hAnsi="Times New Roman"/>
          <w:sz w:val="24"/>
        </w:rPr>
        <w:t xml:space="preserve">Farooq, M. S., Riaz, S., Abid, A., Abid, K., &amp; Naeem, M. A. (2019). A survey on the role of IoT in agriculture for the implementation of smart farming.</w:t>
      </w:r>
      <w:r>
        <w:rPr>
          <w:rFonts w:ascii="Times New Roman" w:hAnsi="Times New Roman"/>
          <w:sz w:val="24"/>
        </w:rPr>
        <w:t xml:space="preserve"> </w:t>
      </w:r>
      <w:r>
        <w:rPr>
          <w:rFonts w:ascii="Times New Roman" w:hAnsi="Times New Roman"/>
          <w:i/>
          <w:iCs/>
          <w:sz w:val="24"/>
        </w:rPr>
        <w:t xml:space="preserve">IEEE Access</w:t>
      </w:r>
      <w:r>
        <w:rPr>
          <w:rFonts w:ascii="Times New Roman" w:hAnsi="Times New Roman"/>
          <w:sz w:val="24"/>
        </w:rPr>
        <w:t xml:space="preserve">, 7, 156237–156271. https://doi.org/10.1109/ACCESS.2019.2949703</w:t>
      </w:r>
    </w:p>
    <w:p>
      <w:pPr>
        <w:pStyle w:val="BodyText"/>
        <w:spacing w:line="480" w:lineRule="auto" w:before="0" w:after="0"/>
        <w:ind w:left="720" w:hanging="720"/>
        <w:jc w:val="left"/>
        <w:rPr>
          <w:rFonts w:ascii="Times New Roman" w:hAnsi="Times New Roman" w:cs="Times New Roman"/>
          <w:sz w:val="24"/>
          <w:szCs w:val="24"/>
        </w:rPr>
      </w:pPr>
      <w:r>
        <w:rPr>
          <w:rFonts w:ascii="Times New Roman" w:hAnsi="Times New Roman"/>
          <w:sz w:val="24"/>
        </w:rPr>
        <w:t xml:space="preserve">Goodfellow, I., Bengio, Y., &amp; Courville, A. (2016).</w:t>
      </w:r>
      <w:r>
        <w:rPr>
          <w:rFonts w:ascii="Times New Roman" w:hAnsi="Times New Roman"/>
          <w:sz w:val="24"/>
        </w:rPr>
        <w:t xml:space="preserve"> </w:t>
      </w:r>
      <w:r>
        <w:rPr>
          <w:rFonts w:ascii="Times New Roman" w:hAnsi="Times New Roman"/>
          <w:i/>
          <w:iCs/>
          <w:sz w:val="24"/>
        </w:rPr>
        <w:t xml:space="preserve">Deep learning</w:t>
      </w:r>
      <w:r>
        <w:rPr>
          <w:rFonts w:ascii="Times New Roman" w:hAnsi="Times New Roman"/>
          <w:sz w:val="24"/>
        </w:rPr>
        <w:t xml:space="preserve">. MIT Press.</w:t>
      </w:r>
    </w:p>
    <w:p>
      <w:pPr>
        <w:pStyle w:val="BodyText"/>
        <w:spacing w:line="480" w:lineRule="auto" w:before="0" w:after="0"/>
        <w:ind w:left="720" w:hanging="720"/>
        <w:jc w:val="left"/>
        <w:rPr>
          <w:rFonts w:ascii="Times New Roman" w:hAnsi="Times New Roman" w:cs="Times New Roman"/>
          <w:sz w:val="24"/>
          <w:szCs w:val="24"/>
        </w:rPr>
      </w:pPr>
      <w:r>
        <w:rPr>
          <w:rFonts w:ascii="Times New Roman" w:hAnsi="Times New Roman"/>
          <w:sz w:val="24"/>
        </w:rPr>
        <w:t xml:space="preserve">Hochreiter, S., &amp; Schmidhuber, J. (1997). Long short-term memory.</w:t>
      </w:r>
      <w:r>
        <w:rPr>
          <w:rFonts w:ascii="Times New Roman" w:hAnsi="Times New Roman"/>
          <w:sz w:val="24"/>
        </w:rPr>
        <w:t xml:space="preserve"> </w:t>
      </w:r>
      <w:r>
        <w:rPr>
          <w:rFonts w:ascii="Times New Roman" w:hAnsi="Times New Roman"/>
          <w:i/>
          <w:iCs/>
          <w:sz w:val="24"/>
        </w:rPr>
        <w:t xml:space="preserve">Neural Computation</w:t>
      </w:r>
      <w:r>
        <w:rPr>
          <w:rFonts w:ascii="Times New Roman" w:hAnsi="Times New Roman"/>
          <w:sz w:val="24"/>
        </w:rPr>
        <w:t xml:space="preserve">, 9(8), 1735–1780. https://doi.org/10.1162/neco.1997.9.8.1735</w:t>
      </w:r>
    </w:p>
    <w:p>
      <w:pPr>
        <w:pStyle w:val="BodyText"/>
        <w:spacing w:line="480" w:lineRule="auto" w:before="0" w:after="0"/>
        <w:ind w:left="720" w:hanging="720"/>
        <w:jc w:val="left"/>
        <w:rPr>
          <w:rFonts w:ascii="Times New Roman" w:hAnsi="Times New Roman" w:cs="Times New Roman"/>
          <w:sz w:val="24"/>
          <w:szCs w:val="24"/>
        </w:rPr>
      </w:pPr>
      <w:r>
        <w:rPr>
          <w:rFonts w:ascii="Times New Roman" w:hAnsi="Times New Roman"/>
          <w:sz w:val="24"/>
        </w:rPr>
        <w:t xml:space="preserve">Liakos, K. G., Busato, P., Moshou, D., Pearson, S., &amp; Bochtis, D. (2018). Machine learning in agriculture: A review.</w:t>
      </w:r>
      <w:r>
        <w:rPr>
          <w:rFonts w:ascii="Times New Roman" w:hAnsi="Times New Roman"/>
          <w:sz w:val="24"/>
        </w:rPr>
        <w:t xml:space="preserve"> </w:t>
      </w:r>
      <w:r>
        <w:rPr>
          <w:rFonts w:ascii="Times New Roman" w:hAnsi="Times New Roman"/>
          <w:i/>
          <w:iCs/>
          <w:sz w:val="24"/>
        </w:rPr>
        <w:t xml:space="preserve">Sensors</w:t>
      </w:r>
      <w:r>
        <w:rPr>
          <w:rFonts w:ascii="Times New Roman" w:hAnsi="Times New Roman"/>
          <w:sz w:val="24"/>
        </w:rPr>
        <w:t xml:space="preserve">, 18(8), 2674. https://doi.org/10.3390/s18082674</w:t>
      </w:r>
    </w:p>
    <w:p>
      <w:pPr>
        <w:pStyle w:val="BodyText"/>
        <w:spacing w:line="480" w:lineRule="auto" w:before="0" w:after="0"/>
        <w:ind w:left="720" w:hanging="720"/>
        <w:jc w:val="left"/>
        <w:rPr>
          <w:rFonts w:ascii="Times New Roman" w:hAnsi="Times New Roman" w:cs="Times New Roman"/>
          <w:sz w:val="24"/>
          <w:szCs w:val="24"/>
        </w:rPr>
      </w:pPr>
      <w:r>
        <w:rPr>
          <w:rFonts w:ascii="Times New Roman" w:hAnsi="Times New Roman"/>
          <w:sz w:val="24"/>
        </w:rPr>
        <w:t xml:space="preserve">Pedregosa, F., Varoquaux, G., Gramfort, A., Michel, V., Thirion, B., Grisel, O., Blondel, M., Prettenhofer, P., Weiss, R., Dubourg, V., Vanderplas, J., Passos, A., Cournapeau, D., Brucher, M., Perrot, M., &amp; Duchesnay, É. (2011). Scikit-learn: Machine learning in Python.</w:t>
      </w:r>
      <w:r>
        <w:rPr>
          <w:rFonts w:ascii="Times New Roman" w:hAnsi="Times New Roman"/>
          <w:sz w:val="24"/>
        </w:rPr>
        <w:t xml:space="preserve"> </w:t>
      </w:r>
      <w:r>
        <w:rPr>
          <w:rFonts w:ascii="Times New Roman" w:hAnsi="Times New Roman"/>
          <w:i/>
          <w:iCs/>
          <w:sz w:val="24"/>
        </w:rPr>
        <w:t xml:space="preserve">Journal of Machine Learning Research</w:t>
      </w:r>
      <w:r>
        <w:rPr>
          <w:rFonts w:ascii="Times New Roman" w:hAnsi="Times New Roman"/>
          <w:sz w:val="24"/>
        </w:rPr>
        <w:t xml:space="preserve">, 12, 2825–2830.</w:t>
      </w:r>
    </w:p>
    <w:p>
      <w:pPr>
        <w:pStyle w:val="BodyText"/>
        <w:spacing w:line="480" w:lineRule="auto" w:before="0" w:after="0"/>
        <w:ind w:left="720" w:hanging="720"/>
        <w:jc w:val="left"/>
        <w:rPr>
          <w:rFonts w:ascii="Times New Roman" w:hAnsi="Times New Roman" w:cs="Times New Roman"/>
          <w:sz w:val="24"/>
          <w:szCs w:val="24"/>
        </w:rPr>
      </w:pPr>
      <w:r>
        <w:rPr>
          <w:rFonts w:ascii="Times New Roman" w:hAnsi="Times New Roman"/>
          <w:sz w:val="24"/>
        </w:rPr>
        <w:t xml:space="preserve">Tzounis, A., Katsoulas, N., Bartzanas, T., &amp; Kittas, C. (2017). Internet of Things in agriculture, recent advances and future challenges.</w:t>
      </w:r>
      <w:r>
        <w:rPr>
          <w:rFonts w:ascii="Times New Roman" w:hAnsi="Times New Roman"/>
          <w:sz w:val="24"/>
        </w:rPr>
        <w:t xml:space="preserve"> </w:t>
      </w:r>
      <w:r>
        <w:rPr>
          <w:rFonts w:ascii="Times New Roman" w:hAnsi="Times New Roman"/>
          <w:i/>
          <w:iCs/>
          <w:sz w:val="24"/>
        </w:rPr>
        <w:t xml:space="preserve">Biosystems Engineering</w:t>
      </w:r>
      <w:r>
        <w:rPr>
          <w:rFonts w:ascii="Times New Roman" w:hAnsi="Times New Roman"/>
          <w:sz w:val="24"/>
        </w:rPr>
        <w:t xml:space="preserve">, 164, 31–48. https://doi.org/10.1016/j.biosystemseng.2017.09.007</w:t>
      </w:r>
    </w:p>
    <w:p>
      <w:r>
        <w:pict>
          <v:rect style="width:0;height:1.5pt" o:hralign="center" o:hrstd="t" o:hr="t"/>
        </w:pict>
      </w:r>
    </w:p>
    <w:p>
      <w:pPr>
        <w:pStyle w:val="FirstParagraph"/>
        <w:spacing w:line="480" w:lineRule="auto" w:before="0" w:after="0"/>
        <w:ind w:left="720" w:hanging="720"/>
        <w:jc w:val="left"/>
        <w:rPr>
          <w:rFonts w:ascii="Times New Roman" w:hAnsi="Times New Roman" w:cs="Times New Roman"/>
          <w:sz w:val="24"/>
          <w:szCs w:val="24"/>
        </w:rPr>
      </w:pPr>
      <w:r>
        <w:rPr>
          <w:rFonts w:ascii="Times New Roman" w:hAnsi="Times New Roman"/>
          <w:i/>
          <w:iCs/>
          <w:sz w:val="24"/>
        </w:rPr>
        <w:t xml:space="preserve">Word Count: ~3,800 words | Pages: ~4 (formatted)</w:t>
      </w:r>
    </w:p>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ind w:firstLine="720" w:left="0" w:right="0"/>
      <w:jc w:val="left"/>
    </w:pPr>
    <w:rPr>
      <w:rFonts w:ascii="Times New Roman" w:hAnsi="Times New Roman"/>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0" w:line="480" w:lineRule="auto"/>
      <w:ind w:firstLine="0" w:left="0" w:right="0"/>
      <w:jc w:val="center"/>
      <w:outlineLvl w:val="0"/>
    </w:pPr>
    <w:rPr>
      <w:rFonts w:ascii="Times New Roman" w:asciiTheme="majorHAnsi" w:cstheme="majorBidi" w:eastAsiaTheme="majorEastAsia" w:hAnsi="Times New Roman" w:hAnsiTheme="majorHAnsi"/>
      <w:b/>
      <w:bCs/>
      <w:i w:val="0"/>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0" w:line="480" w:lineRule="auto"/>
      <w:ind w:firstLine="0" w:left="0" w:right="0"/>
      <w:jc w:val="left"/>
      <w:outlineLvl w:val="1"/>
    </w:pPr>
    <w:rPr>
      <w:rFonts w:ascii="Times New Roman" w:asciiTheme="majorHAnsi" w:cstheme="majorBidi" w:eastAsiaTheme="majorEastAsia" w:hAnsi="Times New Roman" w:hAnsiTheme="majorHAnsi"/>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0" w:line="480" w:lineRule="auto"/>
      <w:ind w:firstLine="0" w:left="0" w:right="0"/>
      <w:jc w:val="left"/>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0" w:line="480" w:lineRule="auto"/>
      <w:ind w:firstLine="720" w:left="0" w:right="0"/>
      <w:jc w:val="left"/>
      <w:outlineLvl w:val="3"/>
    </w:pPr>
    <w:rPr>
      <w:rFonts w:ascii="Times New Roman" w:asciiTheme="majorHAnsi" w:cstheme="majorBidi" w:eastAsiaTheme="majorEastAsia" w:hAnsi="Times New Roman" w:hAnsiTheme="majorHAnsi"/>
      <w:b w:val="0"/>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before="0" w:line="480" w:lineRule="auto"/>
      <w:ind w:firstLine="720" w:left="0" w:right="0"/>
      <w:jc w:val="left"/>
    </w:pPr>
    <w:rPr>
      <w:rFonts w:ascii="Times New Roman" w:hAnsi="Times New Roman"/>
      <w:b w:val="0"/>
      <w:i w:val="0"/>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0" w:before="0" w:line="480" w:lineRule="auto"/>
      <w:ind w:firstLine="0" w:left="0" w:right="0"/>
      <w:jc w:val="left"/>
    </w:pPr>
    <w:rPr>
      <w:rFonts w:ascii="Times New Roman" w:hAnsi="Times New Roman"/>
      <w:b w:val="0"/>
      <w:bCs/>
      <w:i w:val="0"/>
      <w:color w:val="000000"/>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0" w:before="0" w:line="480" w:lineRule="auto"/>
      <w:ind w:firstLine="0" w:left="0" w:right="0"/>
      <w:jc w:val="left"/>
    </w:pPr>
    <w:rPr>
      <w:rFonts w:ascii="Times New Roman" w:hAnsi="Times New Roman"/>
      <w:b w:val="0"/>
      <w:i w:val="0"/>
      <w:color w:val="000000"/>
      <w:sz w:val="24"/>
    </w:rPr>
  </w:style>
  <w:style w:customStyle="1" w:styleId="Compact" w:type="paragraph">
    <w:name w:val="Compact"/>
    <w:basedOn w:val="Normal"/>
    <w:pPr>
      <w:spacing w:after="0" w:before="0" w:line="480" w:lineRule="auto"/>
      <w:ind w:firstLine="0" w:left="0" w:right="0"/>
      <w:jc w:val="left"/>
    </w:pPr>
    <w:rPr>
      <w:rFonts w:ascii="Times New Roman" w:hAnsi="Times New Roman"/>
      <w:b w:val="0"/>
      <w:i w:val="0"/>
      <w:color w:val="000000"/>
      <w:sz w:val="24"/>
    </w:rPr>
  </w:style>
  <w:style w:customStyle="1" w:styleId="BlockText" w:type="paragraph">
    <w:name w:val="Block Text"/>
    <w:basedOn w:val="Normal"/>
    <w:pPr>
      <w:spacing w:after="0" w:before="0" w:line="480" w:lineRule="auto"/>
      <w:ind w:firstLine="0" w:left="720" w:right="720"/>
      <w:jc w:val="left"/>
    </w:pPr>
    <w:rPr>
      <w:rFonts w:ascii="Times New Roman" w:hAnsi="Times New Roman"/>
      <w:b w:val="0"/>
      <w:i w:val="0"/>
      <w:color w:val="000000"/>
      <w:sz w:val="24"/>
    </w:rPr>
  </w:style>
  <w:style w:customStyle="1" w:styleId="SourceCode" w:type="paragraph">
    <w:name w:val="Source Code"/>
    <w:basedOn w:val="Normal"/>
    <w:pPr>
      <w:spacing w:after="0" w:before="0" w:line="240" w:lineRule="auto"/>
      <w:ind w:firstLine="0" w:left="720" w:right="0"/>
      <w:jc w:val="left"/>
    </w:pPr>
    <w:rPr>
      <w:rFonts w:ascii="Courier New" w:hAnsi="Courier New"/>
      <w:b w:val="0"/>
      <w:i w:val="0"/>
      <w:color w:val="000000"/>
      <w:sz w:val="20"/>
    </w:rPr>
  </w:style>
  <w:style w:customStyle="1" w:styleId="VerbatimChar" w:type="character">
    <w:name w:val="Verbatim Char"/>
    <w:rPr>
      <w:rFonts w:ascii="Courier New" w:hAnsi="Courier New"/>
      <w:sz w:val="20"/>
    </w:rPr>
  </w:style>
  <w:style w:customStyle="1" w:styleId="Bibliography" w:type="paragraph">
    <w:name w:val="Bibliography"/>
    <w:basedOn w:val="Normal"/>
    <w:pPr>
      <w:spacing w:after="0" w:before="0" w:line="480" w:lineRule="auto"/>
      <w:ind w:hanging="720" w:left="720" w:right="0"/>
      <w:jc w:val="left"/>
    </w:pPr>
    <w:rPr>
      <w:rFonts w:ascii="Times New Roman" w:hAnsi="Times New Roman"/>
      <w:b w:val="0"/>
      <w:i w:val="0"/>
      <w:color w:val="000000"/>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50" Type="http://schemas.openxmlformats.org/officeDocument/2006/relationships/image" Target="media/rId50.png"/><Relationship Id="rId54" Type="http://schemas.openxmlformats.org/officeDocument/2006/relationships/image" Target="media/rId54.png"/><Relationship Id="rId57" Type="http://schemas.openxmlformats.org/officeDocument/2006/relationships/image" Target="media/rId57.png"/><Relationship Id="rId23" Type="http://schemas.openxmlformats.org/officeDocument/2006/relationships/image" Target="media/rId23.png"/><Relationship Id="rId31" Type="http://schemas.openxmlformats.org/officeDocument/2006/relationships/image" Target="media/rId31.png"/><Relationship Id="rId15" Type="http://schemas.openxmlformats.org/officeDocument/2006/relationships/image" Target="media/rId15.png"/><Relationship Id="rId44" Type="http://schemas.openxmlformats.org/officeDocument/2006/relationships/image" Target="media/rId44.png"/><Relationship Id="rId47" Type="http://schemas.openxmlformats.org/officeDocument/2006/relationships/image" Target="media/rId47.png"/><Relationship Id="rId18" Type="http://schemas.openxmlformats.org/officeDocument/2006/relationships/image" Target="media/rId18.png"/><Relationship Id="rId78" Type="http://schemas.openxmlformats.org/officeDocument/2006/relationships/image" Target="media/rId78.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2026-02-22T17:00:59Z</dcterms:created>
  <dcterms:modified xsi:type="dcterms:W3CDTF">2026-02-22T17:00:59Z</dcterms:modified>
</cp:coreProperties>
</file>

<file path=docProps/custom.xml><?xml version="1.0" encoding="utf-8"?>
<Properties xmlns="http://schemas.openxmlformats.org/officeDocument/2006/custom-properties" xmlns:vt="http://schemas.openxmlformats.org/officeDocument/2006/docPropsVTypes"/>
</file>