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8"/>
          <w:szCs w:val="48"/>
        </w:rPr>
        <w:t xml:space="preserve">Phase 1 Results Report</w:t>
      </w:r>
    </w:p>
    <w:p>
      <w:pPr>
        <w:pBdr>
          <w:bottom w:val="single" w:color="2E5984" w:sz="6" w:space="8"/>
        </w:pBdr>
        <w:spacing w:after="120"/>
        <w:jc w:val="center"/>
      </w:pPr>
      <w:r>
        <w:rPr>
          <w:rFonts w:ascii="Arial" w:cs="Arial" w:eastAsia="Arial" w:hAnsi="Arial"/>
          <w:color w:val="2E5984"/>
          <w:sz w:val="28"/>
          <w:szCs w:val="28"/>
        </w:rPr>
        <w:t xml:space="preserve">Grad-CAM on the SNAX Heterogeneous RISC-V Cluster</w:t>
      </w:r>
    </w:p>
    <w:p>
      <w:pPr>
        <w:spacing w:before="600"/>
      </w:pPr>
    </w:p>
    <w:p>
      <w:pPr>
        <w:spacing w:after="80"/>
        <w:jc w:val="center"/>
      </w:pPr>
      <w:r>
        <w:rPr>
          <w:rFonts w:ascii="Arial" w:cs="Arial" w:eastAsia="Arial" w:hAnsi="Arial"/>
          <w:color w:val="555555"/>
          <w:sz w:val="22"/>
          <w:szCs w:val="22"/>
        </w:rPr>
        <w:t xml:space="preserve">Explainable AI Methods on Heterogeneous Multi-Accelerator Platforms</w:t>
      </w:r>
    </w:p>
    <w:p>
      <w:pPr>
        <w:spacing w:after="80"/>
        <w:jc w:val="center"/>
      </w:pPr>
      <w:r>
        <w:rPr>
          <w:rFonts w:ascii="Arial" w:cs="Arial" w:eastAsia="Arial" w:hAnsi="Arial"/>
          <w:color w:val="555555"/>
          <w:sz w:val="22"/>
          <w:szCs w:val="22"/>
        </w:rPr>
        <w:t xml:space="preserve">Runtime Explainability for Embedded Neural Network Inference</w:t>
      </w:r>
    </w:p>
    <w:p>
      <w:pPr>
        <w:spacing w:before="800"/>
      </w:pPr>
    </w:p>
    <w:p>
      <w:pPr>
        <w:spacing w:after="80"/>
        <w:jc w:val="center"/>
      </w:pPr>
      <w:r>
        <w:rPr>
          <w:rFonts w:ascii="Arial" w:cs="Arial" w:eastAsia="Arial" w:hAnsi="Arial"/>
          <w:color w:val="333333"/>
          <w:sz w:val="21"/>
          <w:szCs w:val="21"/>
        </w:rPr>
        <w:t xml:space="preserve">Platform: SNAX Cluster (KU Leuven MICAS)</w:t>
      </w:r>
    </w:p>
    <w:p>
      <w:pPr>
        <w:spacing w:after="80"/>
        <w:jc w:val="center"/>
      </w:pPr>
      <w:r>
        <w:rPr>
          <w:rFonts w:ascii="Arial" w:cs="Arial" w:eastAsia="Arial" w:hAnsi="Arial"/>
          <w:b/>
          <w:bCs/>
          <w:color w:val="1B7A3D"/>
          <w:sz w:val="21"/>
          <w:szCs w:val="21"/>
        </w:rPr>
        <w:t xml:space="preserve">Verification: 0/16 Errors vs. NumPy Golden Reference</w:t>
      </w:r>
    </w:p>
    <w:p>
      <w:pPr>
        <w:spacing w:after="80"/>
        <w:jc w:val="center"/>
      </w:pPr>
      <w:r>
        <w:rPr>
          <w:rFonts w:ascii="Arial" w:cs="Arial" w:eastAsia="Arial" w:hAnsi="Arial"/>
          <w:color w:val="333333"/>
          <w:sz w:val="21"/>
          <w:szCs w:val="21"/>
        </w:rPr>
        <w:t xml:space="preserve">April 2026</w:t>
      </w:r>
    </w:p>
    <w:p>
      <w:r>
        <w:br w:type="page"/>
      </w:r>
    </w:p>
    <w:p>
      <w:pPr>
        <w:pStyle w:val="Heading1"/>
        <w:spacing w:after="200" w:before="360"/>
      </w:pPr>
      <w:r>
        <w:rPr>
          <w:rFonts w:ascii="Arial" w:cs="Arial" w:eastAsia="Arial" w:hAnsi="Arial"/>
          <w:b/>
          <w:bCs/>
          <w:color w:val="1B3A5C"/>
          <w:sz w:val="32"/>
          <w:szCs w:val="32"/>
        </w:rPr>
        <w:t xml:space="preserve">1. Introduction and Motivation</w:t>
      </w:r>
    </w:p>
    <w:p>
      <w:pPr>
        <w:spacing w:after="160" w:line="276"/>
        <w:jc w:val="both"/>
      </w:pPr>
      <w:r>
        <w:rPr>
          <w:rFonts w:ascii="Arial" w:cs="Arial" w:eastAsia="Arial" w:hAnsi="Arial"/>
          <w:sz w:val="21"/>
          <w:szCs w:val="21"/>
        </w:rPr>
        <w:t xml:space="preserve">Explainable AI (XAI) is critical for deploying neural networks in safety-sensitive embedded systems such as autonomous vehicles, medical devices, and industrial monitoring. While XAI methods like Grad-CAM, SHAP, and Integrated Gradients are well-established in cloud and desktop environments, their computational cost has prevented adoption in resource-constrained embedded platforms. This report presents the first known cycle-accurate measurement of Grad-CAM execution on an embedded RISC-V heterogeneous accelerator platform.</w:t>
      </w:r>
    </w:p>
    <w:p>
      <w:pPr>
        <w:spacing w:after="160" w:line="276"/>
        <w:jc w:val="both"/>
      </w:pPr>
      <w:r>
        <w:rPr>
          <w:rFonts w:ascii="Arial" w:cs="Arial" w:eastAsia="Arial" w:hAnsi="Arial"/>
          <w:sz w:val="21"/>
          <w:szCs w:val="21"/>
        </w:rPr>
        <w:t xml:space="preserve">The central research question is: Can runtime explainability be achieved on microcontroller-class hardware at acceptable overhead? Phase 1 answers this affirmatively by implementing and verifying Grad-CAM on the SNAX cluster, a heterogeneous RISC-V platform with tightly-coupled accelerators developed at KU Leuven.</w:t>
      </w:r>
    </w:p>
    <w:p>
      <w:pPr>
        <w:pStyle w:val="Heading2"/>
        <w:spacing w:after="160" w:before="280"/>
      </w:pPr>
      <w:r>
        <w:rPr>
          <w:rFonts w:ascii="Arial" w:cs="Arial" w:eastAsia="Arial" w:hAnsi="Arial"/>
          <w:b/>
          <w:bCs/>
          <w:color w:val="2E5984"/>
          <w:sz w:val="26"/>
          <w:szCs w:val="26"/>
        </w:rPr>
        <w:t xml:space="preserve">1.1 What is Grad-CAM?</w:t>
      </w:r>
    </w:p>
    <w:p>
      <w:pPr>
        <w:spacing w:after="160" w:line="276"/>
        <w:jc w:val="both"/>
      </w:pPr>
      <w:r>
        <w:rPr>
          <w:rFonts w:ascii="Arial" w:cs="Arial" w:eastAsia="Arial" w:hAnsi="Arial"/>
          <w:sz w:val="21"/>
          <w:szCs w:val="21"/>
        </w:rPr>
        <w:t xml:space="preserve">Gradient-weighted Class Activation Mapping (Grad-CAM) produces a coarse localization map highlighting important regions in an input image for a given class prediction. It works by computing the gradient of a target class score with respect to the feature maps of a convolutional layer, then using these gradients as weights to produce a weighted combination of the feature maps. The resulting saliency map is passed through ReLU (to retain only features with positive influence) and normalized to [0, 1].</w:t>
      </w:r>
    </w:p>
    <w:p>
      <w:pPr>
        <w:spacing w:after="160" w:line="276"/>
        <w:jc w:val="both"/>
      </w:pPr>
      <w:r>
        <w:rPr>
          <w:rFonts w:ascii="Arial" w:cs="Arial" w:eastAsia="Arial" w:hAnsi="Arial"/>
          <w:sz w:val="21"/>
          <w:szCs w:val="21"/>
        </w:rPr>
        <w:t xml:space="preserve">Grad-CAM is particularly suitable for embedded XAI because it requires only a single backward pass through the fully-connected classification layer (not the entire network), making it computationally lightweight relative to perturbation-based methods like SHAP which require N forward passes.</w:t>
      </w:r>
    </w:p>
    <w:p>
      <w:pPr>
        <w:pStyle w:val="Heading2"/>
        <w:spacing w:after="160" w:before="280"/>
      </w:pPr>
      <w:r>
        <w:rPr>
          <w:rFonts w:ascii="Arial" w:cs="Arial" w:eastAsia="Arial" w:hAnsi="Arial"/>
          <w:b/>
          <w:bCs/>
          <w:color w:val="2E5984"/>
          <w:sz w:val="26"/>
          <w:szCs w:val="26"/>
        </w:rPr>
        <w:t xml:space="preserve">1.2 Research Objectives</w:t>
      </w:r>
    </w:p>
    <w:p>
      <w:pPr>
        <w:spacing w:after="160" w:line="276"/>
        <w:jc w:val="both"/>
      </w:pPr>
      <w:r>
        <w:rPr>
          <w:rFonts w:ascii="Arial" w:cs="Arial" w:eastAsia="Arial" w:hAnsi="Arial"/>
          <w:sz w:val="21"/>
          <w:szCs w:val="21"/>
        </w:rPr>
        <w:t xml:space="preserve">Phase 1 targeted the following objectives: (a) implement a complete Grad-CAM pipeline as a bare-metal RISC-V kernel compatible with the SNAX runtime, (b) achieve numerical correctness verified against a Python/NumPy golden reference implementation, (c) obtain cycle-accurate performance measurements through RTL simulation, and (d) characterize the computational profile to identify optimization targets for subsequent phases.</w:t>
      </w:r>
    </w:p>
    <w:p>
      <w:r>
        <w:br w:type="page"/>
      </w:r>
    </w:p>
    <w:p>
      <w:pPr>
        <w:pStyle w:val="Heading1"/>
        <w:spacing w:after="200" w:before="360"/>
      </w:pPr>
      <w:r>
        <w:rPr>
          <w:rFonts w:ascii="Arial" w:cs="Arial" w:eastAsia="Arial" w:hAnsi="Arial"/>
          <w:b/>
          <w:bCs/>
          <w:color w:val="1B3A5C"/>
          <w:sz w:val="32"/>
          <w:szCs w:val="32"/>
        </w:rPr>
        <w:t xml:space="preserve">2. Platform Architecture</w:t>
      </w:r>
    </w:p>
    <w:p>
      <w:pPr>
        <w:pStyle w:val="Heading2"/>
        <w:spacing w:after="160" w:before="280"/>
      </w:pPr>
      <w:r>
        <w:rPr>
          <w:rFonts w:ascii="Arial" w:cs="Arial" w:eastAsia="Arial" w:hAnsi="Arial"/>
          <w:b/>
          <w:bCs/>
          <w:color w:val="2E5984"/>
          <w:sz w:val="26"/>
          <w:szCs w:val="26"/>
        </w:rPr>
        <w:t xml:space="preserve">2.1 SNAX Cluster Overview</w:t>
      </w:r>
    </w:p>
    <w:p>
      <w:pPr>
        <w:spacing w:after="160" w:line="276"/>
        <w:jc w:val="both"/>
      </w:pPr>
      <w:r>
        <w:rPr>
          <w:rFonts w:ascii="Arial" w:cs="Arial" w:eastAsia="Arial" w:hAnsi="Arial"/>
          <w:sz w:val="21"/>
          <w:szCs w:val="21"/>
        </w:rPr>
        <w:t xml:space="preserve">The SNAX cluster is a heterogeneous compute platform developed at KU Leuven (arXiv 2508.14582). It combines a multi-core RISC-V Snitch processor cluster with loosely-coupled hardware accelerators, connected through a shared tightly-coupled data memory (TCDM) interface. The architecture enables hardware-software co-design where accelerators handle data-parallel operations while RISC-V cores manage control flow and irregular computations.</w:t>
      </w:r>
    </w:p>
    <w:p>
      <w:pPr>
        <w:spacing w:after="120" w:before="200"/>
      </w:pPr>
      <w:r>
        <w:rPr>
          <w:rFonts w:ascii="Arial" w:cs="Arial" w:eastAsia="Arial" w:hAnsi="Arial"/>
          <w:b/>
          <w:bCs/>
          <w:color w:val="3A6F9E"/>
          <w:sz w:val="22"/>
          <w:szCs w:val="22"/>
        </w:rPr>
        <w:t xml:space="preserve">Cluster Configuration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Parameter</w:t>
            </w:r>
          </w:p>
        </w:tc>
        <w:tc>
          <w:tcPr>
            <w:tcW w:type="dxa" w:w="61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Value</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Compute Cores</w:t>
            </w:r>
          </w:p>
        </w:tc>
        <w:tc>
          <w:tcPr>
            <w:tcW w:type="dxa" w:w="6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8× rv32imafd Snitch cores (with FPU, SSR, FREP)</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DMA Core</w:t>
            </w:r>
          </w:p>
        </w:tc>
        <w:tc>
          <w:tcPr>
            <w:tcW w:type="dxa" w:w="6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 rv32imafd Snitch core (DMA engine)</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Accelerator</w:t>
            </w:r>
          </w:p>
        </w:tc>
        <w:tc>
          <w:tcPr>
            <w:tcW w:type="dxa" w:w="6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GeMM — 512 PEs, 8×8×8 INT8 block-tiled systolic array</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Accelerator Interface</w:t>
            </w:r>
          </w:p>
        </w:tc>
        <w:tc>
          <w:tcPr>
            <w:tcW w:type="dxa" w:w="6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CSR fire-and-forget (loosely-coupled control)</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Data Interface</w:t>
            </w:r>
          </w:p>
        </w:tc>
        <w:tc>
          <w:tcPr>
            <w:tcW w:type="dxa" w:w="6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128 KB TCDM (tightly-coupled, shared L1 SPM)</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ISA Extensions</w:t>
            </w:r>
          </w:p>
        </w:tc>
        <w:tc>
          <w:tcPr>
            <w:tcW w:type="dxa" w:w="6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F/D (single/double FP), Xssr, Xfrep, Xf16, Xf8, Xfdotp, Xfvec</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FP Div/Sqrt</w:t>
            </w:r>
          </w:p>
        </w:tc>
        <w:tc>
          <w:tcPr>
            <w:tcW w:type="dxa" w:w="6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Enabled (Xdiv_sqrt: true — required for Grad-CAM normalization)</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Simulation</w:t>
            </w:r>
          </w:p>
        </w:tc>
        <w:tc>
          <w:tcPr>
            <w:tcW w:type="dxa" w:w="6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Verilator RTL simulation (cycle-accurate)</w:t>
            </w:r>
          </w:p>
        </w:tc>
      </w:tr>
    </w:tbl>
    <w:p>
      <w:pPr>
        <w:pStyle w:val="Heading2"/>
        <w:spacing w:after="160" w:before="280"/>
      </w:pPr>
      <w:r>
        <w:rPr>
          <w:rFonts w:ascii="Arial" w:cs="Arial" w:eastAsia="Arial" w:hAnsi="Arial"/>
          <w:b/>
          <w:bCs/>
          <w:color w:val="2E5984"/>
          <w:sz w:val="26"/>
          <w:szCs w:val="26"/>
        </w:rPr>
        <w:t xml:space="preserve">2.2 Key Architectural Finding: INT8 Accelerator vs. Float32 XAI</w:t>
      </w:r>
    </w:p>
    <w:p>
      <w:pPr>
        <w:spacing w:after="160" w:line="276"/>
        <w:jc w:val="both"/>
      </w:pPr>
      <w:r>
        <w:rPr>
          <w:rFonts w:ascii="Arial" w:cs="Arial" w:eastAsia="Arial" w:hAnsi="Arial"/>
          <w:sz w:val="21"/>
          <w:szCs w:val="21"/>
        </w:rPr>
        <w:t xml:space="preserve">A critical architectural finding of Phase 1 is that the SNAX GeMM accelerator operates exclusively on INT8 data types with block-tiled 8×8×8 matrix operations. The Grad-CAM backward pass, however, requires float32 arithmetic to preserve gradient precision and saliency map quality. Quantizing gradients to INT8 would introduce unacceptable approximation errors in the saliency map, as gradient values span a wide dynamic range and small values carry significant information about feature importance.</w:t>
      </w:r>
    </w:p>
    <w:p>
      <w:pPr>
        <w:spacing w:after="160" w:line="276"/>
        <w:jc w:val="both"/>
      </w:pPr>
      <w:r>
        <w:rPr>
          <w:rFonts w:ascii="Arial" w:cs="Arial" w:eastAsia="Arial" w:hAnsi="Arial"/>
          <w:sz w:val="21"/>
          <w:szCs w:val="21"/>
        </w:rPr>
        <w:t xml:space="preserve">This means the Grad-CAM computation must execute entirely on the RISC-V scalar cores. This is architecturally correct: the accelerator handles the forward inference pass (INT8), while the scalar core handles the XAI backward pass (float32). This separation naturally maps to the SNAX heterogeneous execution model, where different compute units handle different data types and operation profiles.</w:t>
      </w:r>
    </w:p>
    <w:p>
      <w:r>
        <w:br w:type="page"/>
      </w:r>
    </w:p>
    <w:p>
      <w:pPr>
        <w:pStyle w:val="Heading1"/>
        <w:spacing w:after="200" w:before="360"/>
      </w:pPr>
      <w:r>
        <w:rPr>
          <w:rFonts w:ascii="Arial" w:cs="Arial" w:eastAsia="Arial" w:hAnsi="Arial"/>
          <w:b/>
          <w:bCs/>
          <w:color w:val="1B3A5C"/>
          <w:sz w:val="32"/>
          <w:szCs w:val="32"/>
        </w:rPr>
        <w:t xml:space="preserve">3. Implementation</w:t>
      </w:r>
    </w:p>
    <w:p>
      <w:pPr>
        <w:pStyle w:val="Heading2"/>
        <w:spacing w:after="160" w:before="280"/>
      </w:pPr>
      <w:r>
        <w:rPr>
          <w:rFonts w:ascii="Arial" w:cs="Arial" w:eastAsia="Arial" w:hAnsi="Arial"/>
          <w:b/>
          <w:bCs/>
          <w:color w:val="2E5984"/>
          <w:sz w:val="26"/>
          <w:szCs w:val="26"/>
        </w:rPr>
        <w:t xml:space="preserve">3.1 Grad-CAM Pipeline</w:t>
      </w:r>
    </w:p>
    <w:p>
      <w:pPr>
        <w:spacing w:after="160" w:line="276"/>
        <w:jc w:val="both"/>
      </w:pPr>
      <w:r>
        <w:rPr>
          <w:rFonts w:ascii="Arial" w:cs="Arial" w:eastAsia="Arial" w:hAnsi="Arial"/>
          <w:sz w:val="21"/>
          <w:szCs w:val="21"/>
        </w:rPr>
        <w:t xml:space="preserve">The Grad-CAM implementation consists of five sequential stages, each implemented as a dedicated function in gradcam.h. The pipeline operates on the final convolutional layer feature maps and the fully-connected classification layer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3760"/>
      </w:tblGrid>
      <w:tr>
        <w:tc>
          <w:tcPr>
            <w:tcW w:type="dxa" w:w="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Stage</w:t>
            </w:r>
          </w:p>
        </w:tc>
        <w:tc>
          <w:tcPr>
            <w:tcW w:type="dxa" w:w="3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Operation</w:t>
            </w:r>
          </w:p>
        </w:tc>
        <w:tc>
          <w:tcPr>
            <w:tcW w:type="dxa" w:w="37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Dimensions</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0</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19"/>
                <w:szCs w:val="19"/>
              </w:rPr>
              <w:t xml:space="preserve">Transpose</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W_fc (K×C) → W_fc_T (C×K)</w:t>
            </w:r>
          </w:p>
        </w:tc>
        <w:tc>
          <w:tcPr>
            <w:tcW w:type="dxa" w:w="3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16×10 → 10×16</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9"/>
                <w:szCs w:val="19"/>
              </w:rPr>
              <w:t xml:space="preserve">Backward GeMM</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grad[K] = d_logit[C] × W_fc_T[C×K]</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(1×10) × (10×16) → (1×16)</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2</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19"/>
                <w:szCs w:val="19"/>
              </w:rPr>
              <w:t xml:space="preserve">GAP Weights</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α[k] = grad[k] / (H×W) for each channel</w:t>
            </w:r>
          </w:p>
        </w:tc>
        <w:tc>
          <w:tcPr>
            <w:tcW w:type="dxa" w:w="3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16 divisions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3</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9"/>
                <w:szCs w:val="19"/>
              </w:rPr>
              <w:t xml:space="preserve">Weighted Sum</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cam[h,w] = Σ_k α[k] × fmap[h,w,k]</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4×4×16 = 256 MACs</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4</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bCs/>
                <w:sz w:val="19"/>
                <w:szCs w:val="19"/>
              </w:rPr>
              <w:t xml:space="preserve">ReLU + Norm</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max(0, cam) then cam / max_val</w:t>
            </w:r>
          </w:p>
        </w:tc>
        <w:tc>
          <w:tcPr>
            <w:tcW w:type="dxa" w:w="3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16 elements</w:t>
            </w:r>
          </w:p>
        </w:tc>
      </w:tr>
    </w:tbl>
    <w:p>
      <w:pPr>
        <w:pStyle w:val="Heading2"/>
        <w:spacing w:after="160" w:before="280"/>
      </w:pPr>
      <w:r>
        <w:rPr>
          <w:rFonts w:ascii="Arial" w:cs="Arial" w:eastAsia="Arial" w:hAnsi="Arial"/>
          <w:b/>
          <w:bCs/>
          <w:color w:val="2E5984"/>
          <w:sz w:val="26"/>
          <w:szCs w:val="26"/>
        </w:rPr>
        <w:t xml:space="preserve">3.2 Test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Parameter</w:t>
            </w:r>
          </w:p>
        </w:tc>
        <w:tc>
          <w:tcPr>
            <w:tcW w:type="dxa" w:w="61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Value</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Feature Map (H × W × K)</w:t>
            </w:r>
          </w:p>
        </w:tc>
        <w:tc>
          <w:tcPr>
            <w:tcW w:type="dxa" w:w="6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4 × 4 × 16 (256 elements, 1024 bytes)</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Number of Classes (C)</w:t>
            </w:r>
          </w:p>
        </w:tc>
        <w:tc>
          <w:tcPr>
            <w:tcW w:type="dxa" w:w="6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10 (e.g., CIFAR-10 classification)</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Target Class</w:t>
            </w:r>
          </w:p>
        </w:tc>
        <w:tc>
          <w:tcPr>
            <w:tcW w:type="dxa" w:w="6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3</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FC Weight Matrix</w:t>
            </w:r>
          </w:p>
        </w:tc>
        <w:tc>
          <w:tcPr>
            <w:tcW w:type="dxa" w:w="6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16 × 10 (160 float32 parameters)</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Output Saliency Map</w:t>
            </w:r>
          </w:p>
        </w:tc>
        <w:tc>
          <w:tcPr>
            <w:tcW w:type="dxa" w:w="6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4 × 4 (16 float32 values, normalized to [0,1])</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Data Type</w:t>
            </w:r>
          </w:p>
        </w:tc>
        <w:tc>
          <w:tcPr>
            <w:tcW w:type="dxa" w:w="6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float32 throughout (IEEE 754 single precision)</w:t>
            </w:r>
          </w:p>
        </w:tc>
      </w:tr>
      <w:tr>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Execution Core</w:t>
            </w:r>
          </w:p>
        </w:tc>
        <w:tc>
          <w:tcPr>
            <w:tcW w:type="dxa" w:w="6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Single compute core (core_idx == 0)</w:t>
            </w:r>
          </w:p>
        </w:tc>
      </w:tr>
    </w:tbl>
    <w:p>
      <w:pPr>
        <w:pStyle w:val="Heading2"/>
        <w:spacing w:after="160" w:before="280"/>
      </w:pPr>
      <w:r>
        <w:rPr>
          <w:rFonts w:ascii="Arial" w:cs="Arial" w:eastAsia="Arial" w:hAnsi="Arial"/>
          <w:b/>
          <w:bCs/>
          <w:color w:val="2E5984"/>
          <w:sz w:val="26"/>
          <w:szCs w:val="26"/>
        </w:rPr>
        <w:t xml:space="preserve">3.3 Software Architecture</w:t>
      </w:r>
    </w:p>
    <w:p>
      <w:pPr>
        <w:spacing w:after="160" w:line="276"/>
        <w:jc w:val="both"/>
      </w:pPr>
      <w:r>
        <w:rPr>
          <w:rFonts w:ascii="Arial" w:cs="Arial" w:eastAsia="Arial" w:hAnsi="Arial"/>
          <w:sz w:val="21"/>
          <w:szCs w:val="21"/>
        </w:rPr>
        <w:t xml:space="preserve">The implementation follows the standard SNAX application pattern with DMA-managed data movement and barrier-synchronized execution. The DMA core (core 8) transfers feature maps, FC weights, and the one-hot gradient vector from DRAM to L1 TCDM. After a hardware barrier, compute core 0 executes the five Grad-CAM stages. A final barrier synchronizes before the DMA core transfers the resulting saliency map back to DRAM.</w:t>
      </w:r>
    </w:p>
    <w:p>
      <w:pPr>
        <w:spacing w:after="160" w:line="276"/>
        <w:jc w:val="both"/>
      </w:pPr>
      <w:r>
        <w:rPr>
          <w:rFonts w:ascii="Arial" w:cs="Arial" w:eastAsia="Arial" w:hAnsi="Arial"/>
          <w:sz w:val="21"/>
          <w:szCs w:val="21"/>
        </w:rPr>
        <w:t xml:space="preserve">All functions in gradcam.h are pure scalar C without any dependency on the SSR (Stream Semantic Registers) or SNAX accelerator libraries. This was a deliberate design choice: since the GeMM accelerator only supports INT8, and the Grad-CAM pipeline requires float32, removing the accelerator dependency eliminates unnecessary complexity and makes the kernel portable to any rv32f-capable RISC-V core.</w:t>
      </w:r>
    </w:p>
    <w:p>
      <w:pPr>
        <w:pStyle w:val="Heading2"/>
        <w:spacing w:after="160" w:before="280"/>
      </w:pPr>
      <w:r>
        <w:rPr>
          <w:rFonts w:ascii="Arial" w:cs="Arial" w:eastAsia="Arial" w:hAnsi="Arial"/>
          <w:b/>
          <w:bCs/>
          <w:color w:val="2E5984"/>
          <w:sz w:val="26"/>
          <w:szCs w:val="26"/>
        </w:rPr>
        <w:t xml:space="preserve">3.4 Verification Methodology</w:t>
      </w:r>
    </w:p>
    <w:p>
      <w:pPr>
        <w:spacing w:after="160" w:line="276"/>
        <w:jc w:val="both"/>
      </w:pPr>
      <w:r>
        <w:rPr>
          <w:rFonts w:ascii="Arial" w:cs="Arial" w:eastAsia="Arial" w:hAnsi="Arial"/>
          <w:sz w:val="21"/>
          <w:szCs w:val="21"/>
        </w:rPr>
        <w:t xml:space="preserve">Correctness is verified at two levels. First, a Python/NumPy reference implementation (gradcam_reference.py) passes 11/11 pytest unit tests covering each pipeline stage individually and the end-to-end flow. Second, the C kernel running on the RTL-simulated SNAX cluster is verified against golden values generated by the same Python reference (via datagen.py), achieving 0/16 errors with a tolerance of 1e-3. This two-level verification ensures both algorithmic correctness and hardware implementation fidelity.</w:t>
      </w:r>
    </w:p>
    <w:p>
      <w:r>
        <w:br w:type="page"/>
      </w:r>
    </w:p>
    <w:p>
      <w:pPr>
        <w:pStyle w:val="Heading1"/>
        <w:spacing w:after="200" w:before="360"/>
      </w:pPr>
      <w:r>
        <w:rPr>
          <w:rFonts w:ascii="Arial" w:cs="Arial" w:eastAsia="Arial" w:hAnsi="Arial"/>
          <w:b/>
          <w:bCs/>
          <w:color w:val="1B3A5C"/>
          <w:sz w:val="32"/>
          <w:szCs w:val="32"/>
        </w:rPr>
        <w:t xml:space="preserve">4. Cycle-Accurate Performance Results</w:t>
      </w:r>
    </w:p>
    <w:p>
      <w:pPr>
        <w:pStyle w:val="Heading2"/>
        <w:spacing w:after="160" w:before="280"/>
      </w:pPr>
      <w:r>
        <w:rPr>
          <w:rFonts w:ascii="Arial" w:cs="Arial" w:eastAsia="Arial" w:hAnsi="Arial"/>
          <w:b/>
          <w:bCs/>
          <w:color w:val="2E5984"/>
          <w:sz w:val="26"/>
          <w:szCs w:val="26"/>
        </w:rPr>
        <w:t xml:space="preserve">4.1 Measured Cycle Counts</w:t>
      </w:r>
    </w:p>
    <w:p>
      <w:pPr>
        <w:spacing w:after="160" w:line="276"/>
        <w:jc w:val="both"/>
      </w:pPr>
      <w:r>
        <w:rPr>
          <w:rFonts w:ascii="Arial" w:cs="Arial" w:eastAsia="Arial" w:hAnsi="Arial"/>
          <w:sz w:val="21"/>
          <w:szCs w:val="21"/>
        </w:rPr>
        <w:t xml:space="preserve">The following cycle counts were measured via the snrt_mcycle() CSR counter during Verilator RTL simulation, providing cycle-accurate results that reflect real hardware behavior including pipeline stalls, memory latency, and FPU operation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2200"/>
        <w:gridCol w:w="1960"/>
      </w:tblGrid>
      <w:tr>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Stage</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Cycles</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 Total</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Dominant Op</w:t>
            </w:r>
          </w:p>
        </w:tc>
        <w:tc>
          <w:tcPr>
            <w:tcW w:type="dxa" w:w="19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Op Count</w:t>
            </w:r>
          </w:p>
        </w:tc>
      </w:tr>
      <w:tr>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Transpose W_fc</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1,124</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18.3%</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Load/Store (scatter)</w:t>
            </w:r>
          </w:p>
        </w:tc>
        <w:tc>
          <w:tcPr>
            <w:tcW w:type="dxa" w:w="1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160 elements</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Backward GeMM</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1,167</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19.0%</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FMAC (fmadd.s)</w:t>
            </w:r>
          </w:p>
        </w:tc>
        <w:tc>
          <w:tcPr>
            <w:tcW w:type="dxa" w:w="1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160 MACs</w:t>
            </w:r>
          </w:p>
        </w:tc>
      </w:tr>
      <w:tr>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GAP Weights</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1,516</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24.6%</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FDIV (fdiv.s)</w:t>
            </w:r>
          </w:p>
        </w:tc>
        <w:tc>
          <w:tcPr>
            <w:tcW w:type="dxa" w:w="1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16 divisions</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Weighted Sum</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2,015</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32.7%</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FMAC (fmadd.s)</w:t>
            </w:r>
          </w:p>
        </w:tc>
        <w:tc>
          <w:tcPr>
            <w:tcW w:type="dxa" w:w="1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256 MACs</w:t>
            </w:r>
          </w:p>
        </w:tc>
      </w:tr>
      <w:tr>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ReLU + Normalize</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331</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5.4%</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Compare + FDIV</w:t>
            </w:r>
          </w:p>
        </w:tc>
        <w:tc>
          <w:tcPr>
            <w:tcW w:type="dxa" w:w="1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16 + 1 div</w:t>
            </w:r>
          </w:p>
        </w:tc>
      </w:tr>
      <w:tr>
        <w:tc>
          <w:tcPr>
            <w:tcW w:type="dxa" w:w="24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left"/>
            </w:pPr>
            <w:r>
              <w:rPr>
                <w:rFonts w:ascii="Arial" w:cs="Arial" w:eastAsia="Arial" w:hAnsi="Arial"/>
                <w:b/>
                <w:bCs/>
                <w:sz w:val="19"/>
                <w:szCs w:val="19"/>
              </w:rPr>
              <w:t xml:space="preserve">TOTAL</w:t>
            </w:r>
          </w:p>
        </w:tc>
        <w:tc>
          <w:tcPr>
            <w:tcW w:type="dxa" w:w="16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right"/>
            </w:pPr>
            <w:r>
              <w:rPr>
                <w:rFonts w:ascii="Arial" w:cs="Arial" w:eastAsia="Arial" w:hAnsi="Arial"/>
                <w:b/>
                <w:bCs/>
                <w:sz w:val="19"/>
                <w:szCs w:val="19"/>
              </w:rPr>
              <w:t xml:space="preserve">6,153</w:t>
            </w:r>
          </w:p>
        </w:tc>
        <w:tc>
          <w:tcPr>
            <w:tcW w:type="dxa" w:w="12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right"/>
            </w:pPr>
            <w:r>
              <w:rPr>
                <w:rFonts w:ascii="Arial" w:cs="Arial" w:eastAsia="Arial" w:hAnsi="Arial"/>
                <w:b/>
                <w:bCs/>
                <w:sz w:val="19"/>
                <w:szCs w:val="19"/>
              </w:rPr>
              <w:t xml:space="preserve">100%</w:t>
            </w:r>
          </w:p>
        </w:tc>
        <w:tc>
          <w:tcPr>
            <w:tcW w:type="dxa" w:w="22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
            </w:r>
          </w:p>
        </w:tc>
        <w:tc>
          <w:tcPr>
            <w:tcW w:type="dxa" w:w="196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
            </w:r>
          </w:p>
        </w:tc>
      </w:tr>
    </w:tbl>
    <w:p>
      <w:pPr>
        <w:spacing w:before="200"/>
      </w:pPr>
    </w:p>
    <w:p>
      <w:pPr>
        <w:spacing w:after="160" w:line="276"/>
        <w:jc w:val="both"/>
      </w:pPr>
      <w:r>
        <w:rPr>
          <w:rFonts w:ascii="Arial" w:cs="Arial" w:eastAsia="Arial" w:hAnsi="Arial"/>
          <w:b/>
          <w:bCs/>
          <w:sz w:val="21"/>
          <w:szCs w:val="21"/>
        </w:rPr>
        <w:t xml:space="preserve">Verification Result: </w:t>
      </w:r>
      <w:r>
        <w:rPr>
          <w:rFonts w:ascii="Arial" w:cs="Arial" w:eastAsia="Arial" w:hAnsi="Arial"/>
          <w:sz w:val="21"/>
          <w:szCs w:val="21"/>
        </w:rPr>
        <w:t xml:space="preserve">0/16 errors against NumPy golden reference (tolerance: 1e-3)</w:t>
      </w:r>
    </w:p>
    <w:p>
      <w:pPr>
        <w:pStyle w:val="Heading2"/>
        <w:spacing w:after="160" w:before="280"/>
      </w:pPr>
      <w:r>
        <w:rPr>
          <w:rFonts w:ascii="Arial" w:cs="Arial" w:eastAsia="Arial" w:hAnsi="Arial"/>
          <w:b/>
          <w:bCs/>
          <w:color w:val="2E5984"/>
          <w:sz w:val="26"/>
          <w:szCs w:val="26"/>
        </w:rPr>
        <w:t xml:space="preserve">4.2 Performance Analysis</w:t>
      </w:r>
    </w:p>
    <w:p>
      <w:pPr>
        <w:spacing w:after="160" w:line="276"/>
        <w:jc w:val="both"/>
      </w:pPr>
      <w:r>
        <w:rPr>
          <w:rFonts w:ascii="Arial" w:cs="Arial" w:eastAsia="Arial" w:hAnsi="Arial"/>
          <w:sz w:val="21"/>
          <w:szCs w:val="21"/>
        </w:rPr>
        <w:t xml:space="preserve">The weighted sum stage dominates at 32.7% of total cycles, consistent with it performing the most floating-point multiply-accumulate operations (256 MACs for a 4×4×16 feature map). The GAP weights stage is disproportionately expensive (24.6%) relative to its 16 divisions because fdiv.s is a multi-cycle operation on the Snitch FPU — each division takes approximately 20–30 cycles compared to 1–4 cycles for fmadd.s.</w:t>
      </w:r>
    </w:p>
    <w:p>
      <w:pPr>
        <w:spacing w:after="160" w:line="276"/>
        <w:jc w:val="both"/>
      </w:pPr>
      <w:r>
        <w:rPr>
          <w:rFonts w:ascii="Arial" w:cs="Arial" w:eastAsia="Arial" w:hAnsi="Arial"/>
          <w:sz w:val="21"/>
          <w:szCs w:val="21"/>
        </w:rPr>
        <w:t xml:space="preserve">The backward GeMM (19.0%) performs 160 MACs in 1,167 cycles, yielding approximately 7.3 cycles per MAC on the scalar core. This is the theoretical acceleration target: the same 160 MACs could complete in a single tile cycle on the GeMM accelerator, but only if the data were quantized to INT8 — a trade-off explored in Phase 2.</w:t>
      </w:r>
    </w:p>
    <w:p>
      <w:pPr>
        <w:spacing w:after="160" w:line="276"/>
        <w:jc w:val="both"/>
      </w:pPr>
      <w:r>
        <w:rPr>
          <w:rFonts w:ascii="Arial" w:cs="Arial" w:eastAsia="Arial" w:hAnsi="Arial"/>
          <w:sz w:val="21"/>
          <w:szCs w:val="21"/>
        </w:rPr>
        <w:t xml:space="preserve">The transpose stage (18.3%) is memory-bound rather than compute-bound, dominated by strided load/store patterns for the matrix transposition. ReLU + normalize is the lightest stage (5.4%), consisting of simple comparisons and a single floating-point division.</w:t>
      </w:r>
    </w:p>
    <w:p>
      <w:pPr>
        <w:pStyle w:val="Heading2"/>
        <w:spacing w:after="160" w:before="280"/>
      </w:pPr>
      <w:r>
        <w:rPr>
          <w:rFonts w:ascii="Arial" w:cs="Arial" w:eastAsia="Arial" w:hAnsi="Arial"/>
          <w:b/>
          <w:bCs/>
          <w:color w:val="2E5984"/>
          <w:sz w:val="26"/>
          <w:szCs w:val="26"/>
        </w:rPr>
        <w:t xml:space="preserve">4.3 Efficiency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Metric</w:t>
            </w:r>
          </w:p>
        </w:tc>
        <w:tc>
          <w:tcPr>
            <w:tcW w:type="dxa" w:w="4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Value</w:t>
            </w:r>
          </w:p>
        </w:tc>
      </w:tr>
      <w:tr>
        <w:tc>
          <w:tcPr>
            <w:tcW w:type="dxa" w:w="4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Total Grad-CAM Cycles</w:t>
            </w:r>
          </w:p>
        </w:tc>
        <w:tc>
          <w:tcPr>
            <w:tcW w:type="dxa" w:w="48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6,153 cycles</w:t>
            </w:r>
          </w:p>
        </w:tc>
      </w:tr>
      <w:tr>
        <w:tc>
          <w:tcPr>
            <w:tcW w:type="dxa" w:w="4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Cycles per Feature Map Element</w:t>
            </w:r>
          </w:p>
        </w:tc>
        <w:tc>
          <w:tcPr>
            <w:tcW w:type="dxa" w:w="4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24.0 cycles/element (6,153 / 256)</w:t>
            </w:r>
          </w:p>
        </w:tc>
      </w:tr>
      <w:tr>
        <w:tc>
          <w:tcPr>
            <w:tcW w:type="dxa" w:w="4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Cycles per MAC (backward GeMM)</w:t>
            </w:r>
          </w:p>
        </w:tc>
        <w:tc>
          <w:tcPr>
            <w:tcW w:type="dxa" w:w="48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7.3 cycles/MAC</w:t>
            </w:r>
          </w:p>
        </w:tc>
      </w:tr>
      <w:tr>
        <w:tc>
          <w:tcPr>
            <w:tcW w:type="dxa" w:w="4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Cycles per MAC (weighted sum)</w:t>
            </w:r>
          </w:p>
        </w:tc>
        <w:tc>
          <w:tcPr>
            <w:tcW w:type="dxa" w:w="4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7.9 cycles/MAC</w:t>
            </w:r>
          </w:p>
        </w:tc>
      </w:tr>
      <w:tr>
        <w:tc>
          <w:tcPr>
            <w:tcW w:type="dxa" w:w="4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ELF Size</w:t>
            </w:r>
          </w:p>
        </w:tc>
        <w:tc>
          <w:tcPr>
            <w:tcW w:type="dxa" w:w="48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~38 KB (fits in 64 KB icache)</w:t>
            </w:r>
          </w:p>
        </w:tc>
      </w:tr>
      <w:tr>
        <w:tc>
          <w:tcPr>
            <w:tcW w:type="dxa" w:w="4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L1 SPM Usage</w:t>
            </w:r>
          </w:p>
        </w:tc>
        <w:tc>
          <w:tcPr>
            <w:tcW w:type="dxa" w:w="4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~5.2 KB of 128 KB TCDM</w:t>
            </w:r>
          </w:p>
        </w:tc>
      </w:tr>
    </w:tbl>
    <w:p>
      <w:r>
        <w:br w:type="page"/>
      </w:r>
    </w:p>
    <w:p>
      <w:pPr>
        <w:pStyle w:val="Heading1"/>
        <w:spacing w:after="200" w:before="360"/>
      </w:pPr>
      <w:r>
        <w:rPr>
          <w:rFonts w:ascii="Arial" w:cs="Arial" w:eastAsia="Arial" w:hAnsi="Arial"/>
          <w:b/>
          <w:bCs/>
          <w:color w:val="1B3A5C"/>
          <w:sz w:val="32"/>
          <w:szCs w:val="32"/>
        </w:rPr>
        <w:t xml:space="preserve">5. Comparison with Prior Work</w:t>
      </w:r>
    </w:p>
    <w:p>
      <w:pPr>
        <w:spacing w:after="160" w:line="276"/>
        <w:jc w:val="both"/>
      </w:pPr>
      <w:r>
        <w:rPr>
          <w:rFonts w:ascii="Arial" w:cs="Arial" w:eastAsia="Arial" w:hAnsi="Arial"/>
          <w:sz w:val="21"/>
          <w:szCs w:val="21"/>
        </w:rPr>
        <w:t xml:space="preserve">No prior work reports cycle-level Grad-CAM measurements on embedded RISC-V platforms. The following comparison contextualizes our results against related work across different platform classes and XAI methods.</w:t>
      </w:r>
    </w:p>
    <w:p>
      <w:pPr>
        <w:pStyle w:val="Heading2"/>
        <w:spacing w:after="160" w:before="280"/>
      </w:pPr>
      <w:r>
        <w:rPr>
          <w:rFonts w:ascii="Arial" w:cs="Arial" w:eastAsia="Arial" w:hAnsi="Arial"/>
          <w:b/>
          <w:bCs/>
          <w:color w:val="2E5984"/>
          <w:sz w:val="26"/>
          <w:szCs w:val="26"/>
        </w:rPr>
        <w:t xml:space="preserve">5.1 Cross-Platform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200"/>
        <w:gridCol w:w="1800"/>
        <w:gridCol w:w="1860"/>
      </w:tblGrid>
      <w:tr>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Source</w:t>
            </w:r>
          </w:p>
        </w:tc>
        <w:tc>
          <w:tcPr>
            <w:tcW w:type="dxa" w:w="21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Platform</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Workload</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Metric</w:t>
            </w:r>
          </w:p>
        </w:tc>
        <w:tc>
          <w:tcPr>
            <w:tcW w:type="dxa" w:w="1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Value</w:t>
            </w:r>
          </w:p>
        </w:tc>
      </w:tr>
      <w:tr>
        <w:tc>
          <w:tcPr>
            <w:tcW w:type="dxa" w:w="14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left"/>
            </w:pPr>
            <w:r>
              <w:rPr>
                <w:rFonts w:ascii="Arial" w:cs="Arial" w:eastAsia="Arial" w:hAnsi="Arial"/>
                <w:b/>
                <w:bCs/>
                <w:sz w:val="19"/>
                <w:szCs w:val="19"/>
              </w:rPr>
              <w:t xml:space="preserve">This Work</w:t>
            </w:r>
          </w:p>
        </w:tc>
        <w:tc>
          <w:tcPr>
            <w:tcW w:type="dxa" w:w="21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SNAX (1× rv32imafd)</w:t>
            </w:r>
          </w:p>
        </w:tc>
        <w:tc>
          <w:tcPr>
            <w:tcW w:type="dxa" w:w="22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Grad-CAM 4×4×16</w:t>
            </w:r>
          </w:p>
        </w:tc>
        <w:tc>
          <w:tcPr>
            <w:tcW w:type="dxa" w:w="18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Cycles</w:t>
            </w:r>
          </w:p>
        </w:tc>
        <w:tc>
          <w:tcPr>
            <w:tcW w:type="dxa" w:w="186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left"/>
            </w:pPr>
            <w:r>
              <w:rPr>
                <w:rFonts w:ascii="Arial" w:cs="Arial" w:eastAsia="Arial" w:hAnsi="Arial"/>
                <w:b/>
                <w:bCs/>
                <w:sz w:val="19"/>
                <w:szCs w:val="19"/>
              </w:rPr>
              <w:t xml:space="preserve">6,153</w:t>
            </w:r>
          </w:p>
        </w:tc>
      </w:tr>
      <w:tr>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SNAX</w:t>
            </w:r>
          </w:p>
        </w:tc>
        <w:tc>
          <w:tcPr>
            <w:tcW w:type="dxa" w:w="2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SNAX cluster</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ToyAdmos inference</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Latency</w:t>
            </w:r>
          </w:p>
        </w:tc>
        <w:tc>
          <w:tcPr>
            <w:tcW w:type="dxa" w:w="18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0.024 ms</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HTVM</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DIANA (RISC-V+acc)</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ResNet inference</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Latency</w:t>
            </w:r>
          </w:p>
        </w:tc>
        <w:tc>
          <w:tcPr>
            <w:tcW w:type="dxa" w:w="1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1.19 ms</w:t>
            </w:r>
          </w:p>
        </w:tc>
      </w:tr>
      <w:tr>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HTVM</w:t>
            </w:r>
          </w:p>
        </w:tc>
        <w:tc>
          <w:tcPr>
            <w:tcW w:type="dxa" w:w="2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DIANA</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ToyAdmos inference</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Latency</w:t>
            </w:r>
          </w:p>
        </w:tc>
        <w:tc>
          <w:tcPr>
            <w:tcW w:type="dxa" w:w="18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0.36 ms</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DORY</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GAP-8 (8-core+SIMD)</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MobileNet-v1-128</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Cycles</w:t>
            </w:r>
          </w:p>
        </w:tc>
        <w:tc>
          <w:tcPr>
            <w:tcW w:type="dxa" w:w="1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23.3M</w:t>
            </w:r>
          </w:p>
        </w:tc>
      </w:tr>
      <w:tr>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DORY</w:t>
            </w:r>
          </w:p>
        </w:tc>
        <w:tc>
          <w:tcPr>
            <w:tcW w:type="dxa" w:w="2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GAP-8</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PwConv throughput</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MAC/cycle</w:t>
            </w:r>
          </w:p>
        </w:tc>
        <w:tc>
          <w:tcPr>
            <w:tcW w:type="dxa" w:w="18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12.86</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Pan+Mishra</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Cloud TPU</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Avg XAI (VGG/ResNet)</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Speedup</w:t>
            </w:r>
          </w:p>
        </w:tc>
        <w:tc>
          <w:tcPr>
            <w:tcW w:type="dxa" w:w="1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39× vs CPU</w:t>
            </w:r>
          </w:p>
        </w:tc>
      </w:tr>
      <w:tr>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Gemmini</w:t>
            </w:r>
          </w:p>
        </w:tc>
        <w:tc>
          <w:tcPr>
            <w:tcW w:type="dxa" w:w="2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16×16 systolic</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ResNet50</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Speedup</w:t>
            </w:r>
          </w:p>
        </w:tc>
        <w:tc>
          <w:tcPr>
            <w:tcW w:type="dxa" w:w="18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2,670× vs CPU</w:t>
            </w:r>
          </w:p>
        </w:tc>
      </w:tr>
    </w:tbl>
    <w:p>
      <w:pPr>
        <w:pStyle w:val="Heading2"/>
        <w:spacing w:after="160" w:before="280"/>
      </w:pPr>
      <w:r>
        <w:rPr>
          <w:rFonts w:ascii="Arial" w:cs="Arial" w:eastAsia="Arial" w:hAnsi="Arial"/>
          <w:b/>
          <w:bCs/>
          <w:color w:val="2E5984"/>
          <w:sz w:val="26"/>
          <w:szCs w:val="26"/>
        </w:rPr>
        <w:t xml:space="preserve">5.2 XAI Overhead Analysis</w:t>
      </w:r>
    </w:p>
    <w:p>
      <w:pPr>
        <w:spacing w:after="160" w:line="276"/>
        <w:jc w:val="both"/>
      </w:pPr>
      <w:r>
        <w:rPr>
          <w:rFonts w:ascii="Arial" w:cs="Arial" w:eastAsia="Arial" w:hAnsi="Arial"/>
          <w:sz w:val="21"/>
          <w:szCs w:val="21"/>
        </w:rPr>
        <w:t xml:space="preserve">The most meaningful comparison is the ratio of XAI computation to inference computation on the same or comparable platform. Using the SNAX paper’s reported ToyAdmos inference latency of 0.024 ms as a reference point (approximately 19,200 cycles at 800 MHz), our 6,153-cycle Grad-CAM represents approximately 32% additional overhead. This establishes that runtime explainability is feasible at bounded cost on embedded heterogeneous platforms.</w:t>
      </w:r>
    </w:p>
    <w:p>
      <w:pPr>
        <w:spacing w:after="160" w:line="276"/>
        <w:jc w:val="both"/>
      </w:pPr>
      <w:r>
        <w:rPr>
          <w:rFonts w:ascii="Arial" w:cs="Arial" w:eastAsia="Arial" w:hAnsi="Arial"/>
          <w:sz w:val="21"/>
          <w:szCs w:val="21"/>
        </w:rPr>
        <w:t xml:space="preserve">For comparison, Pan and Mishra’s cloud-based XAI measurements show that SHAP on ResNet50 takes 50.1 seconds on CPU versus 3.8 seconds on TPU — orders of magnitude more expensive than our embedded Grad-CAM, but operating on dramatically larger models (25M+ parameters vs. our sub-1K parameter classification layer). The key insight is that Grad-CAM’s computational complexity scales with the last convolutional layer dimensions, not the full network, making it inherently suitable for embedded deployment.</w:t>
      </w:r>
    </w:p>
    <w:p>
      <w:pPr>
        <w:pStyle w:val="Heading2"/>
        <w:spacing w:after="160" w:before="280"/>
      </w:pPr>
      <w:r>
        <w:rPr>
          <w:rFonts w:ascii="Arial" w:cs="Arial" w:eastAsia="Arial" w:hAnsi="Arial"/>
          <w:b/>
          <w:bCs/>
          <w:color w:val="2E5984"/>
          <w:sz w:val="26"/>
          <w:szCs w:val="26"/>
        </w:rPr>
        <w:t xml:space="preserve">5.3 Efficiency Comparison</w:t>
      </w:r>
    </w:p>
    <w:p>
      <w:pPr>
        <w:spacing w:after="160" w:line="276"/>
        <w:jc w:val="both"/>
      </w:pPr>
      <w:r>
        <w:rPr>
          <w:rFonts w:ascii="Arial" w:cs="Arial" w:eastAsia="Arial" w:hAnsi="Arial"/>
          <w:sz w:val="21"/>
          <w:szCs w:val="21"/>
        </w:rPr>
        <w:t xml:space="preserve">Our scalar RISC-V core achieves 7.3 cycles per MAC on the backward GeMM, compared to DORY’s 12.86 MAC/cycle (approximately 0.078 cycles/MAC) on GAP-8 with 8-core SIMD. This 94× efficiency gap is expected: DORY uses parallel SIMD execution across 8 cores with hardware dot-product instructions (sdotp), while our measurement is on a single scalar core. This gap quantifies the potential benefit of multi-core parallelization and SIMD exploitation in future optimization phases.</w:t>
      </w:r>
    </w:p>
    <w:p>
      <w:r>
        <w:br w:type="page"/>
      </w:r>
    </w:p>
    <w:p>
      <w:pPr>
        <w:pStyle w:val="Heading1"/>
        <w:spacing w:after="200" w:before="360"/>
      </w:pPr>
      <w:r>
        <w:rPr>
          <w:rFonts w:ascii="Arial" w:cs="Arial" w:eastAsia="Arial" w:hAnsi="Arial"/>
          <w:b/>
          <w:bCs/>
          <w:color w:val="1B3A5C"/>
          <w:sz w:val="32"/>
          <w:szCs w:val="32"/>
        </w:rPr>
        <w:t xml:space="preserve">6. Technical Issues Encountered and Resolved</w:t>
      </w:r>
    </w:p>
    <w:p>
      <w:pPr>
        <w:spacing w:after="160" w:line="276"/>
        <w:jc w:val="both"/>
      </w:pPr>
      <w:r>
        <w:rPr>
          <w:rFonts w:ascii="Arial" w:cs="Arial" w:eastAsia="Arial" w:hAnsi="Arial"/>
          <w:sz w:val="21"/>
          <w:szCs w:val="21"/>
        </w:rPr>
        <w:t xml:space="preserve">Several non-trivial hardware and software issues were encountered and resolved during Phase 1. These findings are documented here as they are relevant to anyone deploying custom kernels on the SNAX platform.</w:t>
      </w:r>
    </w:p>
    <w:p>
      <w:pPr>
        <w:pStyle w:val="Heading2"/>
        <w:spacing w:after="160" w:before="280"/>
      </w:pPr>
      <w:r>
        <w:rPr>
          <w:rFonts w:ascii="Arial" w:cs="Arial" w:eastAsia="Arial" w:hAnsi="Arial"/>
          <w:b/>
          <w:bCs/>
          <w:color w:val="2E5984"/>
          <w:sz w:val="26"/>
          <w:szCs w:val="26"/>
        </w:rPr>
        <w:t xml:space="preserve">6.1 FP Divide/Square Root Unit Disabled</w:t>
      </w:r>
    </w:p>
    <w:p>
      <w:pPr>
        <w:spacing w:after="160" w:line="276"/>
        <w:jc w:val="both"/>
      </w:pPr>
      <w:r>
        <w:rPr>
          <w:rFonts w:ascii="Arial" w:cs="Arial" w:eastAsia="Arial" w:hAnsi="Arial"/>
          <w:sz w:val="21"/>
          <w:szCs w:val="21"/>
        </w:rPr>
        <w:t xml:space="preserve">The default SNAX cluster configuration (snitch_cluster.hjson) has the floating-point divide and square root unit commented out (Xdiv_sqrt: true was disabled). The ISA string declares rv32imafd, which implies full F/D extension support including division, creating an inconsistency between the declared ISA and the actual hardware capabilities. The Grad-CAM normalization stage uses fdiv.s, which caused an illegal instruction exception at runtime. The fix required uncommenting Xdiv_sqrt in both the compute and DMA core templates and rebuilding the Verilator simulation binary.</w:t>
      </w:r>
    </w:p>
    <w:p>
      <w:pPr>
        <w:pStyle w:val="Heading2"/>
        <w:spacing w:after="160" w:before="280"/>
      </w:pPr>
      <w:r>
        <w:rPr>
          <w:rFonts w:ascii="Arial" w:cs="Arial" w:eastAsia="Arial" w:hAnsi="Arial"/>
          <w:b/>
          <w:bCs/>
          <w:color w:val="2E5984"/>
          <w:sz w:val="26"/>
          <w:szCs w:val="26"/>
        </w:rPr>
        <w:t xml:space="preserve">6.2 Multi-Core Execution Without Core Gating</w:t>
      </w:r>
    </w:p>
    <w:p>
      <w:pPr>
        <w:spacing w:after="160" w:line="276"/>
        <w:jc w:val="both"/>
      </w:pPr>
      <w:r>
        <w:rPr>
          <w:rFonts w:ascii="Arial" w:cs="Arial" w:eastAsia="Arial" w:hAnsi="Arial"/>
          <w:sz w:val="21"/>
          <w:szCs w:val="21"/>
        </w:rPr>
        <w:t xml:space="preserve">In the SNAX runtime, all cores boot and execute the same ELF binary. The initial implementation used snrt_is_dm_core() to gate only the DMA operations, but used !snrt_is_dm_core() for the compute block. This caused all 8 compute cores to redundantly execute the same single-threaded Grad-CAM kernel, resulting in TCDM bandwidth contention and incorrect behavior on cores without full FPU support. The fix was to gate the compute block with snrt_cluster_core_idx() == 0, ensuring only a single core executes the kernel.</w:t>
      </w:r>
    </w:p>
    <w:p>
      <w:pPr>
        <w:pStyle w:val="Heading2"/>
        <w:spacing w:after="160" w:before="280"/>
      </w:pPr>
      <w:r>
        <w:rPr>
          <w:rFonts w:ascii="Arial" w:cs="Arial" w:eastAsia="Arial" w:hAnsi="Arial"/>
          <w:b/>
          <w:bCs/>
          <w:color w:val="2E5984"/>
          <w:sz w:val="26"/>
          <w:szCs w:val="26"/>
        </w:rPr>
        <w:t xml:space="preserve">6.3 Build System Data Generation Dependency</w:t>
      </w:r>
    </w:p>
    <w:p>
      <w:pPr>
        <w:spacing w:after="160" w:line="276"/>
        <w:jc w:val="both"/>
      </w:pPr>
      <w:r>
        <w:rPr>
          <w:rFonts w:ascii="Arial" w:cs="Arial" w:eastAsia="Arial" w:hAnsi="Arial"/>
          <w:sz w:val="21"/>
          <w:szCs w:val="21"/>
        </w:rPr>
        <w:t xml:space="preserve">The SNAX build system’s clean target deletes the generated data.h file (produced by datagen.py from params.hjson), but the app-level Makefile does not know how to regenerate it. This creates a broken dependency chain where make clean followed by make all fails. The workaround is to regenerate data.h explicitly before building: python3 datagen.py -c params.hjson &gt; data.h.</w:t>
      </w:r>
    </w:p>
    <w:p>
      <w:r>
        <w:br w:type="page"/>
      </w:r>
    </w:p>
    <w:p>
      <w:pPr>
        <w:pStyle w:val="Heading1"/>
        <w:spacing w:after="200" w:before="360"/>
      </w:pPr>
      <w:r>
        <w:rPr>
          <w:rFonts w:ascii="Arial" w:cs="Arial" w:eastAsia="Arial" w:hAnsi="Arial"/>
          <w:b/>
          <w:bCs/>
          <w:color w:val="1B3A5C"/>
          <w:sz w:val="32"/>
          <w:szCs w:val="32"/>
        </w:rPr>
        <w:t xml:space="preserve">7. Optimization Opportunities and Next Phases</w:t>
      </w:r>
    </w:p>
    <w:p>
      <w:pPr>
        <w:pStyle w:val="Heading2"/>
        <w:spacing w:after="160" w:before="280"/>
      </w:pPr>
      <w:r>
        <w:rPr>
          <w:rFonts w:ascii="Arial" w:cs="Arial" w:eastAsia="Arial" w:hAnsi="Arial"/>
          <w:b/>
          <w:bCs/>
          <w:color w:val="2E5984"/>
          <w:sz w:val="26"/>
          <w:szCs w:val="26"/>
        </w:rPr>
        <w:t xml:space="preserve">7.1 Immediate Optimizations (Within Phase 1 Scope)</w:t>
      </w:r>
    </w:p>
    <w:p>
      <w:pPr>
        <w:spacing w:after="160" w:line="276"/>
        <w:jc w:val="both"/>
      </w:pPr>
      <w:r>
        <w:rPr>
          <w:rFonts w:ascii="Arial" w:cs="Arial" w:eastAsia="Arial" w:hAnsi="Arial"/>
          <w:sz w:val="21"/>
          <w:szCs w:val="21"/>
        </w:rPr>
        <w:t xml:space="preserve">Multi-core parallelization: The weighted sum (32.7%) and GAP weights (24.6%) stages are embarrassingly parallel across spatial dimensions and channels respectively. Distributing these across the 8 compute cores could yield a 4–6× speedup on those stages, reducing total Grad-CAM time to approximately 2,500–3,000 cycles.</w:t>
      </w:r>
    </w:p>
    <w:p>
      <w:pPr>
        <w:spacing w:after="160" w:line="276"/>
        <w:jc w:val="both"/>
      </w:pPr>
      <w:r>
        <w:rPr>
          <w:rFonts w:ascii="Arial" w:cs="Arial" w:eastAsia="Arial" w:hAnsi="Arial"/>
          <w:sz w:val="21"/>
          <w:szCs w:val="21"/>
        </w:rPr>
        <w:t xml:space="preserve">SSR streaming: The Snitch cores support Stream Semantic Registers (SSR) for automated data streaming, which could eliminate load/store overhead in the transpose and weighted sum stages. This would primarily benefit the memory-bound transpose stage (18.3%).</w:t>
      </w:r>
    </w:p>
    <w:p>
      <w:pPr>
        <w:spacing w:after="160" w:line="276"/>
        <w:jc w:val="both"/>
      </w:pPr>
      <w:r>
        <w:rPr>
          <w:rFonts w:ascii="Arial" w:cs="Arial" w:eastAsia="Arial" w:hAnsi="Arial"/>
          <w:sz w:val="21"/>
          <w:szCs w:val="21"/>
        </w:rPr>
        <w:t xml:space="preserve">FREP loop unrolling: The floating-point repeat instruction (FREP) can execute tight FP loops without fetch overhead, potentially improving the backward GeMM and weighted sum inner loops.</w:t>
      </w:r>
    </w:p>
    <w:p>
      <w:pPr>
        <w:pStyle w:val="Heading2"/>
        <w:spacing w:after="160" w:before="280"/>
      </w:pPr>
      <w:r>
        <w:rPr>
          <w:rFonts w:ascii="Arial" w:cs="Arial" w:eastAsia="Arial" w:hAnsi="Arial"/>
          <w:b/>
          <w:bCs/>
          <w:color w:val="2E5984"/>
          <w:sz w:val="26"/>
          <w:szCs w:val="26"/>
        </w:rPr>
        <w:t xml:space="preserve">7.2 Phase 2 — Gradient SHAP Async Dispatch</w:t>
      </w:r>
    </w:p>
    <w:p>
      <w:pPr>
        <w:spacing w:after="160" w:line="276"/>
        <w:jc w:val="both"/>
      </w:pPr>
      <w:r>
        <w:rPr>
          <w:rFonts w:ascii="Arial" w:cs="Arial" w:eastAsia="Arial" w:hAnsi="Arial"/>
          <w:sz w:val="21"/>
          <w:szCs w:val="21"/>
        </w:rPr>
        <w:t xml:space="preserve">SHAP requires N masked forward passes through the network. The SNAX fire-and-forget CSR dispatch model maps naturally to this workload: each masked input can be dispatched to the GeMM accelerator as an independent INT8 inference, with the scalar core collecting and aggregating Shapley values. This phase will quantify the SNAX accelerator’s ability to overlap XAI computation with inference.</w:t>
      </w:r>
    </w:p>
    <w:p>
      <w:pPr>
        <w:pStyle w:val="Heading2"/>
        <w:spacing w:after="160" w:before="280"/>
      </w:pPr>
      <w:r>
        <w:rPr>
          <w:rFonts w:ascii="Arial" w:cs="Arial" w:eastAsia="Arial" w:hAnsi="Arial"/>
          <w:b/>
          <w:bCs/>
          <w:color w:val="2E5984"/>
          <w:sz w:val="26"/>
          <w:szCs w:val="26"/>
        </w:rPr>
        <w:t xml:space="preserve">7.3 Phase 3 — Formal Verification</w:t>
      </w:r>
    </w:p>
    <w:p>
      <w:pPr>
        <w:spacing w:after="160" w:line="276"/>
        <w:jc w:val="both"/>
      </w:pPr>
      <w:r>
        <w:rPr>
          <w:rFonts w:ascii="Arial" w:cs="Arial" w:eastAsia="Arial" w:hAnsi="Arial"/>
          <w:sz w:val="21"/>
          <w:szCs w:val="21"/>
        </w:rPr>
        <w:t xml:space="preserve">QVIP-style ILP-based formal verification of quantized neural network properties, integrated with the MLIR lowering pipeline used by the SNAX compiler. This will verify that quantization-induced behavioral changes are bounded and do not violate safety specifications.</w:t>
      </w:r>
    </w:p>
    <w:p>
      <w:pPr>
        <w:pStyle w:val="Heading2"/>
        <w:spacing w:after="160" w:before="280"/>
      </w:pPr>
      <w:r>
        <w:rPr>
          <w:rFonts w:ascii="Arial" w:cs="Arial" w:eastAsia="Arial" w:hAnsi="Arial"/>
          <w:b/>
          <w:bCs/>
          <w:color w:val="2E5984"/>
          <w:sz w:val="26"/>
          <w:szCs w:val="26"/>
        </w:rPr>
        <w:t xml:space="preserve">7.4 Phase 4 — Neuro-Symbolic Rule Extraction</w:t>
      </w:r>
    </w:p>
    <w:p>
      <w:pPr>
        <w:spacing w:after="160" w:line="276"/>
        <w:jc w:val="both"/>
      </w:pPr>
      <w:r>
        <w:rPr>
          <w:rFonts w:ascii="Arial" w:cs="Arial" w:eastAsia="Arial" w:hAnsi="Arial"/>
          <w:sz w:val="21"/>
          <w:szCs w:val="21"/>
        </w:rPr>
        <w:t xml:space="preserve">Rule extraction from trained neural networks running on the RISC-V cores, producing human-readable decision rules that approximate the network’s behavior in safety-critical operating regions.</w:t>
      </w:r>
    </w:p>
    <w:p>
      <w:pPr>
        <w:pStyle w:val="Heading2"/>
        <w:spacing w:after="160" w:before="280"/>
      </w:pPr>
      <w:r>
        <w:rPr>
          <w:rFonts w:ascii="Arial" w:cs="Arial" w:eastAsia="Arial" w:hAnsi="Arial"/>
          <w:b/>
          <w:bCs/>
          <w:color w:val="2E5984"/>
          <w:sz w:val="26"/>
          <w:szCs w:val="26"/>
        </w:rPr>
        <w:t xml:space="preserve">7.5 Phase 5 — XAI Custom Function Unit</w:t>
      </w:r>
    </w:p>
    <w:p>
      <w:pPr>
        <w:spacing w:after="160" w:line="276"/>
        <w:jc w:val="both"/>
      </w:pPr>
      <w:r>
        <w:rPr>
          <w:rFonts w:ascii="Arial" w:cs="Arial" w:eastAsia="Arial" w:hAnsi="Arial"/>
          <w:sz w:val="21"/>
          <w:szCs w:val="21"/>
        </w:rPr>
        <w:t xml:space="preserve">Design and implementation of a dedicated saliency gradient computation CFU in Amaranth HDL for the CFU Playground platform, enabling hardware-accelerated Grad-CAM with a single-cycle gradient accumulation datapath.</w:t>
      </w:r>
    </w:p>
    <w:p>
      <w:r>
        <w:br w:type="page"/>
      </w:r>
    </w:p>
    <w:p>
      <w:pPr>
        <w:pStyle w:val="Heading1"/>
        <w:spacing w:after="200" w:before="360"/>
      </w:pPr>
      <w:r>
        <w:rPr>
          <w:rFonts w:ascii="Arial" w:cs="Arial" w:eastAsia="Arial" w:hAnsi="Arial"/>
          <w:b/>
          <w:bCs/>
          <w:color w:val="1B3A5C"/>
          <w:sz w:val="32"/>
          <w:szCs w:val="32"/>
        </w:rPr>
        <w:t xml:space="preserve">8. Conclusion</w:t>
      </w:r>
    </w:p>
    <w:p>
      <w:pPr>
        <w:spacing w:after="160" w:line="276"/>
        <w:jc w:val="both"/>
      </w:pPr>
      <w:r>
        <w:rPr>
          <w:rFonts w:ascii="Arial" w:cs="Arial" w:eastAsia="Arial" w:hAnsi="Arial"/>
          <w:sz w:val="21"/>
          <w:szCs w:val="21"/>
        </w:rPr>
        <w:t xml:space="preserve">Phase 1 demonstrates that Grad-CAM — a widely-used XAI method — can execute in 6,153 cycles on a single embedded RISC-V core within the SNAX heterogeneous accelerator cluster. The implementation is numerically verified against a Python golden reference with zero errors across all 16 output elements. To the best of our knowledge, this is the first cycle-accurate measurement of Grad-CAM on an embedded RISC-V platform.</w:t>
      </w:r>
    </w:p>
    <w:p>
      <w:pPr>
        <w:spacing w:after="160" w:line="276"/>
        <w:jc w:val="both"/>
      </w:pPr>
      <w:r>
        <w:rPr>
          <w:rFonts w:ascii="Arial" w:cs="Arial" w:eastAsia="Arial" w:hAnsi="Arial"/>
          <w:sz w:val="21"/>
          <w:szCs w:val="21"/>
        </w:rPr>
        <w:t xml:space="preserve">The key findings are: (a) Grad-CAM adds approximately 32% computational overhead relative to a small network inference on the same platform, establishing that runtime explainability is feasible at embedded scale; (b) the INT8-only GeMM accelerator cannot directly accelerate the float32 XAI backward pass, validating the heterogeneous execution model where scalar cores handle XAI while accelerators handle inference; (c) the weighted sum and GAP stages account for 57% of total cycles and are trivially parallelizable, offering a clear path to further optimization.</w:t>
      </w:r>
    </w:p>
    <w:p>
      <w:pPr>
        <w:spacing w:after="160" w:line="276"/>
        <w:jc w:val="both"/>
      </w:pPr>
      <w:r>
        <w:rPr>
          <w:rFonts w:ascii="Arial" w:cs="Arial" w:eastAsia="Arial" w:hAnsi="Arial"/>
          <w:sz w:val="21"/>
          <w:szCs w:val="21"/>
        </w:rPr>
        <w:t xml:space="preserve">These results establish the foundational performance baseline for the remaining project phases, which will extend to SHAP, formal verification, neuro-symbolic methods, and custom hardware acceleration of XAI primitives.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i/>
        <w:iCs/>
        <w:color w:val="888888"/>
        <w:sz w:val="16"/>
        <w:szCs w:val="16"/>
      </w:rPr>
      <w:t xml:space="preserve">XAI on Heterogeneous Accelerators — Phase 1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2026-04-06T14:45:16.674Z</dcterms:created>
  <dcterms:modified xsi:type="dcterms:W3CDTF">2026-04-06T14:45:16.675Z</dcterms:modified>
</cp:coreProperties>
</file>

<file path=docProps/custom.xml><?xml version="1.0" encoding="utf-8"?>
<Properties xmlns="http://schemas.openxmlformats.org/officeDocument/2006/custom-properties" xmlns:vt="http://schemas.openxmlformats.org/officeDocument/2006/docPropsVTypes"/>
</file>