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9BA" w:rsidRPr="00D643FD" w:rsidRDefault="007F05F4">
      <w:pPr>
        <w:rPr>
          <w:sz w:val="28"/>
          <w:szCs w:val="28"/>
        </w:rPr>
      </w:pPr>
      <w:r w:rsidRPr="00D643FD">
        <w:rPr>
          <w:b/>
          <w:sz w:val="28"/>
          <w:szCs w:val="28"/>
        </w:rPr>
        <w:t>M</w:t>
      </w:r>
      <w:r w:rsidR="00CB227C">
        <w:rPr>
          <w:b/>
          <w:sz w:val="28"/>
          <w:szCs w:val="28"/>
        </w:rPr>
        <w:t xml:space="preserve">odel </w:t>
      </w:r>
      <w:r w:rsidRPr="00D643FD">
        <w:rPr>
          <w:b/>
          <w:sz w:val="28"/>
          <w:szCs w:val="28"/>
        </w:rPr>
        <w:t>M</w:t>
      </w:r>
      <w:r w:rsidR="00CB227C">
        <w:rPr>
          <w:b/>
          <w:sz w:val="28"/>
          <w:szCs w:val="28"/>
        </w:rPr>
        <w:t xml:space="preserve">y </w:t>
      </w:r>
      <w:r w:rsidRPr="00D643FD">
        <w:rPr>
          <w:b/>
          <w:sz w:val="28"/>
          <w:szCs w:val="28"/>
        </w:rPr>
        <w:t>W</w:t>
      </w:r>
      <w:r w:rsidR="00CB227C">
        <w:rPr>
          <w:b/>
          <w:sz w:val="28"/>
          <w:szCs w:val="28"/>
        </w:rPr>
        <w:t>atershed</w:t>
      </w:r>
      <w:r w:rsidRPr="00D643FD">
        <w:rPr>
          <w:b/>
          <w:sz w:val="28"/>
          <w:szCs w:val="28"/>
        </w:rPr>
        <w:t xml:space="preserve"> BMP Spreadsheet Tool</w:t>
      </w:r>
    </w:p>
    <w:p w:rsidR="007F05F4" w:rsidRPr="00D643FD" w:rsidRDefault="007F05F4">
      <w:pPr>
        <w:rPr>
          <w:b/>
          <w:i/>
        </w:rPr>
      </w:pPr>
      <w:r w:rsidRPr="00D643FD">
        <w:rPr>
          <w:b/>
          <w:i/>
        </w:rPr>
        <w:t>Overview</w:t>
      </w:r>
      <w:bookmarkStart w:id="0" w:name="_GoBack"/>
      <w:bookmarkEnd w:id="0"/>
    </w:p>
    <w:p w:rsidR="007F05F4" w:rsidRDefault="007F05F4">
      <w:r>
        <w:t>This tool was developed to support the evaluation of potential pollutant load reductions that might result from the implementation of various Best Management Practices (BMPs) and similar mitigation measures in a watershed where loads from a wide range of rural and urban sources have been quantified. Although it was designed to readily accept simulated output from the multi-year model in Model My Watershed, load estimates from other models and load estimation tools could theoretically be used as well to evaluate potential reductions.</w:t>
      </w:r>
    </w:p>
    <w:p w:rsidR="007F05F4" w:rsidRDefault="00E45C88">
      <w:r>
        <w:t>The</w:t>
      </w:r>
      <w:r w:rsidR="00A94A4B">
        <w:t xml:space="preserve"> tool was initially developed to assist municipalities in Pennsylvania </w:t>
      </w:r>
      <w:r>
        <w:t xml:space="preserve">in </w:t>
      </w:r>
      <w:r w:rsidR="00A94A4B">
        <w:t>meet</w:t>
      </w:r>
      <w:r>
        <w:t>ing</w:t>
      </w:r>
      <w:r w:rsidR="00A94A4B">
        <w:t xml:space="preserve"> their obligations with respect to achieving load reductions specified by the Pennsylvania Department of Environmental Protection as part of </w:t>
      </w:r>
      <w:r>
        <w:t xml:space="preserve">the </w:t>
      </w:r>
      <w:r w:rsidR="00A94A4B">
        <w:t xml:space="preserve">NPDES permit renewal process. However, the tool is generic enough that it can be used for similar evaluations undertaken by a much wider range of users. </w:t>
      </w:r>
      <w:r>
        <w:t>Once model output results have been entered into the appropriate tab within the spreadsheet tool, other tabs are automatically populated with data in a way that facilitates the analysis of various load reduction strategies that deal with sediment, nitrogen and phosphorus loads from both urban and rural upland sources, as well as from streambanks that might be eroded due to grazing animals and excess runoff from impervious surfaces in urbanized areas.</w:t>
      </w:r>
    </w:p>
    <w:p w:rsidR="007274FD" w:rsidRDefault="007274FD">
      <w:r>
        <w:t>In this document, instructions are provided for doing load/BMP analyses for two basic situations:</w:t>
      </w:r>
    </w:p>
    <w:p w:rsidR="00341D0B" w:rsidRDefault="007274FD" w:rsidP="00341D0B">
      <w:pPr>
        <w:pStyle w:val="ListParagraph"/>
        <w:numPr>
          <w:ilvl w:val="0"/>
          <w:numId w:val="1"/>
        </w:numPr>
      </w:pPr>
      <w:r w:rsidRPr="006A02DC">
        <w:rPr>
          <w:u w:val="single"/>
        </w:rPr>
        <w:t>A</w:t>
      </w:r>
      <w:r w:rsidR="00B8791E" w:rsidRPr="006A02DC">
        <w:rPr>
          <w:u w:val="single"/>
        </w:rPr>
        <w:t>nalysis of pollutant loads and potential BMP scenarios for a given watershed.</w:t>
      </w:r>
      <w:r w:rsidR="00B8791E">
        <w:t xml:space="preserve"> In this case, </w:t>
      </w:r>
      <w:r w:rsidR="00341D0B">
        <w:t>the Multi-Year Model in MMW (i.e., the GWLF-E model) is used to estimate mean annual nutrient and sediment loads (kg/</w:t>
      </w:r>
      <w:proofErr w:type="spellStart"/>
      <w:r w:rsidR="00341D0B">
        <w:t>yr</w:t>
      </w:r>
      <w:proofErr w:type="spellEnd"/>
      <w:r w:rsidR="00341D0B">
        <w:t>) and loading rates (kg/ha) from a variety of sources within the area of interest</w:t>
      </w:r>
      <w:r w:rsidR="00A37760">
        <w:t xml:space="preserve"> (AOI)</w:t>
      </w:r>
      <w:r w:rsidR="00341D0B">
        <w:t>. The resulting model output is then entered into the customized Excel-based tool to estimate potential load reductions that might result from the implementation of BMPs and other remedial measures in both rural and urban areas throughout the watershed.</w:t>
      </w:r>
    </w:p>
    <w:p w:rsidR="00341D0B" w:rsidRDefault="00341D0B" w:rsidP="00341D0B">
      <w:pPr>
        <w:pStyle w:val="ListParagraph"/>
      </w:pPr>
    </w:p>
    <w:p w:rsidR="00341D0B" w:rsidRDefault="00341D0B" w:rsidP="007274FD">
      <w:pPr>
        <w:pStyle w:val="ListParagraph"/>
        <w:numPr>
          <w:ilvl w:val="0"/>
          <w:numId w:val="1"/>
        </w:numPr>
      </w:pPr>
      <w:r w:rsidRPr="006A02DC">
        <w:rPr>
          <w:u w:val="single"/>
        </w:rPr>
        <w:t>Analysis of pollutant loads and potential BMP scenarios for specific “targeted” areas within a larger watershed.</w:t>
      </w:r>
      <w:r>
        <w:t xml:space="preserve"> </w:t>
      </w:r>
      <w:r w:rsidR="006A02DC">
        <w:t xml:space="preserve">In this case, specific functionality has been built into the tool to assist municipalities in Pennsylvania meet pollutant load reduction requirements mandated as part of their cyclical NPDES permit review process. </w:t>
      </w:r>
      <w:r w:rsidR="00767568">
        <w:t>In utiliz</w:t>
      </w:r>
      <w:r w:rsidR="00294948">
        <w:t>ing the tool, MMW model output is used to estimate pollutant loads and loading rates for the larger watershed area as described above. Then, portions of the watershed loads are</w:t>
      </w:r>
      <w:r w:rsidR="00767568">
        <w:t xml:space="preserve"> subsequently</w:t>
      </w:r>
      <w:r w:rsidR="00294948">
        <w:t xml:space="preserve"> “assigned” to one or more municipalities or “urban areas” located within</w:t>
      </w:r>
      <w:r w:rsidR="00767568">
        <w:t xml:space="preserve"> that watershed based on the landscape characteristics of those areas (e.g., size, land cover type, and extent of impervious surface). Once the load assignments have been made, user of the tool can then simulate various BMP scenarios to evaluate potential load reduction</w:t>
      </w:r>
      <w:r w:rsidR="002D0866">
        <w:t>s. (Note:</w:t>
      </w:r>
      <w:r w:rsidR="00767568">
        <w:t xml:space="preserve"> although this tool was initially developed for use in Pennsylvania, it could easily be used in other</w:t>
      </w:r>
      <w:r w:rsidR="002D0866">
        <w:t xml:space="preserve"> geographic regions for similar applications</w:t>
      </w:r>
      <w:r w:rsidR="00767568">
        <w:t xml:space="preserve"> as well).</w:t>
      </w:r>
    </w:p>
    <w:p w:rsidR="008F3078" w:rsidRDefault="00767568">
      <w:r>
        <w:lastRenderedPageBreak/>
        <w:t xml:space="preserve">The following </w:t>
      </w:r>
      <w:r w:rsidR="002D0866">
        <w:t xml:space="preserve">two </w:t>
      </w:r>
      <w:r>
        <w:t>sections briefly describe the steps for conducting analyses associated with the two basic situations outlined above.</w:t>
      </w:r>
    </w:p>
    <w:p w:rsidR="00767568" w:rsidRPr="00D643FD" w:rsidRDefault="00767568">
      <w:pPr>
        <w:rPr>
          <w:b/>
          <w:i/>
        </w:rPr>
      </w:pPr>
      <w:r w:rsidRPr="00D643FD">
        <w:rPr>
          <w:b/>
          <w:i/>
        </w:rPr>
        <w:t>Analysis of Pollutant Loads and Potential BMP Scenarios for a Given Watershed</w:t>
      </w:r>
    </w:p>
    <w:p w:rsidR="00C81850" w:rsidRDefault="00C81850">
      <w:r w:rsidRPr="00C81850">
        <w:rPr>
          <w:u w:val="single"/>
        </w:rPr>
        <w:t>Step 1: Load Output Data from Model My Watershed</w:t>
      </w:r>
    </w:p>
    <w:p w:rsidR="002270FE" w:rsidRDefault="00C81850">
      <w:r>
        <w:t>Upon using the multi-year model in Model My Watershed, the user is presented with tabular results</w:t>
      </w:r>
      <w:r w:rsidR="006760F3">
        <w:t xml:space="preserve"> to the left of the “area of interest” map</w:t>
      </w:r>
      <w:r>
        <w:t xml:space="preserve"> as shown in Figure 1 below.</w:t>
      </w:r>
      <w:r w:rsidR="007245E3">
        <w:t xml:space="preserve"> (Note: see the Appendix to this document if you are unsure of how to Model My Watershed to simulate pollutants loads for any given area of interest).</w:t>
      </w:r>
    </w:p>
    <w:p w:rsidR="00C81850" w:rsidRDefault="002270FE" w:rsidP="002270FE">
      <w:pPr>
        <w:jc w:val="center"/>
      </w:pPr>
      <w:r>
        <w:rPr>
          <w:noProof/>
        </w:rPr>
        <w:drawing>
          <wp:inline distT="0" distB="0" distL="0" distR="0">
            <wp:extent cx="5242848" cy="26600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pu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2848" cy="2660073"/>
                    </a:xfrm>
                    <a:prstGeom prst="rect">
                      <a:avLst/>
                    </a:prstGeom>
                  </pic:spPr>
                </pic:pic>
              </a:graphicData>
            </a:graphic>
          </wp:inline>
        </w:drawing>
      </w:r>
    </w:p>
    <w:p w:rsidR="002B4748" w:rsidRDefault="002B4748" w:rsidP="002270FE">
      <w:pPr>
        <w:jc w:val="center"/>
      </w:pPr>
      <w:proofErr w:type="gramStart"/>
      <w:r>
        <w:t>Figure 1.</w:t>
      </w:r>
      <w:proofErr w:type="gramEnd"/>
    </w:p>
    <w:p w:rsidR="002270FE" w:rsidRDefault="002270FE" w:rsidP="002270FE">
      <w:r>
        <w:t>The data required by the spreadshee</w:t>
      </w:r>
      <w:r w:rsidR="00641F0B">
        <w:t>t tool is included in the lower</w:t>
      </w:r>
      <w:r>
        <w:t xml:space="preserve"> table which shows the more detailed load information</w:t>
      </w:r>
      <w:r w:rsidR="00641F0B">
        <w:t xml:space="preserve"> by source category (e.g., land cover type, point sources, streambank erosion, etc.). As shown in Figure 2, this data can be downloaded in csv format by clicking on the “Download this data” button.</w:t>
      </w:r>
      <w:r w:rsidR="00382A21">
        <w:t xml:space="preserve"> (Note: the </w:t>
      </w:r>
      <w:r w:rsidR="002D0866">
        <w:t xml:space="preserve">spreadsheet </w:t>
      </w:r>
      <w:r w:rsidR="00382A21">
        <w:t xml:space="preserve">tool itself can be downloaded via the “Export” function </w:t>
      </w:r>
      <w:r w:rsidR="0076473D">
        <w:t>also highlighted in Figure2</w:t>
      </w:r>
      <w:r w:rsidR="00382A21">
        <w:t>).</w:t>
      </w:r>
    </w:p>
    <w:p w:rsidR="002D0866" w:rsidRDefault="002D0866" w:rsidP="002270FE">
      <w:r w:rsidRPr="002D0866">
        <w:t>Once downloaded, these data can be copied and pasted into the appropriate place in the “MMW Output” tab in the tool. Similarly, information on the areal extent of the different source areas also needs to be copied and pasted from the csv file that can be downloaded from the “Analyze” results for the particular area of interest as shown in Figure 3. Figure 4 illustrates the specific locations within the “MMW Output” tab where these model results should be inserted.</w:t>
      </w:r>
    </w:p>
    <w:p w:rsidR="002D0866" w:rsidRDefault="002D0866" w:rsidP="002270FE">
      <w:r w:rsidRPr="002D0866">
        <w:t>Once these data are inserted as shown, the table in the upper left-hand corner of this tab (shown in blue in Figure 4) is populated with the correct model results required to populate other tabs in the spreadsheet and to support the various functions built into the tool.</w:t>
      </w:r>
    </w:p>
    <w:p w:rsidR="00641F0B" w:rsidRDefault="0076473D" w:rsidP="00641F0B">
      <w:pPr>
        <w:jc w:val="center"/>
      </w:pPr>
      <w:r>
        <w:rPr>
          <w:noProof/>
        </w:rPr>
        <w:lastRenderedPageBreak/>
        <w:drawing>
          <wp:inline distT="0" distB="0" distL="0" distR="0">
            <wp:extent cx="6534234" cy="327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JPG"/>
                    <pic:cNvPicPr/>
                  </pic:nvPicPr>
                  <pic:blipFill>
                    <a:blip r:embed="rId7">
                      <a:extLst>
                        <a:ext uri="{28A0092B-C50C-407E-A947-70E740481C1C}">
                          <a14:useLocalDpi xmlns:a14="http://schemas.microsoft.com/office/drawing/2010/main" val="0"/>
                        </a:ext>
                      </a:extLst>
                    </a:blip>
                    <a:stretch>
                      <a:fillRect/>
                    </a:stretch>
                  </pic:blipFill>
                  <pic:spPr>
                    <a:xfrm>
                      <a:off x="0" y="0"/>
                      <a:ext cx="6563397" cy="3292218"/>
                    </a:xfrm>
                    <a:prstGeom prst="rect">
                      <a:avLst/>
                    </a:prstGeom>
                  </pic:spPr>
                </pic:pic>
              </a:graphicData>
            </a:graphic>
          </wp:inline>
        </w:drawing>
      </w:r>
    </w:p>
    <w:p w:rsidR="002B4748" w:rsidRDefault="002B4748" w:rsidP="00641F0B">
      <w:pPr>
        <w:jc w:val="center"/>
      </w:pPr>
      <w:proofErr w:type="gramStart"/>
      <w:r>
        <w:t>Figure 2.</w:t>
      </w:r>
      <w:proofErr w:type="gramEnd"/>
    </w:p>
    <w:p w:rsidR="002D0866" w:rsidRDefault="002D0866" w:rsidP="00641F0B">
      <w:pPr>
        <w:jc w:val="center"/>
      </w:pPr>
    </w:p>
    <w:p w:rsidR="002D0866" w:rsidRDefault="002D0866" w:rsidP="00641F0B">
      <w:pPr>
        <w:jc w:val="center"/>
      </w:pPr>
    </w:p>
    <w:p w:rsidR="00315C81" w:rsidRDefault="00315C81" w:rsidP="00315C81">
      <w:pPr>
        <w:jc w:val="center"/>
      </w:pPr>
      <w:r>
        <w:rPr>
          <w:noProof/>
        </w:rPr>
        <w:drawing>
          <wp:inline distT="0" distB="0" distL="0" distR="0">
            <wp:extent cx="6446001" cy="331321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esults2.JPG"/>
                    <pic:cNvPicPr/>
                  </pic:nvPicPr>
                  <pic:blipFill>
                    <a:blip r:embed="rId8">
                      <a:extLst>
                        <a:ext uri="{28A0092B-C50C-407E-A947-70E740481C1C}">
                          <a14:useLocalDpi xmlns:a14="http://schemas.microsoft.com/office/drawing/2010/main" val="0"/>
                        </a:ext>
                      </a:extLst>
                    </a:blip>
                    <a:stretch>
                      <a:fillRect/>
                    </a:stretch>
                  </pic:blipFill>
                  <pic:spPr>
                    <a:xfrm>
                      <a:off x="0" y="0"/>
                      <a:ext cx="6458811" cy="3319800"/>
                    </a:xfrm>
                    <a:prstGeom prst="rect">
                      <a:avLst/>
                    </a:prstGeom>
                  </pic:spPr>
                </pic:pic>
              </a:graphicData>
            </a:graphic>
          </wp:inline>
        </w:drawing>
      </w:r>
    </w:p>
    <w:p w:rsidR="00315C81" w:rsidRDefault="00315C81" w:rsidP="00315C81">
      <w:r>
        <w:t xml:space="preserve">                                                                                          </w:t>
      </w:r>
      <w:proofErr w:type="gramStart"/>
      <w:r>
        <w:t>Figure 3.</w:t>
      </w:r>
      <w:proofErr w:type="gramEnd"/>
    </w:p>
    <w:p w:rsidR="00315C81" w:rsidRDefault="006D4882" w:rsidP="006D4882">
      <w:pPr>
        <w:jc w:val="center"/>
      </w:pPr>
      <w:r>
        <w:rPr>
          <w:noProof/>
        </w:rPr>
        <w:lastRenderedPageBreak/>
        <w:drawing>
          <wp:inline distT="0" distB="0" distL="0" distR="0">
            <wp:extent cx="5857500" cy="2992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Tab3.JPG"/>
                    <pic:cNvPicPr/>
                  </pic:nvPicPr>
                  <pic:blipFill>
                    <a:blip r:embed="rId9">
                      <a:extLst>
                        <a:ext uri="{28A0092B-C50C-407E-A947-70E740481C1C}">
                          <a14:useLocalDpi xmlns:a14="http://schemas.microsoft.com/office/drawing/2010/main" val="0"/>
                        </a:ext>
                      </a:extLst>
                    </a:blip>
                    <a:stretch>
                      <a:fillRect/>
                    </a:stretch>
                  </pic:blipFill>
                  <pic:spPr>
                    <a:xfrm>
                      <a:off x="0" y="0"/>
                      <a:ext cx="5853576" cy="2990577"/>
                    </a:xfrm>
                    <a:prstGeom prst="rect">
                      <a:avLst/>
                    </a:prstGeom>
                  </pic:spPr>
                </pic:pic>
              </a:graphicData>
            </a:graphic>
          </wp:inline>
        </w:drawing>
      </w:r>
    </w:p>
    <w:p w:rsidR="006D4882" w:rsidRDefault="006D4882" w:rsidP="006D4882">
      <w:pPr>
        <w:jc w:val="center"/>
      </w:pPr>
      <w:proofErr w:type="gramStart"/>
      <w:r>
        <w:t>Figure 4.</w:t>
      </w:r>
      <w:proofErr w:type="gramEnd"/>
    </w:p>
    <w:p w:rsidR="00EA754B" w:rsidRDefault="00EA754B" w:rsidP="004D18AF">
      <w:pPr>
        <w:jc w:val="both"/>
      </w:pPr>
      <w:r>
        <w:t xml:space="preserve">One of the more important tabs populated with the MMW model results is the “Land Use Loading Rate Look-Up Table” shown in Figure 5. In this case, model results drawn from the “MMW Output” tab are used to calculate “upland” pollutant loading rates as wells as “streambank” loading rates that are attributed to the different land use areas. </w:t>
      </w:r>
      <w:r w:rsidR="000A0C00">
        <w:t>As described later, various BMPs can be simulated to evaluate potential load reductions from “upland” areas and streambanks</w:t>
      </w:r>
      <w:r w:rsidR="00FA6C49">
        <w:t xml:space="preserve">. In the case of developed </w:t>
      </w:r>
      <w:r w:rsidR="004D18AF">
        <w:t xml:space="preserve">(urban) </w:t>
      </w:r>
      <w:r w:rsidR="00FA6C49">
        <w:t xml:space="preserve">areas, various BMPs are simulated that have an effect on both “upland” </w:t>
      </w:r>
      <w:r w:rsidR="004D18AF">
        <w:t xml:space="preserve">loads as well as </w:t>
      </w:r>
      <w:r w:rsidR="00FA6C49">
        <w:t>“downstream” loads</w:t>
      </w:r>
      <w:r w:rsidR="004D18AF">
        <w:t xml:space="preserve"> caused</w:t>
      </w:r>
      <w:r w:rsidR="00FA6C49">
        <w:t xml:space="preserve"> by </w:t>
      </w:r>
      <w:r w:rsidR="004D18AF">
        <w:t xml:space="preserve">streambank erosion. Additionally, with urban </w:t>
      </w:r>
      <w:proofErr w:type="spellStart"/>
      <w:r w:rsidR="004D18AF">
        <w:t>stormwater</w:t>
      </w:r>
      <w:proofErr w:type="spellEnd"/>
      <w:r w:rsidR="004D18AF">
        <w:t xml:space="preserve"> BMPs, “composite” loading rates that combine loads from both upland and streambank sources are used in the simulation of potential load reductions </w:t>
      </w:r>
      <w:r w:rsidR="006760F3">
        <w:t>as described in a later section</w:t>
      </w:r>
      <w:r w:rsidR="004D18AF">
        <w:t>.</w:t>
      </w:r>
    </w:p>
    <w:p w:rsidR="00A60CF0" w:rsidRDefault="00A60CF0" w:rsidP="004D18AF">
      <w:pPr>
        <w:jc w:val="both"/>
      </w:pPr>
      <w:r>
        <w:t>To support loading rate calculations in the “Land Use Loading Rate Look-Up Table” tab, information is drawn from the “MMW Output” tab as well as other intermediate locations such as the “Streambank Sediment Loading”, “Streambank Nitrogen Loading”, and “Streambank Phosphorus Loading”</w:t>
      </w:r>
      <w:r w:rsidR="00C7391C">
        <w:t xml:space="preserve"> tabs. While the user of this BMP</w:t>
      </w:r>
      <w:r>
        <w:t xml:space="preserve"> spreadsheet tool is not required to add or modify data in these latter three tabs (which are automatically populated from other tabs</w:t>
      </w:r>
      <w:r w:rsidR="00C7391C">
        <w:t>)</w:t>
      </w:r>
      <w:r>
        <w:t>, some users may find them informative with regard to how streambank-eroded loads are ass</w:t>
      </w:r>
      <w:r w:rsidR="00C7391C">
        <w:t>igned to various upland sources as a result of runoff emanating from these areas.</w:t>
      </w:r>
      <w:r>
        <w:t xml:space="preserve"> </w:t>
      </w:r>
    </w:p>
    <w:p w:rsidR="006D4882" w:rsidRDefault="00EA754B" w:rsidP="00EA754B">
      <w:pPr>
        <w:jc w:val="center"/>
      </w:pPr>
      <w:r>
        <w:rPr>
          <w:noProof/>
        </w:rPr>
        <w:lastRenderedPageBreak/>
        <w:drawing>
          <wp:inline distT="0" distB="0" distL="0" distR="0">
            <wp:extent cx="5260768" cy="2461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ateTab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4251" cy="2462837"/>
                    </a:xfrm>
                    <a:prstGeom prst="rect">
                      <a:avLst/>
                    </a:prstGeom>
                  </pic:spPr>
                </pic:pic>
              </a:graphicData>
            </a:graphic>
          </wp:inline>
        </w:drawing>
      </w:r>
    </w:p>
    <w:p w:rsidR="00EA754B" w:rsidRDefault="00EA754B" w:rsidP="00EA754B">
      <w:pPr>
        <w:jc w:val="center"/>
      </w:pPr>
      <w:proofErr w:type="gramStart"/>
      <w:r>
        <w:t>Figure 5.</w:t>
      </w:r>
      <w:proofErr w:type="gramEnd"/>
    </w:p>
    <w:p w:rsidR="004D18AF" w:rsidRDefault="00CC550D" w:rsidP="004D18AF">
      <w:r>
        <w:rPr>
          <w:u w:val="single"/>
        </w:rPr>
        <w:t>Step 2</w:t>
      </w:r>
      <w:r w:rsidR="004D18AF" w:rsidRPr="004D18AF">
        <w:rPr>
          <w:u w:val="single"/>
        </w:rPr>
        <w:t>: Evaluate Potential Load Reductions from BMPs in Rural Areas</w:t>
      </w:r>
    </w:p>
    <w:p w:rsidR="004D18AF" w:rsidRDefault="00CC550D" w:rsidP="004D18AF">
      <w:r>
        <w:t>Using the “Agricultural BMPs” tab,</w:t>
      </w:r>
      <w:r w:rsidR="004D18AF">
        <w:t xml:space="preserve"> </w:t>
      </w:r>
      <w:r>
        <w:t>various mitigation measures</w:t>
      </w:r>
      <w:r w:rsidR="00F556BC">
        <w:t xml:space="preserve"> can be simulated to evaluate potential </w:t>
      </w:r>
      <w:r w:rsidR="00BD6F78">
        <w:t xml:space="preserve">load </w:t>
      </w:r>
      <w:r w:rsidR="00F556BC">
        <w:t>reductions from both uplan</w:t>
      </w:r>
      <w:r w:rsidR="00A93443">
        <w:t>d areas (primarily agricultural)</w:t>
      </w:r>
      <w:r w:rsidR="00F556BC">
        <w:t xml:space="preserve"> and in streams due to streambank erosion. </w:t>
      </w:r>
      <w:r w:rsidR="00BD6F78">
        <w:t>To facilitate this activity,</w:t>
      </w:r>
      <w:r w:rsidR="00940AC0">
        <w:t xml:space="preserve"> information from other t</w:t>
      </w:r>
      <w:r w:rsidR="00C7391C">
        <w:t>abs is extracted</w:t>
      </w:r>
      <w:r w:rsidR="00940AC0">
        <w:t xml:space="preserve"> and us</w:t>
      </w:r>
      <w:r>
        <w:t>ed to populate key cells in this tab. More specifically</w:t>
      </w:r>
      <w:r w:rsidR="00A46AAA">
        <w:t xml:space="preserve">, information is drawn from other tabs (primarily the “MMW Output” tab) to assign values to cells pertaining to watershed loads and the extent of available land </w:t>
      </w:r>
      <w:r>
        <w:t>on which various BMPs might be applied</w:t>
      </w:r>
      <w:r w:rsidR="00A46AAA">
        <w:t xml:space="preserve">. </w:t>
      </w:r>
      <w:r>
        <w:t>For example, the cells highlighted in blue</w:t>
      </w:r>
      <w:r w:rsidR="00A93443">
        <w:t xml:space="preserve"> in Figure 6 provide available land areas or stream lengths to which measures such as conservation tillage, cover crops, riparian buffers, streambank stabilization, etc. might be applied. In the same figure</w:t>
      </w:r>
      <w:r w:rsidR="00712217">
        <w:t>, the cells highlighted in yellow</w:t>
      </w:r>
      <w:r w:rsidR="00A93443">
        <w:t xml:space="preserve"> are used to specify the proposed extent of such </w:t>
      </w:r>
      <w:r w:rsidR="002C2282">
        <w:t>measures. Based on user input, the potential load reductions are summed for all proposed measures and provided at the bottom of this tab as illustrated in Figure 7.</w:t>
      </w:r>
    </w:p>
    <w:p w:rsidR="002C2282" w:rsidRDefault="00712217" w:rsidP="00712217">
      <w:pPr>
        <w:jc w:val="center"/>
      </w:pPr>
      <w:r>
        <w:rPr>
          <w:noProof/>
        </w:rPr>
        <w:drawing>
          <wp:inline distT="0" distB="0" distL="0" distR="0">
            <wp:extent cx="5248894" cy="2332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224" cy="2338766"/>
                    </a:xfrm>
                    <a:prstGeom prst="rect">
                      <a:avLst/>
                    </a:prstGeom>
                  </pic:spPr>
                </pic:pic>
              </a:graphicData>
            </a:graphic>
          </wp:inline>
        </w:drawing>
      </w:r>
    </w:p>
    <w:p w:rsidR="00712217" w:rsidRDefault="00712217" w:rsidP="00712217">
      <w:pPr>
        <w:jc w:val="center"/>
      </w:pPr>
      <w:proofErr w:type="gramStart"/>
      <w:r>
        <w:t>Figure 6.</w:t>
      </w:r>
      <w:proofErr w:type="gramEnd"/>
    </w:p>
    <w:p w:rsidR="00CC550D" w:rsidRDefault="00712217" w:rsidP="00712217">
      <w:pPr>
        <w:jc w:val="center"/>
      </w:pPr>
      <w:r>
        <w:rPr>
          <w:noProof/>
        </w:rPr>
        <w:lastRenderedPageBreak/>
        <w:drawing>
          <wp:inline distT="0" distB="0" distL="0" distR="0">
            <wp:extent cx="5943600" cy="263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rsidR="00712217" w:rsidRDefault="00712217" w:rsidP="00712217">
      <w:pPr>
        <w:jc w:val="center"/>
      </w:pPr>
      <w:proofErr w:type="gramStart"/>
      <w:r>
        <w:t>Figure 7.</w:t>
      </w:r>
      <w:proofErr w:type="gramEnd"/>
    </w:p>
    <w:p w:rsidR="00CC550D" w:rsidRDefault="00CC550D" w:rsidP="004D18AF"/>
    <w:p w:rsidR="00CC550D" w:rsidRDefault="00CC550D" w:rsidP="00CC550D">
      <w:r>
        <w:rPr>
          <w:u w:val="single"/>
        </w:rPr>
        <w:t>Step 3</w:t>
      </w:r>
      <w:r w:rsidRPr="004D18AF">
        <w:rPr>
          <w:u w:val="single"/>
        </w:rPr>
        <w:t>: Evaluate Potential Load Reductions from BMPs in Urban Areas</w:t>
      </w:r>
    </w:p>
    <w:p w:rsidR="00797832" w:rsidRDefault="00C157EC" w:rsidP="00CC550D">
      <w:r>
        <w:t>In the case of rural landscapes, various agricultural BMPs and stream restoration measures are simulated to predict potential pollutant load reductions from either upland areas or in streams due to eroded streambanks. With urban areas, similar reductions are also considered with this spreads</w:t>
      </w:r>
      <w:r w:rsidR="003A6D6D">
        <w:t xml:space="preserve">heet tool </w:t>
      </w:r>
      <w:r w:rsidR="0076473D">
        <w:t>(as is the case with streambank sta</w:t>
      </w:r>
      <w:r w:rsidR="00ED34EC">
        <w:t xml:space="preserve">bilization and street sweeping). </w:t>
      </w:r>
      <w:r w:rsidR="009843D7">
        <w:t>However, most of the load reductions in urban areas are sim</w:t>
      </w:r>
      <w:r w:rsidR="00ED34EC">
        <w:t>ulated by considering the</w:t>
      </w:r>
      <w:r w:rsidR="006C3A63">
        <w:t xml:space="preserve"> combined load reduction effects</w:t>
      </w:r>
      <w:r w:rsidR="003A6D6D">
        <w:t xml:space="preserve"> of urban BMPS</w:t>
      </w:r>
      <w:r w:rsidR="00797832">
        <w:t xml:space="preserve"> on both upland</w:t>
      </w:r>
      <w:r w:rsidR="006C3A63">
        <w:t xml:space="preserve"> and streambank loads. </w:t>
      </w:r>
      <w:r w:rsidR="003A6D6D">
        <w:t xml:space="preserve">As has been shown in numerous studies, </w:t>
      </w:r>
      <w:proofErr w:type="spellStart"/>
      <w:r w:rsidR="003A6D6D">
        <w:t>stormwater</w:t>
      </w:r>
      <w:proofErr w:type="spellEnd"/>
      <w:r w:rsidR="003A6D6D">
        <w:t xml:space="preserve"> runoff from impervious surfaces in developed areas not only transports pollutants that have accumulated on such surface in between precipitation events, </w:t>
      </w:r>
      <w:r w:rsidR="00A324D0">
        <w:t xml:space="preserve">but </w:t>
      </w:r>
      <w:r w:rsidR="003A6D6D">
        <w:t xml:space="preserve">the </w:t>
      </w:r>
      <w:r w:rsidR="00A324D0">
        <w:t xml:space="preserve">increased runoff (relative </w:t>
      </w:r>
      <w:r w:rsidR="003A6D6D">
        <w:t>to more pervious surfaces) also significantly contributes to downstream streambank erosion</w:t>
      </w:r>
      <w:r w:rsidR="00DB09A0">
        <w:t xml:space="preserve">. </w:t>
      </w:r>
    </w:p>
    <w:p w:rsidR="003A6D6D" w:rsidRDefault="00DB09A0" w:rsidP="00CC550D">
      <w:r>
        <w:t xml:space="preserve">Accordingly, with this spreadsheet tool, the application of </w:t>
      </w:r>
      <w:r w:rsidR="00A324D0">
        <w:t>most urban BMPs that result in reduced overland and sub-surface flows to streams is assumed to result in reduced upland and streambank loads as well. To estimate such load reductions</w:t>
      </w:r>
      <w:r w:rsidR="00797832">
        <w:t>, the initial “treated” loads are calculated by multiplying the extent of the urban area treated by a given BMP by the “composite” loading rate discussed previously that considers both the upland and streambank loads attributed to that particular land use type (e.g., in this case higher-density land use types result in higher composite loads due to greater amounts of impervious surface).</w:t>
      </w:r>
      <w:r w:rsidR="00A73DB3">
        <w:t xml:space="preserve"> As described below, a reduction coefficient that represents the removal rate of sediment and nutrients for the BMP is then applied to estimate the reduced load.</w:t>
      </w:r>
    </w:p>
    <w:p w:rsidR="00A73DB3" w:rsidRDefault="00A73DB3" w:rsidP="00CC550D">
      <w:r>
        <w:t xml:space="preserve">In this spreadsheet tool, a “Performance Standard” approach is used to dynamically set the removal efficiency rates based on the type of BMP used and the runoff volume captured. This approach was originally developed for use within the Chesapeake Bay watershed model, and has been adopted by the states within the Chesapeake Bay watershed. With this approach, regression curves have been </w:t>
      </w:r>
      <w:r>
        <w:lastRenderedPageBreak/>
        <w:t xml:space="preserve">developed for two basic types of BMPs (RR – runoff reduction, and ST – </w:t>
      </w:r>
      <w:proofErr w:type="spellStart"/>
      <w:r>
        <w:t>stormwater</w:t>
      </w:r>
      <w:proofErr w:type="spellEnd"/>
      <w:r>
        <w:t xml:space="preserve"> treatment). Most urban BMP types used within the Bay watershed have been assigned to either of these two categories, and the value of sediment and/or nutrient removal efficiency varies as more runoff volume is captured via detention and/or infiltration (see Figures 8-10).</w:t>
      </w:r>
      <w:r w:rsidR="00EA6273">
        <w:t xml:space="preserve"> For example, as shown in Figure 10, if a water volume equivalent to 1 inch of runoff per acre of impervious surface is captured, a sediment removal rate of 75% would be calculated</w:t>
      </w:r>
    </w:p>
    <w:p w:rsidR="00A73DB3" w:rsidRDefault="00EA6273" w:rsidP="00A73DB3">
      <w:pPr>
        <w:jc w:val="center"/>
      </w:pPr>
      <w:r>
        <w:rPr>
          <w:noProof/>
        </w:rPr>
        <w:drawing>
          <wp:inline distT="0" distB="0" distL="0" distR="0">
            <wp:extent cx="4156363" cy="30249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urve.JPG"/>
                    <pic:cNvPicPr/>
                  </pic:nvPicPr>
                  <pic:blipFill>
                    <a:blip r:embed="rId13">
                      <a:extLst>
                        <a:ext uri="{28A0092B-C50C-407E-A947-70E740481C1C}">
                          <a14:useLocalDpi xmlns:a14="http://schemas.microsoft.com/office/drawing/2010/main" val="0"/>
                        </a:ext>
                      </a:extLst>
                    </a:blip>
                    <a:stretch>
                      <a:fillRect/>
                    </a:stretch>
                  </pic:blipFill>
                  <pic:spPr>
                    <a:xfrm>
                      <a:off x="0" y="0"/>
                      <a:ext cx="4160132" cy="3027652"/>
                    </a:xfrm>
                    <a:prstGeom prst="rect">
                      <a:avLst/>
                    </a:prstGeom>
                  </pic:spPr>
                </pic:pic>
              </a:graphicData>
            </a:graphic>
          </wp:inline>
        </w:drawing>
      </w:r>
    </w:p>
    <w:p w:rsidR="00EA6273" w:rsidRDefault="00EA6273" w:rsidP="00A73DB3">
      <w:pPr>
        <w:jc w:val="center"/>
      </w:pPr>
      <w:proofErr w:type="gramStart"/>
      <w:r>
        <w:t>Figure 8.</w:t>
      </w:r>
      <w:proofErr w:type="gramEnd"/>
    </w:p>
    <w:p w:rsidR="00EA6273" w:rsidRDefault="00EA6273" w:rsidP="00A73DB3">
      <w:pPr>
        <w:jc w:val="center"/>
      </w:pPr>
      <w:r>
        <w:rPr>
          <w:noProof/>
        </w:rPr>
        <w:drawing>
          <wp:inline distT="0" distB="0" distL="0" distR="0">
            <wp:extent cx="4229891" cy="30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urve.JPG"/>
                    <pic:cNvPicPr/>
                  </pic:nvPicPr>
                  <pic:blipFill>
                    <a:blip r:embed="rId14">
                      <a:extLst>
                        <a:ext uri="{28A0092B-C50C-407E-A947-70E740481C1C}">
                          <a14:useLocalDpi xmlns:a14="http://schemas.microsoft.com/office/drawing/2010/main" val="0"/>
                        </a:ext>
                      </a:extLst>
                    </a:blip>
                    <a:stretch>
                      <a:fillRect/>
                    </a:stretch>
                  </pic:blipFill>
                  <pic:spPr>
                    <a:xfrm>
                      <a:off x="0" y="0"/>
                      <a:ext cx="4230620" cy="3076240"/>
                    </a:xfrm>
                    <a:prstGeom prst="rect">
                      <a:avLst/>
                    </a:prstGeom>
                  </pic:spPr>
                </pic:pic>
              </a:graphicData>
            </a:graphic>
          </wp:inline>
        </w:drawing>
      </w:r>
    </w:p>
    <w:p w:rsidR="00EA6273" w:rsidRDefault="00EA6273" w:rsidP="00A73DB3">
      <w:pPr>
        <w:jc w:val="center"/>
      </w:pPr>
      <w:proofErr w:type="gramStart"/>
      <w:r>
        <w:t>Figure 9.</w:t>
      </w:r>
      <w:proofErr w:type="gramEnd"/>
    </w:p>
    <w:p w:rsidR="00CC550D" w:rsidRDefault="00EA6273" w:rsidP="00EA6273">
      <w:pPr>
        <w:jc w:val="center"/>
      </w:pPr>
      <w:r>
        <w:rPr>
          <w:noProof/>
        </w:rPr>
        <w:lastRenderedPageBreak/>
        <w:drawing>
          <wp:inline distT="0" distB="0" distL="0" distR="0" wp14:anchorId="44D59D20" wp14:editId="51F9B522">
            <wp:extent cx="5212877" cy="3752603"/>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urve2.JPG"/>
                    <pic:cNvPicPr/>
                  </pic:nvPicPr>
                  <pic:blipFill>
                    <a:blip r:embed="rId15">
                      <a:extLst>
                        <a:ext uri="{28A0092B-C50C-407E-A947-70E740481C1C}">
                          <a14:useLocalDpi xmlns:a14="http://schemas.microsoft.com/office/drawing/2010/main" val="0"/>
                        </a:ext>
                      </a:extLst>
                    </a:blip>
                    <a:stretch>
                      <a:fillRect/>
                    </a:stretch>
                  </pic:blipFill>
                  <pic:spPr>
                    <a:xfrm>
                      <a:off x="0" y="0"/>
                      <a:ext cx="5224750" cy="3761150"/>
                    </a:xfrm>
                    <a:prstGeom prst="rect">
                      <a:avLst/>
                    </a:prstGeom>
                  </pic:spPr>
                </pic:pic>
              </a:graphicData>
            </a:graphic>
          </wp:inline>
        </w:drawing>
      </w:r>
    </w:p>
    <w:p w:rsidR="00EA6273" w:rsidRDefault="00EA6273" w:rsidP="00EA6273">
      <w:pPr>
        <w:jc w:val="center"/>
      </w:pPr>
      <w:proofErr w:type="gramStart"/>
      <w:r>
        <w:t>Figure 10.</w:t>
      </w:r>
      <w:proofErr w:type="gramEnd"/>
    </w:p>
    <w:p w:rsidR="000867CE" w:rsidRDefault="000867CE" w:rsidP="00EA6273">
      <w:pPr>
        <w:jc w:val="center"/>
      </w:pPr>
    </w:p>
    <w:p w:rsidR="00EA6273" w:rsidRDefault="00EA6273" w:rsidP="00EA6273">
      <w:proofErr w:type="gramStart"/>
      <w:r>
        <w:t>Within the MMW BMP spreadsheet tool, the BMP type (RR or ST), as well as the runoff volume</w:t>
      </w:r>
      <w:r w:rsidR="00094359">
        <w:t>s</w:t>
      </w:r>
      <w:r>
        <w:t xml:space="preserve"> captured, are specified by the user</w:t>
      </w:r>
      <w:r w:rsidR="00094359">
        <w:t>.</w:t>
      </w:r>
      <w:proofErr w:type="gramEnd"/>
      <w:r w:rsidR="00094359">
        <w:t xml:space="preserve"> For reference purposes, Figure 11 shows a table of the different BMPs that have been assigned to either category for Bay modeling purposes.</w:t>
      </w:r>
      <w:r w:rsidR="004C712B">
        <w:t xml:space="preserve"> The particular tab used is the “Urban BMPs” tab, and in this tab, the user is required to: 1) identify the BMP type to be simulated, 2) specify the extent to which different land use types are treated by the BMP, and 3) specify the quantity (runoff depth) captured by the BMP</w:t>
      </w:r>
      <w:r w:rsidR="000867CE">
        <w:t xml:space="preserve"> as shown in Figure 12</w:t>
      </w:r>
      <w:r w:rsidR="004C712B">
        <w:t xml:space="preserve">. Upon entering this information, </w:t>
      </w:r>
      <w:r w:rsidR="000867CE">
        <w:t xml:space="preserve">the removal efficiency values for sediment, nitrogen and phosphorus, as well as potential load reductions, are automatically calculated as shown in Figure 13. Within this tab, multiple data entry options for up to four “project areas” are provided so that load reductions for different part of an urban area, or for sub-areas treated by different BMP/collection systems, can be estimated. </w:t>
      </w:r>
    </w:p>
    <w:p w:rsidR="00F43016" w:rsidRDefault="00094359" w:rsidP="00094359">
      <w:pPr>
        <w:jc w:val="center"/>
      </w:pPr>
      <w:r>
        <w:rPr>
          <w:noProof/>
        </w:rPr>
        <w:lastRenderedPageBreak/>
        <w:drawing>
          <wp:inline distT="0" distB="0" distL="0" distR="0">
            <wp:extent cx="3443844" cy="35463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ndSTtypes.JPG"/>
                    <pic:cNvPicPr/>
                  </pic:nvPicPr>
                  <pic:blipFill>
                    <a:blip r:embed="rId16">
                      <a:extLst>
                        <a:ext uri="{28A0092B-C50C-407E-A947-70E740481C1C}">
                          <a14:useLocalDpi xmlns:a14="http://schemas.microsoft.com/office/drawing/2010/main" val="0"/>
                        </a:ext>
                      </a:extLst>
                    </a:blip>
                    <a:stretch>
                      <a:fillRect/>
                    </a:stretch>
                  </pic:blipFill>
                  <pic:spPr>
                    <a:xfrm>
                      <a:off x="0" y="0"/>
                      <a:ext cx="3444170" cy="3546711"/>
                    </a:xfrm>
                    <a:prstGeom prst="rect">
                      <a:avLst/>
                    </a:prstGeom>
                  </pic:spPr>
                </pic:pic>
              </a:graphicData>
            </a:graphic>
          </wp:inline>
        </w:drawing>
      </w:r>
    </w:p>
    <w:p w:rsidR="00094359" w:rsidRPr="00094359" w:rsidRDefault="00094359" w:rsidP="00094359">
      <w:pPr>
        <w:jc w:val="center"/>
        <w:rPr>
          <w:sz w:val="16"/>
          <w:szCs w:val="16"/>
        </w:rPr>
      </w:pPr>
      <w:r w:rsidRPr="00094359">
        <w:rPr>
          <w:sz w:val="16"/>
          <w:szCs w:val="16"/>
        </w:rPr>
        <w:t>Source:</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094359" w:rsidRPr="00094359" w:rsidRDefault="00094359" w:rsidP="00094359">
      <w:pPr>
        <w:rPr>
          <w:sz w:val="16"/>
          <w:szCs w:val="16"/>
        </w:rPr>
      </w:pPr>
      <w:r w:rsidRPr="00094359">
        <w:rPr>
          <w:sz w:val="16"/>
          <w:szCs w:val="16"/>
        </w:rPr>
        <w:t xml:space="preserve">Recommendations of the Expert Panel to Define Removal Rates for New State </w:t>
      </w:r>
      <w:proofErr w:type="spellStart"/>
      <w:r w:rsidRPr="00094359">
        <w:rPr>
          <w:sz w:val="16"/>
          <w:szCs w:val="16"/>
        </w:rPr>
        <w:t>Stormwater</w:t>
      </w:r>
      <w:proofErr w:type="spellEnd"/>
      <w:r w:rsidRPr="00094359">
        <w:rPr>
          <w:sz w:val="16"/>
          <w:szCs w:val="16"/>
        </w:rPr>
        <w:t xml:space="preserve"> Performance Standards, Stewart Comstock, Scott Crafton, Randy Greer, Peter Hill, Dave Hirschman, </w:t>
      </w:r>
      <w:proofErr w:type="spellStart"/>
      <w:r w:rsidRPr="00094359">
        <w:rPr>
          <w:sz w:val="16"/>
          <w:szCs w:val="16"/>
        </w:rPr>
        <w:t>Shoreh</w:t>
      </w:r>
      <w:proofErr w:type="spellEnd"/>
      <w:r w:rsidRPr="00094359">
        <w:rPr>
          <w:sz w:val="16"/>
          <w:szCs w:val="16"/>
        </w:rPr>
        <w:t xml:space="preserve"> </w:t>
      </w:r>
      <w:proofErr w:type="spellStart"/>
      <w:r w:rsidRPr="00094359">
        <w:rPr>
          <w:sz w:val="16"/>
          <w:szCs w:val="16"/>
        </w:rPr>
        <w:t>Karimpour</w:t>
      </w:r>
      <w:proofErr w:type="spellEnd"/>
      <w:r w:rsidRPr="00094359">
        <w:rPr>
          <w:sz w:val="16"/>
          <w:szCs w:val="16"/>
        </w:rPr>
        <w:t xml:space="preserve">, Ken </w:t>
      </w:r>
      <w:proofErr w:type="spellStart"/>
      <w:r w:rsidRPr="00094359">
        <w:rPr>
          <w:sz w:val="16"/>
          <w:szCs w:val="16"/>
        </w:rPr>
        <w:t>Murin</w:t>
      </w:r>
      <w:proofErr w:type="spellEnd"/>
      <w:r w:rsidRPr="00094359">
        <w:rPr>
          <w:sz w:val="16"/>
          <w:szCs w:val="16"/>
        </w:rPr>
        <w:t>, Jennifer Orr, Fred Rose, Sherry Wilkins.</w:t>
      </w:r>
      <w:r w:rsidRPr="00094359">
        <w:rPr>
          <w:sz w:val="16"/>
          <w:szCs w:val="16"/>
        </w:rPr>
        <w:tab/>
        <w:t>Revised: January 20, 2015</w:t>
      </w:r>
      <w:r>
        <w:rPr>
          <w:sz w:val="16"/>
          <w:szCs w:val="16"/>
        </w:rPr>
        <w:t xml:space="preserve">, </w:t>
      </w:r>
      <w:r w:rsidRPr="00094359">
        <w:rPr>
          <w:sz w:val="16"/>
          <w:szCs w:val="16"/>
        </w:rPr>
        <w:t xml:space="preserve">Prepared by: Tom </w:t>
      </w:r>
      <w:proofErr w:type="spellStart"/>
      <w:r w:rsidRPr="00094359">
        <w:rPr>
          <w:sz w:val="16"/>
          <w:szCs w:val="16"/>
        </w:rPr>
        <w:t>Schueler</w:t>
      </w:r>
      <w:proofErr w:type="spellEnd"/>
      <w:r w:rsidRPr="00094359">
        <w:rPr>
          <w:sz w:val="16"/>
          <w:szCs w:val="16"/>
        </w:rPr>
        <w:t xml:space="preserve"> and Cecilia Lane, Chesapeake </w:t>
      </w:r>
      <w:proofErr w:type="spellStart"/>
      <w:r w:rsidRPr="00094359">
        <w:rPr>
          <w:sz w:val="16"/>
          <w:szCs w:val="16"/>
        </w:rPr>
        <w:t>Stormwater</w:t>
      </w:r>
      <w:proofErr w:type="spellEnd"/>
      <w:r w:rsidRPr="00094359">
        <w:rPr>
          <w:sz w:val="16"/>
          <w:szCs w:val="16"/>
        </w:rPr>
        <w:t xml:space="preserve"> Network</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EA6273" w:rsidRDefault="00094359" w:rsidP="00715844">
      <w:pPr>
        <w:jc w:val="center"/>
      </w:pPr>
      <w:proofErr w:type="gramStart"/>
      <w:r>
        <w:t>Figure 11.</w:t>
      </w:r>
      <w:proofErr w:type="gramEnd"/>
    </w:p>
    <w:p w:rsidR="00CC550D" w:rsidRDefault="00CC550D" w:rsidP="00CC550D"/>
    <w:p w:rsidR="00054798" w:rsidRDefault="00054798" w:rsidP="00054798">
      <w:pPr>
        <w:jc w:val="center"/>
      </w:pPr>
      <w:r>
        <w:rPr>
          <w:noProof/>
        </w:rPr>
        <w:drawing>
          <wp:inline distT="0" distB="0" distL="0" distR="0">
            <wp:extent cx="5943600" cy="257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BMP1b.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rsidR="00054798" w:rsidRDefault="00054798" w:rsidP="00054798">
      <w:pPr>
        <w:jc w:val="center"/>
      </w:pPr>
      <w:proofErr w:type="gramStart"/>
      <w:r>
        <w:t>Figure 12.</w:t>
      </w:r>
      <w:proofErr w:type="gramEnd"/>
    </w:p>
    <w:p w:rsidR="00054798" w:rsidRDefault="00715844" w:rsidP="00054798">
      <w:pPr>
        <w:jc w:val="center"/>
      </w:pPr>
      <w:r>
        <w:rPr>
          <w:noProof/>
        </w:rPr>
        <w:lastRenderedPageBreak/>
        <w:drawing>
          <wp:inline distT="0" distB="0" distL="0" distR="0">
            <wp:extent cx="59436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BMP2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715844" w:rsidRDefault="00715844" w:rsidP="00054798">
      <w:pPr>
        <w:jc w:val="center"/>
      </w:pPr>
      <w:proofErr w:type="gramStart"/>
      <w:r>
        <w:t>Figure 13.</w:t>
      </w:r>
      <w:proofErr w:type="gramEnd"/>
    </w:p>
    <w:p w:rsidR="00715844" w:rsidRDefault="00715844" w:rsidP="00054798">
      <w:pPr>
        <w:jc w:val="center"/>
      </w:pPr>
    </w:p>
    <w:p w:rsidR="008D28AE" w:rsidRDefault="008D28AE" w:rsidP="00054798">
      <w:pPr>
        <w:jc w:val="center"/>
      </w:pPr>
    </w:p>
    <w:p w:rsidR="00715844" w:rsidRDefault="00715844" w:rsidP="00715844">
      <w:r w:rsidRPr="00715844">
        <w:rPr>
          <w:u w:val="single"/>
        </w:rPr>
        <w:t>Step 4: Review Total Load Reductions and Repeat Previous Steps as Necessary</w:t>
      </w:r>
    </w:p>
    <w:p w:rsidR="008D28AE" w:rsidRDefault="004C10C7" w:rsidP="00715844">
      <w:r>
        <w:t>The final tab in the spreadsheet (“Total Load Reductions”) summarizes the results based on the application of all the BMPs and measures specified by the user.</w:t>
      </w:r>
      <w:r w:rsidR="001B7A52">
        <w:t xml:space="preserve"> As shown in Figure 14, load estimates are given for “pre-BMP” conditions, “current BMP” conditions, and after all proposed (future) BMPs are considered. Typically, plans for future reductions are compared against current or “baseline” loads.</w:t>
      </w:r>
      <w:r w:rsidR="00351F6E">
        <w:t xml:space="preserve"> Depending on any sediment and/or nutrient load targets that the user might be comparing the simulated results against, additional simulations may need to be conducted before any final results are achieved with the spreadsheet tool. Also, as described earlier, multiple “project areas” are provided in the urban tab in case individual sub-areas need to be considered within a larger urban area. Additionally, if multiple areas or scenarios need to be addressed, the user can make as many copies of the tool as needed.</w:t>
      </w:r>
    </w:p>
    <w:p w:rsidR="004C10C7" w:rsidRDefault="00294221" w:rsidP="008D28AE">
      <w:pPr>
        <w:jc w:val="center"/>
      </w:pPr>
      <w:r>
        <w:rPr>
          <w:noProof/>
        </w:rPr>
        <w:lastRenderedPageBreak/>
        <w:drawing>
          <wp:inline distT="0" distB="0" distL="0" distR="0">
            <wp:extent cx="5943600" cy="2753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ab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94221" w:rsidRPr="004C10C7" w:rsidRDefault="00294221" w:rsidP="008D28AE">
      <w:pPr>
        <w:jc w:val="center"/>
      </w:pPr>
      <w:proofErr w:type="gramStart"/>
      <w:r>
        <w:t>Figure 14.</w:t>
      </w:r>
      <w:proofErr w:type="gramEnd"/>
    </w:p>
    <w:p w:rsidR="00CC550D" w:rsidRDefault="00CC550D" w:rsidP="004D18AF"/>
    <w:p w:rsidR="00D643FD" w:rsidRPr="00D643FD" w:rsidRDefault="00D643FD" w:rsidP="00D643FD">
      <w:pPr>
        <w:rPr>
          <w:b/>
          <w:i/>
        </w:rPr>
      </w:pPr>
      <w:r w:rsidRPr="00D643FD">
        <w:rPr>
          <w:b/>
          <w:i/>
        </w:rPr>
        <w:t>Analysis of Pollutant Loads and Potential BMP Scenari</w:t>
      </w:r>
      <w:r>
        <w:rPr>
          <w:b/>
          <w:i/>
        </w:rPr>
        <w:t>os for Specific “Targeted” Areas within a Larger</w:t>
      </w:r>
      <w:r w:rsidRPr="00D643FD">
        <w:rPr>
          <w:b/>
          <w:i/>
        </w:rPr>
        <w:t xml:space="preserve"> Watershed</w:t>
      </w:r>
    </w:p>
    <w:p w:rsidR="002D0866" w:rsidRDefault="008777E4" w:rsidP="004D18AF">
      <w:r>
        <w:t>Basically, the steps associated with this type of analysis are the same as those given above</w:t>
      </w:r>
      <w:r w:rsidR="007245E3">
        <w:t xml:space="preserve"> with the exception of two</w:t>
      </w:r>
      <w:r>
        <w:t xml:space="preserve"> additional step</w:t>
      </w:r>
      <w:r w:rsidR="007245E3">
        <w:t>s (Step 2 and Step 3)</w:t>
      </w:r>
      <w:r>
        <w:t xml:space="preserve"> as described below.</w:t>
      </w:r>
    </w:p>
    <w:p w:rsidR="008777E4" w:rsidRDefault="008777E4" w:rsidP="008777E4">
      <w:r w:rsidRPr="00C81850">
        <w:rPr>
          <w:u w:val="single"/>
        </w:rPr>
        <w:t>Step 1: Load Output Data from Model My Watershed</w:t>
      </w:r>
      <w:r w:rsidR="00783CB2">
        <w:rPr>
          <w:u w:val="single"/>
        </w:rPr>
        <w:t xml:space="preserve"> for the Larger Watershed</w:t>
      </w:r>
    </w:p>
    <w:p w:rsidR="008777E4" w:rsidRDefault="008777E4" w:rsidP="004D18AF">
      <w:r>
        <w:t>(Same as above)</w:t>
      </w:r>
    </w:p>
    <w:p w:rsidR="007245E3" w:rsidRPr="007245E3" w:rsidRDefault="007245E3" w:rsidP="004D18AF">
      <w:pPr>
        <w:rPr>
          <w:u w:val="single"/>
        </w:rPr>
      </w:pPr>
      <w:r w:rsidRPr="007245E3">
        <w:rPr>
          <w:u w:val="single"/>
        </w:rPr>
        <w:t>Step2: Define the Boundary of the Target Area</w:t>
      </w:r>
    </w:p>
    <w:p w:rsidR="007245E3" w:rsidRDefault="00866ABC" w:rsidP="004D18AF">
      <w:r>
        <w:t xml:space="preserve">The process for estimating the land cover distribution </w:t>
      </w:r>
      <w:r w:rsidR="00FE42ED">
        <w:t xml:space="preserve">for a smaller target area (e.g., municipality or other user-defined urban area or BMP area) </w:t>
      </w:r>
      <w:r>
        <w:t>is essentially the same as when a boundary</w:t>
      </w:r>
      <w:r w:rsidR="002816F3">
        <w:t xml:space="preserve"> is selected or created for any watershed or area of interest</w:t>
      </w:r>
      <w:r w:rsidR="00A37760">
        <w:t xml:space="preserve"> (AOI)</w:t>
      </w:r>
      <w:r w:rsidR="002816F3">
        <w:t xml:space="preserve"> in Model My Watershed. </w:t>
      </w:r>
      <w:r w:rsidR="00D94046">
        <w:t>In thi</w:t>
      </w:r>
      <w:r w:rsidR="00A37760">
        <w:t>s case, instead of using either the “Select boundary” or “Delineate watershed” options t</w:t>
      </w:r>
      <w:r w:rsidR="00870390">
        <w:t>o define an AOI</w:t>
      </w:r>
      <w:r w:rsidR="00A37760">
        <w:t>, either the “Draw ar</w:t>
      </w:r>
      <w:r w:rsidR="00870390">
        <w:t>ea” or “Upload file” options</w:t>
      </w:r>
      <w:r w:rsidR="00A37760">
        <w:t xml:space="preserve"> </w:t>
      </w:r>
      <w:r w:rsidR="00870390">
        <w:t xml:space="preserve">as shown </w:t>
      </w:r>
      <w:r w:rsidR="00870390" w:rsidRPr="00870390">
        <w:rPr>
          <w:highlight w:val="yellow"/>
        </w:rPr>
        <w:t>in Figure xxx</w:t>
      </w:r>
      <w:r w:rsidR="00870390">
        <w:t xml:space="preserve"> are </w:t>
      </w:r>
      <w:r w:rsidR="00A37760">
        <w:t>used to define the AOI. (See the Appendix if you are not familiar with how to use these two options for defining an AOI).</w:t>
      </w:r>
    </w:p>
    <w:p w:rsidR="008777E4" w:rsidRDefault="00B70D18" w:rsidP="004D18AF">
      <w:pPr>
        <w:rPr>
          <w:u w:val="single"/>
        </w:rPr>
      </w:pPr>
      <w:r>
        <w:rPr>
          <w:u w:val="single"/>
        </w:rPr>
        <w:t>Step 3</w:t>
      </w:r>
      <w:r w:rsidR="008777E4" w:rsidRPr="007245E3">
        <w:rPr>
          <w:u w:val="single"/>
        </w:rPr>
        <w:t>: Enter Land Cover Distribution Data for the</w:t>
      </w:r>
      <w:r w:rsidR="007245E3" w:rsidRPr="007245E3">
        <w:rPr>
          <w:u w:val="single"/>
        </w:rPr>
        <w:t xml:space="preserve"> “Target” Area within the Larger Watershed</w:t>
      </w:r>
    </w:p>
    <w:p w:rsidR="00B70D18" w:rsidRDefault="00B70D18" w:rsidP="004D18AF">
      <w:r>
        <w:t xml:space="preserve">After a boundary for the “target area” is defined using one of the two methods described above, Model My Watershed will summarize various characteristics of the AOI just as it does for any other area selected. </w:t>
      </w:r>
      <w:r w:rsidR="00B5229C">
        <w:t xml:space="preserve">Just as shown in Figure 3 in the </w:t>
      </w:r>
      <w:r w:rsidR="0007380C">
        <w:t xml:space="preserve">previous </w:t>
      </w:r>
      <w:r w:rsidR="00B5229C">
        <w:t>section, the land cover distribution for the new AOI can be downloaded in a csv-formatted fi</w:t>
      </w:r>
      <w:r w:rsidR="00AF78AD">
        <w:t xml:space="preserve">le. However, in this case, the data in this csv file are to be copied and pasted into a different location in the BMP spreadsheet tool. More specifically, data on the </w:t>
      </w:r>
      <w:r w:rsidR="00AF78AD">
        <w:lastRenderedPageBreak/>
        <w:t xml:space="preserve">type and areal extent of the different land cover categories are to be pasted into the location shown in Figure 15. </w:t>
      </w:r>
      <w:r w:rsidR="0067217E">
        <w:t>Once these data are pasted into this location in the spreadsheet, information on land cover for the target area is then carried over to the “</w:t>
      </w:r>
      <w:r w:rsidR="0067217E" w:rsidRPr="0067217E">
        <w:rPr>
          <w:highlight w:val="yellow"/>
        </w:rPr>
        <w:t>XXXX”</w:t>
      </w:r>
      <w:r w:rsidR="0067217E">
        <w:t xml:space="preserve"> tab to help the user determine the load reduct</w:t>
      </w:r>
      <w:r w:rsidR="00E03B91">
        <w:t>ions that might be obtain</w:t>
      </w:r>
      <w:r w:rsidR="0067217E">
        <w:t xml:space="preserve">ed by applying different BMP scenarios in this specific area. (Note: in addition to using either the “Draw area” or “Upload file” options, it is also possible to just </w:t>
      </w:r>
      <w:r w:rsidR="00E03B91">
        <w:t>manually enter information on the areal extent of different land cover types in the target (urban) area if these are already known).</w:t>
      </w:r>
    </w:p>
    <w:p w:rsidR="00D76F79" w:rsidRDefault="00D76F79" w:rsidP="004D18AF">
      <w:r>
        <w:rPr>
          <w:noProof/>
        </w:rPr>
        <w:drawing>
          <wp:inline distT="0" distB="0" distL="0" distR="0">
            <wp:extent cx="5943600" cy="3947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D76F79" w:rsidRPr="00B70D18" w:rsidRDefault="00D76F79" w:rsidP="00D76F79">
      <w:pPr>
        <w:jc w:val="center"/>
      </w:pPr>
      <w:r>
        <w:t>Fi</w:t>
      </w:r>
      <w:r w:rsidR="00E867DA">
        <w:t xml:space="preserve">gure </w:t>
      </w:r>
      <w:proofErr w:type="spellStart"/>
      <w:r w:rsidR="00E867DA">
        <w:t>xxxx</w:t>
      </w:r>
      <w:proofErr w:type="spellEnd"/>
    </w:p>
    <w:p w:rsidR="00B51D01" w:rsidRDefault="00B51D01" w:rsidP="004D18AF"/>
    <w:p w:rsidR="008777E4" w:rsidRDefault="00B51D01" w:rsidP="004D18AF">
      <w:r w:rsidRPr="00B51D01">
        <w:rPr>
          <w:u w:val="single"/>
        </w:rPr>
        <w:t xml:space="preserve">Subsequent Steps </w:t>
      </w:r>
    </w:p>
    <w:p w:rsidR="002A479D" w:rsidRDefault="00B51D01" w:rsidP="004D18AF">
      <w:pPr>
        <w:sectPr w:rsidR="002A479D">
          <w:pgSz w:w="12240" w:h="15840"/>
          <w:pgMar w:top="1440" w:right="1440" w:bottom="1440" w:left="1440" w:header="720" w:footer="720" w:gutter="0"/>
          <w:cols w:space="720"/>
          <w:docGrid w:linePitch="360"/>
        </w:sectPr>
      </w:pPr>
      <w:r>
        <w:t xml:space="preserve">After entering information for the smaller target area of interest as described in the two previous steps, </w:t>
      </w:r>
      <w:r w:rsidR="00685CF1">
        <w:t xml:space="preserve">an assessment of potential load reduction scenarios using various BMPs can be conducted by following Steps 2 through 4 outlined in the previous section. After any given scenario, the </w:t>
      </w:r>
      <w:r w:rsidR="00B9614A">
        <w:t xml:space="preserve">potential load reductions </w:t>
      </w:r>
      <w:r w:rsidR="00A213E0">
        <w:t>are then shown in</w:t>
      </w:r>
      <w:r w:rsidR="000A50AE">
        <w:t xml:space="preserve"> Figure 14 as shown earlier. In this case, however, any BMPs simulated are assumed to be applied in the target (urban) area first until available rural and urban land areas within that particular area are exhausted. Therefore, the percent load reduction values for the target </w:t>
      </w:r>
      <w:r w:rsidR="005156CC">
        <w:t>area are usually higher than those for the</w:t>
      </w:r>
      <w:r w:rsidR="000A50AE">
        <w:t xml:space="preserve"> larger watershed within which it is located.</w:t>
      </w:r>
      <w:r w:rsidR="00685CF1">
        <w:t xml:space="preserve"> </w:t>
      </w:r>
    </w:p>
    <w:p w:rsidR="003B1B3A" w:rsidRDefault="002A479D" w:rsidP="001F6590">
      <w:pPr>
        <w:jc w:val="center"/>
      </w:pPr>
      <w:r w:rsidRPr="0078458D">
        <w:rPr>
          <w:b/>
          <w:i/>
        </w:rPr>
        <w:lastRenderedPageBreak/>
        <w:t>APPENDIX</w:t>
      </w:r>
      <w:r w:rsidR="0078458D">
        <w:rPr>
          <w:b/>
          <w:i/>
        </w:rPr>
        <w:t xml:space="preserve"> - </w:t>
      </w:r>
      <w:r w:rsidR="001F6590" w:rsidRPr="001F6590">
        <w:rPr>
          <w:b/>
          <w:i/>
        </w:rPr>
        <w:t>Selecting/De</w:t>
      </w:r>
      <w:r w:rsidR="001F6590">
        <w:rPr>
          <w:b/>
          <w:i/>
        </w:rPr>
        <w:t>fining an Area of Interest</w:t>
      </w:r>
      <w:r w:rsidR="001F6590" w:rsidRPr="001F6590">
        <w:rPr>
          <w:b/>
          <w:i/>
        </w:rPr>
        <w:t xml:space="preserve"> for use in Watershed Modeling</w:t>
      </w:r>
    </w:p>
    <w:p w:rsidR="00816EC5" w:rsidRDefault="00816EC5" w:rsidP="001F6590">
      <w:r>
        <w:t xml:space="preserve">As shown in </w:t>
      </w:r>
      <w:r w:rsidRPr="00816EC5">
        <w:rPr>
          <w:highlight w:val="yellow"/>
        </w:rPr>
        <w:t>Figure xxx</w:t>
      </w:r>
      <w:r w:rsidR="001F6590">
        <w:t>, there are a number of tools available</w:t>
      </w:r>
      <w:r>
        <w:t xml:space="preserve"> within Model My Watershed</w:t>
      </w:r>
      <w:r w:rsidR="001F6590">
        <w:t xml:space="preserve"> for selecting or defining an Area of Interest (AOI) for analysis or water quality simulation purposes, including “Select boundary”, “Draw area”, “Delineate watershed”, and “Upload file”. Some of the options included with these tools (e.g., </w:t>
      </w:r>
      <w:r>
        <w:t>“Square km” with the “Draw area” tool, and “County Lines” under the “Select boundary” tool) are not usually suitable since they do not necessarily represent watersheds or basins that are defined by topographic divides or stream networks. Brief descriptions of the most appropriate tools for use in water quality hydrologic/water quality modeling are provided below.</w:t>
      </w:r>
    </w:p>
    <w:p w:rsidR="00816EC5" w:rsidRDefault="00816EC5" w:rsidP="00816EC5">
      <w:pPr>
        <w:jc w:val="center"/>
      </w:pPr>
      <w:r>
        <w:rPr>
          <w:noProof/>
        </w:rPr>
        <w:drawing>
          <wp:inline distT="0" distB="0" distL="0" distR="0">
            <wp:extent cx="5943600" cy="3949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816EC5" w:rsidRDefault="00816EC5" w:rsidP="00816EC5">
      <w:pPr>
        <w:jc w:val="center"/>
      </w:pPr>
      <w:r>
        <w:t xml:space="preserve">Figure </w:t>
      </w:r>
      <w:proofErr w:type="spellStart"/>
      <w:r>
        <w:t>xxxx</w:t>
      </w:r>
      <w:proofErr w:type="spellEnd"/>
      <w:r>
        <w:t>.</w:t>
      </w:r>
    </w:p>
    <w:p w:rsidR="001F6590" w:rsidRPr="00816EC5" w:rsidRDefault="00816EC5" w:rsidP="001F6590">
      <w:r w:rsidRPr="00816EC5">
        <w:rPr>
          <w:u w:val="single"/>
        </w:rPr>
        <w:t xml:space="preserve">Select Boundary </w:t>
      </w:r>
    </w:p>
    <w:p w:rsidR="00816EC5" w:rsidRDefault="00816EC5" w:rsidP="001F6590">
      <w:r w:rsidRPr="00816EC5">
        <w:t>With this particula</w:t>
      </w:r>
      <w:r>
        <w:t>r tool, the most suitable optio</w:t>
      </w:r>
      <w:r w:rsidRPr="00816EC5">
        <w:t>ns</w:t>
      </w:r>
      <w:r>
        <w:t xml:space="preserve"> for modeling include those which allow a user to depict and select pre-defined watershed/basin boundaries previously developed by the U.S. Geological Survey (i.e., the HUC</w:t>
      </w:r>
      <w:r w:rsidR="006A0836">
        <w:t xml:space="preserve">12, HUC10 and HUC8 boundaries) as shown in </w:t>
      </w:r>
      <w:r w:rsidR="006A0836" w:rsidRPr="006A0836">
        <w:rPr>
          <w:highlight w:val="yellow"/>
        </w:rPr>
        <w:t>Figure xxx.</w:t>
      </w:r>
      <w:r w:rsidR="00C97672">
        <w:t xml:space="preserve"> Although all of these vary in average size depending upon where they are located geographically, </w:t>
      </w:r>
      <w:r w:rsidR="004C06E6">
        <w:t xml:space="preserve">across the country, </w:t>
      </w:r>
      <w:r w:rsidR="00C97672">
        <w:t>HUC12 boundaries are typically on the order of</w:t>
      </w:r>
      <w:r w:rsidR="009D2137">
        <w:t xml:space="preserve"> 40 square miles in size, HUC10 boundaries are about</w:t>
      </w:r>
      <w:r w:rsidR="004C06E6">
        <w:t xml:space="preserve"> 225</w:t>
      </w:r>
      <w:r w:rsidR="007A3804">
        <w:t xml:space="preserve"> square miles</w:t>
      </w:r>
      <w:r w:rsidR="004C06E6">
        <w:t xml:space="preserve"> in size</w:t>
      </w:r>
      <w:r w:rsidR="007A3804">
        <w:t xml:space="preserve">, and HUC8 boundaries are about </w:t>
      </w:r>
      <w:r w:rsidR="004C06E6">
        <w:t>700 square miles in size.</w:t>
      </w:r>
      <w:r w:rsidR="00620402">
        <w:t xml:space="preserve"> Once particular option is chosen, the user then moves the cursor over to the boundary of interest and clicks on it to begin the process of extracting the necessary data to begin the modelling process.</w:t>
      </w:r>
    </w:p>
    <w:p w:rsidR="006A0836" w:rsidRDefault="006A0836" w:rsidP="001F6590"/>
    <w:p w:rsidR="006A0836" w:rsidRDefault="006A0836" w:rsidP="006A0836">
      <w:pPr>
        <w:jc w:val="center"/>
      </w:pPr>
      <w:r>
        <w:rPr>
          <w:noProof/>
        </w:rPr>
        <w:drawing>
          <wp:inline distT="0" distB="0" distL="0" distR="0">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6A0836" w:rsidRDefault="006A0836" w:rsidP="006A0836">
      <w:pPr>
        <w:jc w:val="center"/>
      </w:pPr>
      <w:r w:rsidRPr="006A0836">
        <w:rPr>
          <w:highlight w:val="yellow"/>
        </w:rPr>
        <w:t>Figure xxx</w:t>
      </w:r>
    </w:p>
    <w:p w:rsidR="0078458D" w:rsidRDefault="0078458D" w:rsidP="006A0836">
      <w:pPr>
        <w:jc w:val="center"/>
      </w:pPr>
    </w:p>
    <w:p w:rsidR="004C06E6" w:rsidRDefault="00620402" w:rsidP="00620402">
      <w:pPr>
        <w:jc w:val="center"/>
      </w:pPr>
      <w:r>
        <w:rPr>
          <w:noProof/>
        </w:rPr>
        <w:drawing>
          <wp:inline distT="0" distB="0" distL="0" distR="0">
            <wp:extent cx="5943600" cy="301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620402" w:rsidRDefault="00620402" w:rsidP="00620402">
      <w:pPr>
        <w:jc w:val="center"/>
      </w:pPr>
      <w:r w:rsidRPr="00620402">
        <w:rPr>
          <w:highlight w:val="yellow"/>
        </w:rPr>
        <w:t>Figure xxx</w:t>
      </w:r>
    </w:p>
    <w:p w:rsidR="00620402" w:rsidRDefault="00620402" w:rsidP="00620402"/>
    <w:p w:rsidR="0078458D" w:rsidRDefault="0078458D" w:rsidP="00620402"/>
    <w:p w:rsidR="00620402" w:rsidRDefault="00600DA5" w:rsidP="00620402">
      <w:r w:rsidRPr="00600DA5">
        <w:rPr>
          <w:u w:val="single"/>
        </w:rPr>
        <w:lastRenderedPageBreak/>
        <w:t>Draw Area</w:t>
      </w:r>
    </w:p>
    <w:p w:rsidR="00600DA5" w:rsidRDefault="00600DA5" w:rsidP="00620402">
      <w:r>
        <w:t xml:space="preserve">With this option, the user can manually draw a boundary of interest on their computer screen. In this case, the user begins by digitizing on-screen with the cursor by starting with a point and then finishing the polygon with that same point by clicking on it. Figure xxx shows a portion of such a polygon during the digitizing process. As soon as the polygon is finished, data will be extracted for that area as previously described. This procedure can be used for both defining a watershed boundary for subsequent analysis as well as the boundary for a smaller target (e.g., urban) area within the larger boundary. </w:t>
      </w:r>
      <w:r w:rsidR="00385A37">
        <w:t>In drawing this boundary, the user may want to turn on other layers that can aid this process such as a satellite image (see Figure xxx) or a layer that depicts a combination of municipal boundaries and “pre-defined” urban areas (Note: this latter option is only available in Pennsylvania).</w:t>
      </w:r>
    </w:p>
    <w:p w:rsidR="00385A37" w:rsidRDefault="00385A37" w:rsidP="00620402"/>
    <w:p w:rsidR="00385A37" w:rsidRDefault="00385A37" w:rsidP="00620402"/>
    <w:p w:rsidR="00600DA5" w:rsidRPr="00600DA5" w:rsidRDefault="00600DA5" w:rsidP="00600DA5">
      <w:pPr>
        <w:jc w:val="center"/>
      </w:pPr>
      <w:r>
        <w:rPr>
          <w:noProof/>
        </w:rPr>
        <w:drawing>
          <wp:inline distT="0" distB="0" distL="0" distR="0">
            <wp:extent cx="5943600" cy="3006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620402" w:rsidRDefault="00385A37" w:rsidP="00385A37">
      <w:pPr>
        <w:jc w:val="center"/>
      </w:pPr>
      <w:r>
        <w:t xml:space="preserve">Figure </w:t>
      </w:r>
      <w:proofErr w:type="spellStart"/>
      <w:r>
        <w:t>xxxx</w:t>
      </w:r>
      <w:proofErr w:type="spellEnd"/>
      <w:r>
        <w:t>.</w:t>
      </w:r>
    </w:p>
    <w:p w:rsidR="00385A37" w:rsidRDefault="00385A37" w:rsidP="00385A37">
      <w:pPr>
        <w:jc w:val="center"/>
      </w:pPr>
    </w:p>
    <w:p w:rsidR="00385A37" w:rsidRDefault="00385A37" w:rsidP="00385A37">
      <w:pPr>
        <w:jc w:val="center"/>
      </w:pPr>
      <w:r>
        <w:rPr>
          <w:noProof/>
        </w:rPr>
        <w:lastRenderedPageBreak/>
        <w:drawing>
          <wp:inline distT="0" distB="0" distL="0" distR="0">
            <wp:extent cx="6446033" cy="326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3.JPG"/>
                    <pic:cNvPicPr/>
                  </pic:nvPicPr>
                  <pic:blipFill>
                    <a:blip r:embed="rId25">
                      <a:extLst>
                        <a:ext uri="{28A0092B-C50C-407E-A947-70E740481C1C}">
                          <a14:useLocalDpi xmlns:a14="http://schemas.microsoft.com/office/drawing/2010/main" val="0"/>
                        </a:ext>
                      </a:extLst>
                    </a:blip>
                    <a:stretch>
                      <a:fillRect/>
                    </a:stretch>
                  </pic:blipFill>
                  <pic:spPr>
                    <a:xfrm>
                      <a:off x="0" y="0"/>
                      <a:ext cx="6439599" cy="3262455"/>
                    </a:xfrm>
                    <a:prstGeom prst="rect">
                      <a:avLst/>
                    </a:prstGeom>
                  </pic:spPr>
                </pic:pic>
              </a:graphicData>
            </a:graphic>
          </wp:inline>
        </w:drawing>
      </w:r>
    </w:p>
    <w:p w:rsidR="00385A37" w:rsidRDefault="00385A37" w:rsidP="00385A37">
      <w:pPr>
        <w:jc w:val="center"/>
      </w:pPr>
      <w:r>
        <w:t>Figure xxx</w:t>
      </w:r>
    </w:p>
    <w:p w:rsidR="00385A37" w:rsidRDefault="00385A37" w:rsidP="00385A37">
      <w:pPr>
        <w:jc w:val="center"/>
      </w:pPr>
    </w:p>
    <w:p w:rsidR="00385A37" w:rsidRDefault="00385A37" w:rsidP="00385A37">
      <w:pPr>
        <w:jc w:val="center"/>
      </w:pPr>
      <w:r>
        <w:rPr>
          <w:noProof/>
        </w:rPr>
        <w:drawing>
          <wp:inline distT="0" distB="0" distL="0" distR="0" wp14:anchorId="349B82A1" wp14:editId="4CEF24F7">
            <wp:extent cx="6385137" cy="32300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2.JPG"/>
                    <pic:cNvPicPr/>
                  </pic:nvPicPr>
                  <pic:blipFill>
                    <a:blip r:embed="rId26">
                      <a:extLst>
                        <a:ext uri="{28A0092B-C50C-407E-A947-70E740481C1C}">
                          <a14:useLocalDpi xmlns:a14="http://schemas.microsoft.com/office/drawing/2010/main" val="0"/>
                        </a:ext>
                      </a:extLst>
                    </a:blip>
                    <a:stretch>
                      <a:fillRect/>
                    </a:stretch>
                  </pic:blipFill>
                  <pic:spPr>
                    <a:xfrm>
                      <a:off x="0" y="0"/>
                      <a:ext cx="6389957" cy="3232526"/>
                    </a:xfrm>
                    <a:prstGeom prst="rect">
                      <a:avLst/>
                    </a:prstGeom>
                  </pic:spPr>
                </pic:pic>
              </a:graphicData>
            </a:graphic>
          </wp:inline>
        </w:drawing>
      </w:r>
    </w:p>
    <w:p w:rsidR="00385A37" w:rsidRDefault="00385A37" w:rsidP="00385A37">
      <w:pPr>
        <w:jc w:val="center"/>
      </w:pPr>
      <w:r>
        <w:t>Figure xxx</w:t>
      </w:r>
    </w:p>
    <w:p w:rsidR="00817839" w:rsidRDefault="00817839" w:rsidP="00817839"/>
    <w:p w:rsidR="00385A37" w:rsidRDefault="00817839" w:rsidP="00817839">
      <w:r w:rsidRPr="00817839">
        <w:rPr>
          <w:u w:val="single"/>
        </w:rPr>
        <w:lastRenderedPageBreak/>
        <w:t>Delineate Watershed</w:t>
      </w:r>
    </w:p>
    <w:p w:rsidR="00817839" w:rsidRDefault="00817839" w:rsidP="00817839">
      <w:r>
        <w:t>With this option, a user can drop a point on a stream and have the</w:t>
      </w:r>
      <w:r w:rsidR="00932D60">
        <w:t xml:space="preserve"> boundary that defines the</w:t>
      </w:r>
      <w:r>
        <w:t xml:space="preserve"> land area draining to that point (i.e., watershed boundary) automatically generated.</w:t>
      </w:r>
      <w:r w:rsidR="00346BA8">
        <w:t xml:space="preserve"> </w:t>
      </w:r>
      <w:r w:rsidR="00932D60">
        <w:t xml:space="preserve">Upon selecting a </w:t>
      </w:r>
      <w:r w:rsidR="00346BA8">
        <w:t>stream</w:t>
      </w:r>
      <w:r w:rsidR="00932D60">
        <w:t xml:space="preserve"> point</w:t>
      </w:r>
      <w:r w:rsidR="00346BA8">
        <w:t>, di</w:t>
      </w:r>
      <w:r w:rsidR="00932D60">
        <w:t>gital elevation data is used to</w:t>
      </w:r>
      <w:r w:rsidR="00346BA8">
        <w:t xml:space="preserve"> find the topographic divides that separate adjacent drainage areas, and then delineate the appropriate boundary of interest. </w:t>
      </w:r>
      <w:r w:rsidR="00932D60">
        <w:t>In utilizing</w:t>
      </w:r>
      <w:r w:rsidR="006632D0">
        <w:t xml:space="preserve"> this option, the user can select either of two stream networks for generating t</w:t>
      </w:r>
      <w:r w:rsidR="00932D60">
        <w:t>he polygon: 1) a high-</w:t>
      </w:r>
      <w:r w:rsidR="006632D0">
        <w:t xml:space="preserve">resolution stream network </w:t>
      </w:r>
      <w:r w:rsidR="00932D60">
        <w:t>that was specifically produced for the Delaware River Basin on the East Coast, or 2) a mid-resolution NHD stream network produced by the U.S. Geological Survey that is available for the entire country. A comparison between Figures xxx and xxx (which show the same geographic area) illustrates how much more accurate this approach is than manually digitizing such a boundary.</w:t>
      </w:r>
    </w:p>
    <w:p w:rsidR="00932D60" w:rsidRDefault="00932D60" w:rsidP="00817839"/>
    <w:p w:rsidR="006632D0" w:rsidRDefault="006632D0" w:rsidP="006632D0">
      <w:pPr>
        <w:jc w:val="center"/>
      </w:pPr>
      <w:r>
        <w:rPr>
          <w:noProof/>
        </w:rPr>
        <w:drawing>
          <wp:inline distT="0" distB="0" distL="0" distR="0">
            <wp:extent cx="5943600" cy="3008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neat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932D60" w:rsidRDefault="00932D60" w:rsidP="006632D0">
      <w:pPr>
        <w:jc w:val="center"/>
      </w:pPr>
      <w:r>
        <w:t xml:space="preserve">Figure </w:t>
      </w:r>
      <w:proofErr w:type="spellStart"/>
      <w:r>
        <w:t>xxxx</w:t>
      </w:r>
      <w:proofErr w:type="spellEnd"/>
    </w:p>
    <w:p w:rsidR="00932D60" w:rsidRDefault="00932D60" w:rsidP="00932D60"/>
    <w:p w:rsidR="00932D60" w:rsidRPr="00762F8A" w:rsidRDefault="00762F8A" w:rsidP="00932D60">
      <w:pPr>
        <w:rPr>
          <w:u w:val="single"/>
        </w:rPr>
      </w:pPr>
      <w:r w:rsidRPr="00762F8A">
        <w:rPr>
          <w:u w:val="single"/>
        </w:rPr>
        <w:t>Upload File</w:t>
      </w:r>
    </w:p>
    <w:p w:rsidR="00385A37" w:rsidRDefault="00603C63" w:rsidP="00762F8A">
      <w:r>
        <w:t>With this optio</w:t>
      </w:r>
      <w:r w:rsidR="00F16574">
        <w:t>n, a user can upload a digital boundary</w:t>
      </w:r>
      <w:r>
        <w:t xml:space="preserve"> that has been previously created to define the area of interest. This can be used to define either a watershed boundary or a smaller target (urban) area within the larger watershed as described earlier in this document. Upon selecting this option, the user is presented with a screen as shown in Figure xxx.</w:t>
      </w:r>
      <w:r w:rsidR="003A4F07">
        <w:t xml:space="preserve"> Upon clicking on the “Select a file” button, the user is then asked to browse to the file to be uploaded. </w:t>
      </w:r>
      <w:r w:rsidR="00F16574">
        <w:t xml:space="preserve">As noted in Figure xxx, this can either be a zipped shapefile or a </w:t>
      </w:r>
      <w:proofErr w:type="spellStart"/>
      <w:r w:rsidR="00F16574">
        <w:t>geojson</w:t>
      </w:r>
      <w:proofErr w:type="spellEnd"/>
      <w:r w:rsidR="00F16574">
        <w:t xml:space="preserve"> file. Figure xxx shows an example of a boundary file uploaded for an area in eastern Pennsylvania. </w:t>
      </w:r>
    </w:p>
    <w:p w:rsidR="00603C63" w:rsidRDefault="00603C63" w:rsidP="00603C63">
      <w:pPr>
        <w:jc w:val="center"/>
      </w:pPr>
      <w:r>
        <w:rPr>
          <w:noProof/>
        </w:rPr>
        <w:lastRenderedPageBreak/>
        <w:drawing>
          <wp:inline distT="0" distB="0" distL="0" distR="0">
            <wp:extent cx="5943600" cy="3006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385A37" w:rsidRDefault="00603C63" w:rsidP="00385A37">
      <w:pPr>
        <w:jc w:val="center"/>
      </w:pPr>
      <w:r>
        <w:t xml:space="preserve">Figure </w:t>
      </w:r>
      <w:proofErr w:type="spellStart"/>
      <w:r>
        <w:t>xxxx</w:t>
      </w:r>
      <w:proofErr w:type="spellEnd"/>
    </w:p>
    <w:p w:rsidR="00603C63" w:rsidRDefault="00603C63" w:rsidP="00385A37">
      <w:pPr>
        <w:jc w:val="center"/>
      </w:pPr>
    </w:p>
    <w:p w:rsidR="00F16574" w:rsidRDefault="00F16574" w:rsidP="00385A37">
      <w:pPr>
        <w:jc w:val="center"/>
      </w:pPr>
      <w:r>
        <w:rPr>
          <w:noProof/>
        </w:rPr>
        <w:drawing>
          <wp:inline distT="0" distB="0" distL="0" distR="0">
            <wp:extent cx="5943600" cy="3008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F16574" w:rsidRPr="00816EC5" w:rsidRDefault="00F16574" w:rsidP="00385A37">
      <w:pPr>
        <w:jc w:val="center"/>
      </w:pPr>
      <w:r>
        <w:t>Figure xxx.</w:t>
      </w:r>
    </w:p>
    <w:sectPr w:rsidR="00F16574" w:rsidRPr="0081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C597E"/>
    <w:multiLevelType w:val="hybridMultilevel"/>
    <w:tmpl w:val="33F24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5F4"/>
    <w:rsid w:val="00054798"/>
    <w:rsid w:val="0007380C"/>
    <w:rsid w:val="000867CE"/>
    <w:rsid w:val="00094359"/>
    <w:rsid w:val="000A0C00"/>
    <w:rsid w:val="000A50AE"/>
    <w:rsid w:val="000C49BA"/>
    <w:rsid w:val="001B7A52"/>
    <w:rsid w:val="001F6590"/>
    <w:rsid w:val="002270FE"/>
    <w:rsid w:val="002816F3"/>
    <w:rsid w:val="00294221"/>
    <w:rsid w:val="00294948"/>
    <w:rsid w:val="002A479D"/>
    <w:rsid w:val="002B4748"/>
    <w:rsid w:val="002C2282"/>
    <w:rsid w:val="002D0866"/>
    <w:rsid w:val="00302459"/>
    <w:rsid w:val="00315C81"/>
    <w:rsid w:val="00341D0B"/>
    <w:rsid w:val="00346BA8"/>
    <w:rsid w:val="00351F6E"/>
    <w:rsid w:val="00382A21"/>
    <w:rsid w:val="00385A37"/>
    <w:rsid w:val="003A4F07"/>
    <w:rsid w:val="003A6D6D"/>
    <w:rsid w:val="003B1B3A"/>
    <w:rsid w:val="004C06E6"/>
    <w:rsid w:val="004C10C7"/>
    <w:rsid w:val="004C712B"/>
    <w:rsid w:val="004D18AF"/>
    <w:rsid w:val="004D206B"/>
    <w:rsid w:val="005156CC"/>
    <w:rsid w:val="00546987"/>
    <w:rsid w:val="00600DA5"/>
    <w:rsid w:val="00603C63"/>
    <w:rsid w:val="00620402"/>
    <w:rsid w:val="00641F0B"/>
    <w:rsid w:val="006632D0"/>
    <w:rsid w:val="0067217E"/>
    <w:rsid w:val="006760F3"/>
    <w:rsid w:val="00685CF1"/>
    <w:rsid w:val="006A02DC"/>
    <w:rsid w:val="006A0836"/>
    <w:rsid w:val="006C3A63"/>
    <w:rsid w:val="006D4882"/>
    <w:rsid w:val="00712217"/>
    <w:rsid w:val="00715844"/>
    <w:rsid w:val="007245E3"/>
    <w:rsid w:val="007274FD"/>
    <w:rsid w:val="00762F8A"/>
    <w:rsid w:val="0076473D"/>
    <w:rsid w:val="00767568"/>
    <w:rsid w:val="00783CB2"/>
    <w:rsid w:val="0078458D"/>
    <w:rsid w:val="00797832"/>
    <w:rsid w:val="007A3804"/>
    <w:rsid w:val="007F05F4"/>
    <w:rsid w:val="00816EC5"/>
    <w:rsid w:val="00817839"/>
    <w:rsid w:val="00866ABC"/>
    <w:rsid w:val="00870390"/>
    <w:rsid w:val="008777E4"/>
    <w:rsid w:val="008D28AE"/>
    <w:rsid w:val="008F3078"/>
    <w:rsid w:val="00932D60"/>
    <w:rsid w:val="00940AC0"/>
    <w:rsid w:val="009843D7"/>
    <w:rsid w:val="009D2137"/>
    <w:rsid w:val="009F788C"/>
    <w:rsid w:val="00A213E0"/>
    <w:rsid w:val="00A324D0"/>
    <w:rsid w:val="00A37760"/>
    <w:rsid w:val="00A46AAA"/>
    <w:rsid w:val="00A60CF0"/>
    <w:rsid w:val="00A73DB3"/>
    <w:rsid w:val="00A93443"/>
    <w:rsid w:val="00A94A4B"/>
    <w:rsid w:val="00AF78AD"/>
    <w:rsid w:val="00B51D01"/>
    <w:rsid w:val="00B5229C"/>
    <w:rsid w:val="00B70D18"/>
    <w:rsid w:val="00B8791E"/>
    <w:rsid w:val="00B9614A"/>
    <w:rsid w:val="00BD6F78"/>
    <w:rsid w:val="00BE448C"/>
    <w:rsid w:val="00C157EC"/>
    <w:rsid w:val="00C7391C"/>
    <w:rsid w:val="00C81850"/>
    <w:rsid w:val="00C97672"/>
    <w:rsid w:val="00CB227C"/>
    <w:rsid w:val="00CC550D"/>
    <w:rsid w:val="00D643FD"/>
    <w:rsid w:val="00D76F79"/>
    <w:rsid w:val="00D94046"/>
    <w:rsid w:val="00DB09A0"/>
    <w:rsid w:val="00E03B91"/>
    <w:rsid w:val="00E45C88"/>
    <w:rsid w:val="00E62AD6"/>
    <w:rsid w:val="00E867DA"/>
    <w:rsid w:val="00EA6273"/>
    <w:rsid w:val="00EA754B"/>
    <w:rsid w:val="00ED34EC"/>
    <w:rsid w:val="00F16574"/>
    <w:rsid w:val="00F43016"/>
    <w:rsid w:val="00F556BC"/>
    <w:rsid w:val="00FA6C49"/>
    <w:rsid w:val="00FC3D10"/>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1313</TotalTime>
  <Pages>18</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bevans</dc:creator>
  <cp:lastModifiedBy>bevans</cp:lastModifiedBy>
  <cp:revision>91</cp:revision>
  <dcterms:created xsi:type="dcterms:W3CDTF">2018-03-21T13:54:00Z</dcterms:created>
  <dcterms:modified xsi:type="dcterms:W3CDTF">2018-07-24T18:26:00Z</dcterms:modified>
</cp:coreProperties>
</file>