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line="360"/>
        <w:jc w:val="center"/>
      </w:pPr>
      <w:r>
        <w:rPr>
          <w:rFonts w:ascii="Times New Roman" w:cs="Times New Roman" w:eastAsia="Times New Roman" w:hAnsi="Times New Roman"/>
          <w:b/>
          <w:bCs/>
          <w:i w:val="false"/>
          <w:iCs w:val="false"/>
          <w:sz w:val="24"/>
          <w:szCs w:val="24"/>
        </w:rPr>
        <w:t xml:space="preserve">A STUDY ON SHORT-TERM VEGETABLE PRICE FORECASTING AT KOYAMBEDU WHOLESALE MARKET: A MACHINE LEARNING AND MULTI-AGENT AI APPROACH FOR SUPPLY CHAIN PROCUREMENT DECISION-MAKING</w:t>
      </w:r>
    </w:p>
    <w:p>
      <w:pPr>
        <w:spacing w:after="240" w:before="0" w:line="276"/>
        <w:jc w:val="center"/>
      </w:pPr>
      <w:r>
        <w:rPr>
          <w:rFonts w:ascii="Times New Roman" w:cs="Times New Roman" w:eastAsia="Times New Roman" w:hAnsi="Times New Roman"/>
          <w:b w:val="false"/>
          <w:bCs w:val="false"/>
          <w:i w:val="false"/>
          <w:iCs w:val="false"/>
          <w:sz w:val="24"/>
          <w:szCs w:val="24"/>
        </w:rPr>
        <w:t xml:space="preserve">By</w:t>
      </w:r>
    </w:p>
    <w:p>
      <w:pPr>
        <w:spacing w:after="120" w:before="0" w:line="276"/>
        <w:jc w:val="center"/>
      </w:pPr>
      <w:r>
        <w:rPr>
          <w:rFonts w:ascii="Times New Roman" w:cs="Times New Roman" w:eastAsia="Times New Roman" w:hAnsi="Times New Roman"/>
          <w:b/>
          <w:bCs/>
          <w:i w:val="false"/>
          <w:iCs w:val="false"/>
          <w:sz w:val="24"/>
          <w:szCs w:val="24"/>
        </w:rPr>
        <w:t xml:space="preserve">VIGNESH NATARAJAN</w:t>
      </w:r>
    </w:p>
    <w:p>
      <w:pPr>
        <w:spacing w:after="0" w:before="0" w:line="276"/>
        <w:jc w:val="center"/>
      </w:pPr>
      <w:r>
        <w:rPr>
          <w:rFonts w:ascii="Times New Roman" w:cs="Times New Roman" w:eastAsia="Times New Roman" w:hAnsi="Times New Roman"/>
          <w:b w:val="false"/>
          <w:bCs w:val="false"/>
          <w:i w:val="false"/>
          <w:iCs w:val="false"/>
          <w:sz w:val="24"/>
          <w:szCs w:val="24"/>
        </w:rPr>
        <w:t xml:space="preserve">Roll No. 2406OBA0046</w:t>
      </w:r>
    </w:p>
    <w:p>
      <w:pPr>
        <w:spacing w:after="480" w:before="0" w:line="276"/>
        <w:jc w:val="center"/>
      </w:pPr>
      <w:r>
        <w:rPr>
          <w:rFonts w:ascii="Times New Roman" w:cs="Times New Roman" w:eastAsia="Times New Roman" w:hAnsi="Times New Roman"/>
          <w:b w:val="false"/>
          <w:bCs w:val="false"/>
          <w:i w:val="false"/>
          <w:iCs w:val="false"/>
          <w:sz w:val="24"/>
          <w:szCs w:val="24"/>
        </w:rPr>
        <w:t xml:space="preserve">Reg. No. 69124100162</w:t>
      </w:r>
    </w:p>
    <w:p>
      <w:pPr>
        <w:spacing w:after="240" w:before="0" w:line="276"/>
        <w:jc w:val="center"/>
      </w:pPr>
      <w:r>
        <w:rPr>
          <w:rFonts w:ascii="Times New Roman" w:cs="Times New Roman" w:eastAsia="Times New Roman" w:hAnsi="Times New Roman"/>
          <w:b w:val="false"/>
          <w:bCs w:val="false"/>
          <w:i w:val="false"/>
          <w:iCs w:val="false"/>
          <w:sz w:val="24"/>
          <w:szCs w:val="24"/>
        </w:rPr>
        <w:t xml:space="preserve">A PROJECT REPORT</w:t>
      </w:r>
    </w:p>
    <w:p>
      <w:pPr>
        <w:spacing w:after="120" w:before="0" w:line="276"/>
        <w:jc w:val="center"/>
      </w:pPr>
      <w:r>
        <w:rPr>
          <w:rFonts w:ascii="Times New Roman" w:cs="Times New Roman" w:eastAsia="Times New Roman" w:hAnsi="Times New Roman"/>
          <w:b w:val="false"/>
          <w:bCs w:val="false"/>
          <w:i w:val="false"/>
          <w:iCs w:val="false"/>
          <w:sz w:val="24"/>
          <w:szCs w:val="24"/>
        </w:rPr>
        <w:t xml:space="preserve">Submitted to the</w:t>
      </w:r>
    </w:p>
    <w:p>
      <w:pPr>
        <w:spacing w:after="240" w:before="0" w:line="276"/>
        <w:jc w:val="center"/>
      </w:pPr>
      <w:r>
        <w:rPr>
          <w:rFonts w:ascii="Times New Roman" w:cs="Times New Roman" w:eastAsia="Times New Roman" w:hAnsi="Times New Roman"/>
          <w:b/>
          <w:bCs/>
          <w:i w:val="false"/>
          <w:iCs w:val="false"/>
          <w:sz w:val="24"/>
          <w:szCs w:val="24"/>
        </w:rPr>
        <w:t xml:space="preserve">FACULTY OF MANAGEMENT SCIENCES</w:t>
      </w:r>
    </w:p>
    <w:p>
      <w:pPr>
        <w:spacing w:after="0" w:before="0" w:line="276"/>
        <w:jc w:val="center"/>
      </w:pPr>
      <w:r>
        <w:rPr>
          <w:rFonts w:ascii="Times New Roman" w:cs="Times New Roman" w:eastAsia="Times New Roman" w:hAnsi="Times New Roman"/>
          <w:b w:val="false"/>
          <w:bCs w:val="false"/>
          <w:i/>
          <w:iCs/>
          <w:sz w:val="24"/>
          <w:szCs w:val="24"/>
        </w:rPr>
        <w:t xml:space="preserve">in partial fulfillment for the award of the degree</w:t>
      </w:r>
    </w:p>
    <w:p>
      <w:pPr>
        <w:spacing w:after="120" w:before="0" w:line="276"/>
        <w:jc w:val="center"/>
      </w:pPr>
      <w:r>
        <w:rPr>
          <w:rFonts w:ascii="Times New Roman" w:cs="Times New Roman" w:eastAsia="Times New Roman" w:hAnsi="Times New Roman"/>
          <w:b w:val="false"/>
          <w:bCs w:val="false"/>
          <w:i/>
          <w:iCs/>
          <w:sz w:val="24"/>
          <w:szCs w:val="24"/>
        </w:rPr>
        <w:t xml:space="preserve">of</w:t>
      </w:r>
    </w:p>
    <w:p>
      <w:pPr>
        <w:spacing w:after="360" w:before="0" w:line="276"/>
        <w:jc w:val="center"/>
      </w:pPr>
      <w:r>
        <w:rPr>
          <w:rFonts w:ascii="Times New Roman" w:cs="Times New Roman" w:eastAsia="Times New Roman" w:hAnsi="Times New Roman"/>
          <w:b/>
          <w:bCs/>
          <w:i w:val="false"/>
          <w:iCs w:val="false"/>
          <w:sz w:val="24"/>
          <w:szCs w:val="24"/>
        </w:rPr>
        <w:t xml:space="preserve">MASTER OF BUSINESS ADMINISTRATION</w:t>
      </w:r>
    </w:p>
    <w:p>
      <w:pPr>
        <w:spacing w:after="360"/>
        <w:jc w:val="center"/>
      </w:pPr>
      <w:r>
        <w:drawing>
          <wp:inline distT="0" distB="0" distL="0" distR="0">
            <wp:extent cx="857250" cy="847725"/>
            <wp:effectExtent t="0" r="0" b="0" l="0"/>
            <wp:docPr id="1" name="logo" descr="Anna University logo" title="Ann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47725"/>
                    </a:xfrm>
                    <a:prstGeom prst="rect">
                      <a:avLst/>
                    </a:prstGeom>
                  </pic:spPr>
                </pic:pic>
              </a:graphicData>
            </a:graphic>
          </wp:inline>
        </w:drawing>
      </w:r>
    </w:p>
    <w:p>
      <w:pPr>
        <w:spacing w:after="0" w:before="0" w:line="276"/>
        <w:jc w:val="center"/>
      </w:pPr>
      <w:r>
        <w:rPr>
          <w:rFonts w:ascii="Times New Roman" w:cs="Times New Roman" w:eastAsia="Times New Roman" w:hAnsi="Times New Roman"/>
          <w:b/>
          <w:bCs/>
          <w:i w:val="false"/>
          <w:iCs w:val="false"/>
          <w:sz w:val="24"/>
          <w:szCs w:val="24"/>
        </w:rPr>
        <w:t xml:space="preserve">CENTRE FOR DISTANCE AND ONLINE EDUCATION</w:t>
      </w:r>
    </w:p>
    <w:p>
      <w:pPr>
        <w:spacing w:after="0" w:before="0" w:line="276"/>
        <w:jc w:val="center"/>
      </w:pPr>
      <w:r>
        <w:rPr>
          <w:rFonts w:ascii="Times New Roman" w:cs="Times New Roman" w:eastAsia="Times New Roman" w:hAnsi="Times New Roman"/>
          <w:b/>
          <w:bCs/>
          <w:i w:val="false"/>
          <w:iCs w:val="false"/>
          <w:sz w:val="24"/>
          <w:szCs w:val="24"/>
        </w:rPr>
        <w:t xml:space="preserve">ANNA UNIVERSITY</w:t>
      </w:r>
    </w:p>
    <w:p>
      <w:pPr>
        <w:spacing w:after="480" w:before="0" w:line="276"/>
        <w:jc w:val="center"/>
      </w:pPr>
      <w:r>
        <w:rPr>
          <w:rFonts w:ascii="Times New Roman" w:cs="Times New Roman" w:eastAsia="Times New Roman" w:hAnsi="Times New Roman"/>
          <w:b/>
          <w:bCs/>
          <w:i w:val="false"/>
          <w:iCs w:val="false"/>
          <w:sz w:val="24"/>
          <w:szCs w:val="24"/>
        </w:rPr>
        <w:t xml:space="preserve">CHENNAI 600 025</w:t>
      </w:r>
    </w:p>
    <w:p>
      <w:pPr>
        <w:spacing w:after="120" w:before="0" w:line="276"/>
        <w:jc w:val="center"/>
      </w:pPr>
      <w:r>
        <w:rPr>
          <w:rFonts w:ascii="Times New Roman" w:cs="Times New Roman" w:eastAsia="Times New Roman" w:hAnsi="Times New Roman"/>
          <w:b w:val="false"/>
          <w:bCs w:val="false"/>
          <w:i w:val="false"/>
          <w:iCs w:val="false"/>
          <w:sz w:val="24"/>
          <w:szCs w:val="24"/>
        </w:rPr>
        <w:t xml:space="preserve">OCTOBER 2026</w:t>
      </w:r>
    </w:p>
    <w:p>
      <w:pPr>
        <w:sectPr>
          <w:pgSz w:w="11906" w:h="16838" w:orient="portrait"/>
          <w:pgMar w:top="1814" w:right="1304" w:bottom="1531" w:left="2154" w:header="1134" w:footer="720" w:gutter="0"/>
          <w:pgNumType/>
          <w:docGrid w:linePitch="360"/>
        </w:sectPr>
      </w:pPr>
    </w:p>
    <w:p>
      <w:pPr>
        <w:pageBreakBefore/>
        <w:spacing w:after="720" w:before="1020"/>
        <w:jc w:val="center"/>
      </w:pPr>
      <w:r>
        <w:rPr>
          <w:rFonts w:ascii="Times New Roman" w:cs="Times New Roman" w:eastAsia="Times New Roman" w:hAnsi="Times New Roman"/>
          <w:b/>
          <w:bCs/>
          <w:sz w:val="28"/>
          <w:szCs w:val="28"/>
        </w:rPr>
        <w:t xml:space="preserve">BONAFIDE CERTIFICATE</w:t>
      </w:r>
    </w:p>
    <w:p>
      <w:pPr>
        <w:spacing w:after="240" w:before="0" w:line="480"/>
        <w:ind w:firstLine="1134"/>
        <w:jc w:val="both"/>
      </w:pPr>
      <w:r>
        <w:rPr>
          <w:rFonts w:ascii="Times New Roman" w:cs="Times New Roman" w:eastAsia="Times New Roman" w:hAnsi="Times New Roman"/>
        </w:rPr>
        <w:t xml:space="preserve">Certified that the Project report titled “A Study on Short-Term Vegetable Price Forecasting at Koyambedu Wholesale Market: A Machine Learning and Multi-Agent AI Approach for Supply Chain Procurement Decision-Making” is the bonafide work of Mr. VIGNESH NATARAJAN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448"/>
        <w:tblBorders>
          <w:top w:val="none" w:color="FFFFFF" w:sz="0"/>
          <w:left w:val="none" w:color="FFFFFF" w:sz="0"/>
          <w:bottom w:val="none" w:color="FFFFFF" w:sz="0"/>
          <w:right w:val="none" w:color="FFFFFF" w:sz="0"/>
          <w:insideH w:val="none" w:color="FFFFFF" w:sz="0"/>
          <w:insideV w:val="none" w:color="FFFFFF" w:sz="0"/>
        </w:tblBorders>
      </w:tblPr>
      <w:tblGrid>
        <w:gridCol w:w="4224"/>
        <w:gridCol w:w="4224"/>
      </w:tblGrid>
      <w:tr>
        <w:tc>
          <w:tcPr>
            <w:tcW w:type="dxa" w:w="4224"/>
            <w:tcBorders>
              <w:top w:val="none" w:color="FFFFFF" w:sz="0"/>
              <w:left w:val="none" w:color="FFFFFF" w:sz="0"/>
              <w:bottom w:val="none" w:color="FFFFFF" w:sz="0"/>
              <w:right w:val="none" w:color="FFFFFF" w:sz="0"/>
            </w:tcBorders>
          </w:tcPr>
          <w:p>
            <w:pPr>
              <w:spacing w:after="40"/>
            </w:pPr>
            <w:r>
              <w:drawing>
                <wp:inline distT="0" distB="0" distL="0" distR="0">
                  <wp:extent cx="952500" cy="647700"/>
                  <wp:effectExtent t="0" r="0" b="0" l="0"/>
                  <wp:docPr id="1" name="signature" descr="Signature of Vignesh Natarajan" title="Signature of the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647700"/>
                          </a:xfrm>
                          <a:prstGeom prst="rect">
                            <a:avLst/>
                          </a:prstGeom>
                        </pic:spPr>
                      </pic:pic>
                    </a:graphicData>
                  </a:graphic>
                </wp:inline>
              </w:drawing>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Student</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Project supervisor / Guide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 VIGNESH NATARAJAN</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Roll No.: 2406OBA0046</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Designation:</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Reg. No.: 69124100162</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Address:</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448"/>
        <w:tblBorders>
          <w:top w:val="none" w:color="FFFFFF" w:sz="0"/>
          <w:left w:val="none" w:color="FFFFFF" w:sz="0"/>
          <w:bottom w:val="none" w:color="FFFFFF" w:sz="0"/>
          <w:right w:val="none" w:color="FFFFFF" w:sz="0"/>
          <w:insideH w:val="none" w:color="FFFFFF" w:sz="0"/>
          <w:insideV w:val="none" w:color="FFFFFF" w:sz="0"/>
        </w:tblBorders>
      </w:tblPr>
      <w:tblGrid>
        <w:gridCol w:w="4224"/>
        <w:gridCol w:w="4224"/>
      </w:tblGrid>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Project In-charge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bCs/>
                <w:sz w:val="24"/>
                <w:szCs w:val="24"/>
              </w:rPr>
              <w:t xml:space="preserve">Signature of External Examiner</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Study Centre: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Date of Viva-voce:</w:t>
            </w:r>
          </w:p>
        </w:tc>
      </w:tr>
    </w:tbl>
    <w:p>
      <w:pPr>
        <w:pageBreakBefore/>
        <w:spacing w:after="720" w:before="1020"/>
        <w:jc w:val="center"/>
      </w:pPr>
      <w:r>
        <w:rPr>
          <w:rFonts w:ascii="Times New Roman" w:cs="Times New Roman" w:eastAsia="Times New Roman" w:hAnsi="Times New Roman"/>
          <w:b/>
          <w:bCs/>
          <w:sz w:val="28"/>
          <w:szCs w:val="28"/>
        </w:rPr>
        <w:t xml:space="preserve">CERTIFICATE OF VIVA-VOCE-EXAMINATION</w:t>
      </w:r>
    </w:p>
    <w:p>
      <w:pPr>
        <w:spacing w:after="240" w:before="0" w:line="480"/>
        <w:ind w:firstLine="1134"/>
        <w:jc w:val="both"/>
      </w:pPr>
      <w:r>
        <w:rPr>
          <w:rFonts w:ascii="Times New Roman" w:cs="Times New Roman" w:eastAsia="Times New Roman" w:hAnsi="Times New Roman"/>
        </w:rPr>
        <w:t xml:space="preserve">This is to certify that Thiru VIGNESH NATARAJAN (Roll No. 2406OBA0046 &amp; Register No. 69124100162) has been subjected to Viva-voce-Examination on ……………………… (Date) at ……………… (Time).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448"/>
        <w:tblBorders>
          <w:top w:val="none" w:color="FFFFFF" w:sz="0"/>
          <w:left w:val="none" w:color="FFFFFF" w:sz="0"/>
          <w:bottom w:val="none" w:color="FFFFFF" w:sz="0"/>
          <w:right w:val="none" w:color="FFFFFF" w:sz="0"/>
          <w:insideH w:val="none" w:color="FFFFFF" w:sz="0"/>
          <w:insideV w:val="none" w:color="FFFFFF" w:sz="0"/>
        </w:tblBorders>
      </w:tblPr>
      <w:tblGrid>
        <w:gridCol w:w="4224"/>
        <w:gridCol w:w="4224"/>
      </w:tblGrid>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Internal Examiner</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External Examiner</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Name:</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(in capital letters)</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Designation:</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Designation:</w:t>
            </w:r>
          </w:p>
        </w:tc>
      </w:tr>
      <w:tr>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Address:</w:t>
            </w:r>
          </w:p>
        </w:tc>
        <w:tc>
          <w:tcPr>
            <w:tcW w:type="dxa" w:w="4224"/>
            <w:tcBorders>
              <w:top w:val="none" w:color="FFFFFF" w:sz="0"/>
              <w:left w:val="none" w:color="FFFFFF" w:sz="0"/>
              <w:bottom w:val="none" w:color="FFFFFF" w:sz="0"/>
              <w:right w:val="none" w:color="FFFFFF" w:sz="0"/>
            </w:tcBorders>
          </w:tcPr>
          <w:p>
            <w:pPr>
              <w:spacing w:after="80" w:line="276"/>
            </w:pPr>
            <w:r>
              <w:rPr>
                <w:rFonts w:ascii="Times New Roman" w:cs="Times New Roman" w:eastAsia="Times New Roman" w:hAnsi="Times New Roman"/>
                <w:b w:val="false"/>
                <w:bCs w:val="false"/>
                <w:sz w:val="24"/>
                <w:szCs w:val="24"/>
              </w:rPr>
              <w:t xml:space="preserve">Address:</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360"/>
        <w:jc w:val="left"/>
      </w:pPr>
      <w:r>
        <w:rPr>
          <w:rFonts w:ascii="Times New Roman" w:cs="Times New Roman" w:eastAsia="Times New Roman" w:hAnsi="Times New Roman"/>
        </w:rPr>
        <w:t xml:space="preserve">Date:</w:t>
      </w:r>
    </w:p>
    <w:p>
      <w:pPr>
        <w:pStyle w:val="Heading1"/>
        <w:pageBreakBefore/>
        <w:spacing w:after="720" w:before="1020"/>
        <w:jc w:val="center"/>
      </w:pPr>
      <w:r>
        <w:rPr>
          <w:rFonts w:ascii="Times New Roman" w:cs="Times New Roman" w:eastAsia="Times New Roman" w:hAnsi="Times New Roman"/>
          <w:b/>
          <w:bCs/>
          <w:sz w:val="28"/>
          <w:szCs w:val="28"/>
        </w:rPr>
        <w:t xml:space="preserve">ABSTRACT</w:t>
      </w:r>
    </w:p>
    <w:p>
      <w:pPr>
        <w:spacing w:after="240" w:before="0" w:line="480"/>
        <w:ind w:firstLine="1134"/>
        <w:jc w:val="both"/>
      </w:pPr>
      <w:r>
        <w:rPr>
          <w:rFonts w:ascii="Times New Roman" w:cs="Times New Roman" w:eastAsia="Times New Roman" w:hAnsi="Times New Roman"/>
        </w:rPr>
        <w:t xml:space="preserve">Vegetable prices in India are volatile because supply is seasonal, perishable and weather-sensitive. For an institutional buyer, the cost of a poorly timed purchase is direct. This study asks whether short-term price forecasts, and a rule-based multi-agent decision layer built on them, can support procurement timing for eight vegetables traded at Koyambedu Wholesale Market, Chennai: Tomato, Onion, Potato, Cabbage, Carrot, Beans, Brinjal and Drumstick. A statewide Tamil Nadu series is analysed alongside as a comparison.</w:t>
      </w:r>
    </w:p>
    <w:p>
      <w:pPr>
        <w:spacing w:after="240" w:before="0" w:line="480"/>
        <w:ind w:firstLine="1134"/>
        <w:jc w:val="both"/>
      </w:pPr>
      <w:r>
        <w:rPr>
          <w:rFonts w:ascii="Times New Roman" w:cs="Times New Roman" w:eastAsia="Times New Roman" w:hAnsi="Times New Roman"/>
        </w:rPr>
        <w:t xml:space="preserve">Two secondary datasets were analysed separately. The first is a Kaggle-hosted Agmarknet extract of 414,388 market-level records from 451 Tamil Nadu markets (24 January 2024 to 20 April 2026), aggregated to a daily statewide median. The second is a Koyambedu history-page series of 14,472 daily ₹/kg observations (4 November 2021 to 17 October 2026) attributed to the Koyambedu Vegetable Merchants’ Council. SARIMA, Prophet, Random Forest and XGBoost were compared with naive baselines under chronological validation; SHAP was used for interpretation; HAC regressions tested a Northeast Monsoon rainfall effect; and the procurement rules were backtested.</w:t>
      </w:r>
    </w:p>
    <w:p>
      <w:pPr>
        <w:spacing w:after="240" w:before="0" w:line="480"/>
        <w:ind w:firstLine="1134"/>
        <w:jc w:val="both"/>
      </w:pPr>
      <w:r>
        <w:rPr>
          <w:rFonts w:ascii="Times New Roman" w:cs="Times New Roman" w:eastAsia="Times New Roman" w:hAnsi="Times New Roman"/>
        </w:rPr>
        <w:t xml:space="preserve">The central finding is that simple baselines were not beaten. On the statewide 90-day holdout, Random Forest recorded 11.32% mean MAPE and XGBoost 13.98%, but yesterday’s price alone gave 4.20%; a strictly seven-day-ahead XGBoost gave 27.09%. On Koyambedu data across seven origins and 7-, 14- and 30-day horizons, the last observed price had the lowest WAPE (11.88%), followed by SARIMA (12.28%), while XGBoost (15.36%), Random Forest (16.63%) and Prophet (23.82%) were worse. No rainfall-anomaly coefficient was significant (p = 0.26–0.92); SHAP ranked a Northeast Monsoon deviation index 12th to 15th of 16 features; and adding weather context to XGBoost did not significantly improve accuracy on a six-month holdout (Diebold–Mariano p = 0.10–0.98). Prior seven-day momentum was significantly negative for all eight vegetables, indicating short-run mean reversion. The procurement rules beat an immediate purchase in only 30.4% of 56 backtest cases. In the 2023 tomato episode the 30-day forecast gave an early warning, signalling a rise of more than 100% from 29 April, and correctly anticipated the rise at 7 of 9 dates (worth about ₹170/kg net to a forward buyer). The decision rules, however, rated these large forecast rises as high-risk, downgraded them to partial purchases and then advised delay in late June, producing a cumulative ₹219/kg loss relative to buying immediately.</w:t>
      </w:r>
    </w:p>
    <w:p>
      <w:pPr>
        <w:spacing w:after="240" w:before="0" w:line="480"/>
        <w:ind w:firstLine="1134"/>
        <w:jc w:val="both"/>
      </w:pPr>
      <w:r>
        <w:rPr>
          <w:rFonts w:ascii="Times New Roman" w:cs="Times New Roman" w:eastAsia="Times New Roman" w:hAnsi="Times New Roman"/>
        </w:rPr>
        <w:t xml:space="preserve">All four objectives were tested and answered. The study contributes a reproducible end-to-end pipeline with a nine-page dashboard; a horizon-sensitivity check that exposes next-day persistence masquerading as forecast skill; evidence of short-run mean reversion; a documented failure case for automated advice during a supply shock; and safeguards designed to stop a local AI writer from altering prices. For these series and horizons, naive benchmarks should be the procurement baseline for routine purchases, the 30-day forecast is worth monitoring as an early-warning signal, and the decision rules require redesign (separating forecast direction from risk), a supply-shock override, uncertainty-scaled thresholds and a buyer pilot before operational use. No realized savings are claimed.</w:t>
      </w:r>
    </w:p>
    <w:p>
      <w:pPr>
        <w:spacing w:after="240" w:before="0" w:line="480"/>
        <w:ind w:firstLine="1134"/>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vegetable price forecasting; procurement; Agmarknet; Koyambedu; SARIMA; XGBoost; SHAP; naive benchmark; multi-agent decision support; Tamil Nadu</w:t>
      </w:r>
    </w:p>
    <w:p>
      <w:r>
        <w:rPr>
          <w:rFonts w:ascii="Times New Roman" w:cs="Times New Roman" w:eastAsia="Times New Roman" w:hAnsi="Times New Roman"/>
        </w:rPr>
        <w:t xml:space="preserve"/>
      </w:r>
    </w:p>
    <w:p>
      <w:pPr>
        <w:spacing w:after="0" w:before="240"/>
        <w:jc w:val="right"/>
      </w:pPr>
      <w:r>
        <w:drawing>
          <wp:inline distT="0" distB="0" distL="0" distR="0">
            <wp:extent cx="1047750" cy="704850"/>
            <wp:effectExtent t="0" r="0" b="0" l="0"/>
            <wp:docPr id="1" name="signature" descr="Signature of Vignesh Natarajan" title="Signature of the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04850"/>
                    </a:xfrm>
                    <a:prstGeom prst="rect">
                      <a:avLst/>
                    </a:prstGeom>
                  </pic:spPr>
                </pic:pic>
              </a:graphicData>
            </a:graphic>
          </wp:inline>
        </w:drawing>
      </w:r>
    </w:p>
    <w:p>
      <w:pPr>
        <w:spacing w:after="0"/>
        <w:jc w:val="right"/>
      </w:pPr>
      <w:r>
        <w:rPr>
          <w:rFonts w:ascii="Times New Roman" w:cs="Times New Roman" w:eastAsia="Times New Roman" w:hAnsi="Times New Roman"/>
          <w:b/>
          <w:bCs/>
          <w:sz w:val="24"/>
          <w:szCs w:val="24"/>
        </w:rPr>
        <w:t xml:space="preserve">VIGNESH NATARAJAN</w:t>
      </w:r>
    </w:p>
    <w:p>
      <w:pPr>
        <w:spacing w:after="0"/>
        <w:jc w:val="right"/>
      </w:pPr>
      <w:r>
        <w:rPr>
          <w:rFonts w:ascii="Times New Roman" w:cs="Times New Roman" w:eastAsia="Times New Roman" w:hAnsi="Times New Roman"/>
          <w:sz w:val="22"/>
          <w:szCs w:val="22"/>
        </w:rPr>
        <w:t xml:space="preserve">Signature of the Candidate</w:t>
      </w:r>
    </w:p>
    <w:p>
      <w:pPr>
        <w:pageBreakBefore/>
        <w:spacing w:after="720" w:before="1020"/>
        <w:jc w:val="center"/>
      </w:pPr>
      <w:r>
        <w:rPr>
          <w:rFonts w:ascii="Times New Roman" w:cs="Times New Roman" w:eastAsia="Times New Roman" w:hAnsi="Times New Roman"/>
          <w:b/>
          <w:bCs/>
          <w:sz w:val="28"/>
          <w:szCs w:val="28"/>
        </w:rPr>
        <w:t xml:space="preserve">ACKNOWLEDGEMENT</w:t>
      </w:r>
    </w:p>
    <w:p>
      <w:pPr>
        <w:spacing w:after="240" w:before="0" w:line="480"/>
        <w:ind w:firstLine="1134"/>
        <w:jc w:val="both"/>
      </w:pPr>
      <w:r>
        <w:rPr>
          <w:rFonts w:ascii="Times New Roman" w:cs="Times New Roman" w:eastAsia="Times New Roman" w:hAnsi="Times New Roman"/>
        </w:rPr>
        <w:t xml:space="preserve">This project was carried out as part of the Online MBA (Business Analytics) programme, and I thank Anna University and its Centre for Distance and Online Education for making it possible. I am grateful to my project guide for academic direction, for the questions raised at the first and second reviews, and for feedback that shaped the evaluation design of this study.</w:t>
      </w:r>
    </w:p>
    <w:p>
      <w:pPr>
        <w:spacing w:after="240" w:before="0" w:line="480"/>
        <w:ind w:firstLine="1134"/>
        <w:jc w:val="both"/>
      </w:pPr>
      <w:r>
        <w:rPr>
          <w:rFonts w:ascii="Times New Roman" w:cs="Times New Roman" w:eastAsia="Times New Roman" w:hAnsi="Times New Roman"/>
        </w:rPr>
        <w:t xml:space="preserve">I acknowledge the maintainers of the public data sources used: Agmarknet, the Kaggle daily commodity price compilation, the Vegetable Market Price history series attributed to the Koyambedu Vegetable Merchants’ Council, and Open-Meteo. My family and colleagues supported me throughout, and I am grateful to them. Any errors that remain are my own.</w:t>
      </w:r>
    </w:p>
    <w:p>
      <w:r>
        <w:rPr>
          <w:rFonts w:ascii="Times New Roman" w:cs="Times New Roman" w:eastAsia="Times New Roman" w:hAnsi="Times New Roman"/>
        </w:rPr>
        <w:t xml:space="preserve"/>
      </w:r>
    </w:p>
    <w:p>
      <w:pPr>
        <w:spacing w:after="0" w:before="240"/>
        <w:jc w:val="right"/>
      </w:pPr>
      <w:r>
        <w:drawing>
          <wp:inline distT="0" distB="0" distL="0" distR="0">
            <wp:extent cx="1047750" cy="704850"/>
            <wp:effectExtent t="0" r="0" b="0" l="0"/>
            <wp:docPr id="1" name="signature" descr="Signature of Vignesh Natarajan" title="Signature of the can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04850"/>
                    </a:xfrm>
                    <a:prstGeom prst="rect">
                      <a:avLst/>
                    </a:prstGeom>
                  </pic:spPr>
                </pic:pic>
              </a:graphicData>
            </a:graphic>
          </wp:inline>
        </w:drawing>
      </w:r>
    </w:p>
    <w:p>
      <w:pPr>
        <w:spacing w:after="0"/>
        <w:jc w:val="right"/>
      </w:pPr>
      <w:r>
        <w:rPr>
          <w:rFonts w:ascii="Times New Roman" w:cs="Times New Roman" w:eastAsia="Times New Roman" w:hAnsi="Times New Roman"/>
          <w:b/>
          <w:bCs/>
          <w:sz w:val="24"/>
          <w:szCs w:val="24"/>
        </w:rPr>
        <w:t xml:space="preserve">VIGNESH NATARAJAN</w:t>
      </w:r>
    </w:p>
    <w:p>
      <w:pPr>
        <w:spacing w:after="0"/>
        <w:jc w:val="right"/>
      </w:pPr>
      <w:r>
        <w:rPr>
          <w:rFonts w:ascii="Times New Roman" w:cs="Times New Roman" w:eastAsia="Times New Roman" w:hAnsi="Times New Roman"/>
          <w:sz w:val="22"/>
          <w:szCs w:val="22"/>
        </w:rPr>
        <w:t xml:space="preserve">Signature of the Candidate</w:t>
      </w:r>
    </w:p>
    <w:p>
      <w:pPr>
        <w:pageBreakBefore/>
        <w:spacing w:after="720" w:before="102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720" w:before="1020"/>
        <w:jc w:val="center"/>
      </w:pPr>
      <w:r>
        <w:rPr>
          <w:rFonts w:ascii="Times New Roman" w:cs="Times New Roman" w:eastAsia="Times New Roman" w:hAnsi="Times New Roman"/>
          <w:b/>
          <w:bCs/>
          <w:sz w:val="28"/>
          <w:szCs w:val="28"/>
        </w:rP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pPr>
        <w:pStyle w:val="Heading1"/>
        <w:pageBreakBefore/>
        <w:spacing w:after="720" w:before="1020"/>
        <w:jc w:val="center"/>
      </w:pPr>
      <w:r>
        <w:rPr>
          <w:rFonts w:ascii="Times New Roman" w:cs="Times New Roman" w:eastAsia="Times New Roman" w:hAnsi="Times New Roman"/>
          <w:b/>
          <w:bCs/>
          <w:sz w:val="28"/>
          <w:szCs w:val="28"/>
        </w:rP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pPr>
        <w:pStyle w:val="Heading1"/>
        <w:pageBreakBefore/>
        <w:spacing w:after="720" w:before="1020"/>
        <w:jc w:val="center"/>
      </w:pPr>
      <w:r>
        <w:rPr>
          <w:rFonts w:ascii="Times New Roman" w:cs="Times New Roman" w:eastAsia="Times New Roman" w:hAnsi="Times New Roman"/>
          <w:b/>
          <w:bCs/>
          <w:sz w:val="28"/>
          <w:szCs w:val="28"/>
        </w:rPr>
        <w:t xml:space="preserve">LIST OF ABBREVIATIONS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414"/>
        <w:gridCol w:w="6034"/>
      </w:tblGrid>
      <w:tr>
        <w:trPr>
          <w:cantSplit/>
          <w:tblHeader/>
        </w:trPr>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Abbreviation</w:t>
            </w:r>
          </w:p>
        </w:tc>
        <w:tc>
          <w:tcPr>
            <w:tcW w:type="dxa" w:w="60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Meaning</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ADF</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Augmented Dickey–Fuller (unit-root test)</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AIC</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Akaike Information Criterion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API</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Application Programming Interface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APMC</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Agricultural Produce Market Committee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CV</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Coefficient of Variation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DM test</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Diebold–Mariano test of equal forecast accuracy</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EDA</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Exploratory Data Analysis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EMA</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Exponential Moving Average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HAC</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Heteroskedasticity and Autocorrelation Consistent (standard errors)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LLM</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Large Language Model</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Mean Absolute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MAPE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Mean Absolute Percentage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NE / SW monsoon</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Northeast / Southwest monsoon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OLS</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Ordinary Least Squares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PIB</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Press Information Bureau</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RF</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Random Forest</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RMSE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Root Mean Squared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Seasonal Autoregressive Integrated Moving Average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SHAP</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SHapley Additive exPlanations</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sMAPE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Symmetric Mean Absolute Percentage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TN</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Tamil Nadu</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TOP</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Tomato, Onion and Potato</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WAPE</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Weighted Absolute Percentage Error</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WF</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Walk-forward (rolling-origin) evaluation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60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Extreme Gradient Boosting</w:t>
            </w:r>
          </w:p>
        </w:tc>
      </w:tr>
    </w:tbl>
    <w:p>
      <w:pPr>
        <w:spacing w:after="200" w:before="60" w:line="240"/>
      </w:pPr>
    </w:p>
    <w:p>
      <w:pPr>
        <w:sectPr>
          <w:headerReference w:type="default" r:id="rId7"/>
          <w:pgSz w:w="11906" w:h="16838" w:orient="portrait"/>
          <w:pgMar w:top="1814" w:right="1304" w:bottom="1531" w:left="2154" w:header="1134" w:footer="720" w:gutter="0"/>
          <w:pgNumType w:start="2" w:fmt="lowerRoman"/>
          <w:docGrid w:linePitch="360"/>
        </w:sectPr>
      </w:pPr>
    </w:p>
    <w:p>
      <w:pPr>
        <w:pageBreakBefore/>
        <w:spacing w:after="0" w:before="1020"/>
        <w:jc w:val="center"/>
      </w:pPr>
      <w:r>
        <w:rPr>
          <w:rFonts w:ascii="Times New Roman" w:cs="Times New Roman" w:eastAsia="Times New Roman" w:hAnsi="Times New Roman"/>
          <w:b/>
          <w:bCs/>
          <w:sz w:val="28"/>
          <w:szCs w:val="28"/>
        </w:rPr>
        <w:t xml:space="preserve">CHAPTER 1</w:t>
      </w:r>
    </w:p>
    <w:p>
      <w:pPr>
        <w:pStyle w:val="Heading1"/>
        <w:spacing w:after="720" w:before="480"/>
        <w:jc w:val="center"/>
      </w:pPr>
      <w:r>
        <w:rPr>
          <w:rFonts w:ascii="Times New Roman" w:cs="Times New Roman" w:eastAsia="Times New Roman" w:hAnsi="Times New Roman"/>
          <w:b/>
          <w:bCs/>
          <w:sz w:val="28"/>
          <w:szCs w:val="28"/>
        </w:rPr>
        <w:t xml:space="preserve">INTRODUCTION</w:t>
      </w:r>
    </w:p>
    <w:p>
      <w:pPr>
        <w:pStyle w:val="Heading2"/>
        <w:keepNext/>
        <w:spacing w:after="240" w:before="360"/>
      </w:pPr>
      <w:r>
        <w:rPr>
          <w:rFonts w:ascii="Times New Roman" w:cs="Times New Roman" w:eastAsia="Times New Roman" w:hAnsi="Times New Roman"/>
          <w:b/>
          <w:bCs/>
          <w:sz w:val="24"/>
          <w:szCs w:val="24"/>
        </w:rPr>
        <w:t xml:space="preserve">1.1 BACKGROUND OF THE STUDY</w:t>
      </w:r>
    </w:p>
    <w:p>
      <w:pPr>
        <w:spacing w:after="120" w:before="0" w:line="360"/>
        <w:ind w:firstLine="1134"/>
        <w:jc w:val="both"/>
      </w:pPr>
      <w:r>
        <w:rPr>
          <w:rFonts w:ascii="Times New Roman" w:cs="Times New Roman" w:eastAsia="Times New Roman" w:hAnsi="Times New Roman"/>
        </w:rPr>
        <w:t xml:space="preserve">Vegetables are a large and volatile component of household and institutional food spending in India. Tomato, onion and potato carry only a small share of the CPI basket, yet they account for an outsized part of the swings in food and overall inflation. Their crop cycles are short, they spoil quickly, their cultivation is concentrated in a few regions, and their output depends heavily on the weather (Roy et al., 2024). In July 2023, consumers across India paid on average about ₹109.5 for a kilogram of tomatoes, and the tomato component of the CPI was more than three times its level a year earlier (Roy et al., 2024). Retail prices of up to ₹200/kg were widely reported at the time. In the Koyambedu series used in this study, tomato rose from ₹13–18/kg in April–May 2023 to a peak of ₹160/kg on 1 August, roughly nine to twelve times its spring level. Episodes of this kind are not isolated: onion and potato have shown similar boom-and-bust cycles in alternate years.</w:t>
      </w:r>
    </w:p>
    <w:p>
      <w:pPr>
        <w:spacing w:after="120" w:before="0" w:line="360"/>
        <w:ind w:firstLine="1134"/>
        <w:jc w:val="both"/>
      </w:pPr>
      <w:r>
        <w:rPr>
          <w:rFonts w:ascii="Times New Roman" w:cs="Times New Roman" w:eastAsia="Times New Roman" w:hAnsi="Times New Roman"/>
        </w:rPr>
        <w:t xml:space="preserve">For buyers who procure vegetables regularly, such as hotels, institutional kitchens, hospital and hostel caterers, food processors and retail chains, the question is practical: should a purchase be made now, deferred, or split? A modest improvement in timing, applied across a large and recurring purchase volume, could matter financially. Data-driven forecasting appears to offer that improvement, and recent advances in machine learning and AI agents have made sophisticated forecasting pipelines easy to build.</w:t>
      </w:r>
    </w:p>
    <w:p>
      <w:pPr>
        <w:spacing w:after="120" w:before="0" w:line="360"/>
        <w:ind w:firstLine="1134"/>
        <w:jc w:val="both"/>
      </w:pPr>
      <w:r>
        <w:rPr>
          <w:rFonts w:ascii="Times New Roman" w:cs="Times New Roman" w:eastAsia="Times New Roman" w:hAnsi="Times New Roman"/>
        </w:rPr>
        <w:t xml:space="preserve">This project, named </w:t>
      </w:r>
      <w:r>
        <w:rPr>
          <w:rFonts w:ascii="Times New Roman" w:cs="Times New Roman" w:eastAsia="Times New Roman" w:hAnsi="Times New Roman"/>
          <w:b/>
          <w:bCs/>
        </w:rPr>
        <w:t xml:space="preserve">AgriSight</w:t>
      </w:r>
      <w:r>
        <w:rPr>
          <w:rFonts w:ascii="Times New Roman" w:cs="Times New Roman" w:eastAsia="Times New Roman" w:hAnsi="Times New Roman"/>
        </w:rPr>
        <w:t xml:space="preserve">, builds such a pipeline for eight vegetables traded in Tamil Nadu and evaluates it critically. The emphasis of the final study is not only on whether a model can be fitted, but on whether its forecasts beat the simplest credible alternatives and whether the resulting procurement advice would actually have helped a buyer.</w:t>
      </w:r>
    </w:p>
    <w:p>
      <w:pPr>
        <w:pStyle w:val="Heading2"/>
        <w:keepNext/>
        <w:spacing w:after="240" w:before="360"/>
      </w:pPr>
      <w:r>
        <w:rPr>
          <w:rFonts w:ascii="Times New Roman" w:cs="Times New Roman" w:eastAsia="Times New Roman" w:hAnsi="Times New Roman"/>
          <w:b/>
          <w:bCs/>
          <w:sz w:val="24"/>
          <w:szCs w:val="24"/>
        </w:rPr>
        <w:t xml:space="preserve">1.2 INDUSTRY PROFILE</w:t>
      </w:r>
    </w:p>
    <w:p>
      <w:pPr>
        <w:pStyle w:val="Heading3"/>
        <w:keepNext/>
        <w:spacing w:after="120" w:before="240"/>
      </w:pPr>
      <w:r>
        <w:rPr>
          <w:rFonts w:ascii="Times New Roman" w:cs="Times New Roman" w:eastAsia="Times New Roman" w:hAnsi="Times New Roman"/>
          <w:b/>
          <w:bCs/>
          <w:sz w:val="24"/>
          <w:szCs w:val="24"/>
        </w:rPr>
        <w:t xml:space="preserve">1.2.1 Vegetable marketing in India</w:t>
      </w:r>
    </w:p>
    <w:p>
      <w:pPr>
        <w:spacing w:after="120" w:before="0" w:line="360"/>
        <w:ind w:firstLine="1134"/>
        <w:jc w:val="both"/>
      </w:pPr>
      <w:r>
        <w:rPr>
          <w:rFonts w:ascii="Times New Roman" w:cs="Times New Roman" w:eastAsia="Times New Roman" w:hAnsi="Times New Roman"/>
        </w:rPr>
        <w:t xml:space="preserve">Most vegetables in India move from farmers to consumers through regulated wholesale markets administered by state Agricultural Produce Market Committees (APMCs), with traders, commission agents, wholesalers and retailers in between. Value-chain studies estimate that farmers receive only about one-third of the consumer rupee for tomato, onion and potato, with the remainder apportioned along the chain (Roy et al., 2024). Prices are discovered daily through auctions and negotiation, and the Directorate of Marketing and Inspection publishes reported market prices through the Agricultural Marketing Information Network (Agmarknet).</w:t>
      </w:r>
    </w:p>
    <w:p>
      <w:pPr>
        <w:pStyle w:val="Heading3"/>
        <w:keepNext/>
        <w:spacing w:after="120" w:before="240"/>
      </w:pPr>
      <w:r>
        <w:rPr>
          <w:rFonts w:ascii="Times New Roman" w:cs="Times New Roman" w:eastAsia="Times New Roman" w:hAnsi="Times New Roman"/>
          <w:b/>
          <w:bCs/>
          <w:sz w:val="24"/>
          <w:szCs w:val="24"/>
        </w:rPr>
        <w:t xml:space="preserve">1.2.2 Tamil Nadu markets and the Koyambedu complex</w:t>
      </w:r>
    </w:p>
    <w:p>
      <w:pPr>
        <w:spacing w:after="120" w:before="0" w:line="360"/>
        <w:ind w:firstLine="1134"/>
        <w:jc w:val="both"/>
      </w:pPr>
      <w:r>
        <w:rPr>
          <w:rFonts w:ascii="Times New Roman" w:cs="Times New Roman" w:eastAsia="Times New Roman" w:hAnsi="Times New Roman"/>
        </w:rPr>
        <w:t xml:space="preserve">Tamil Nadu has two distinct channels that appear in the data used here. The first is the network of regulated markets and Uzhavar Sandhai (farmers’ markets), the latter established by the Government of Tamil Nadu so that farmers can sell directly to consumers. In the statewide extract used in this study, Uzhavar Sandhai account for 90.7 per cent of all records, which is important for interpretation because their prices are closer to retail than to bulk wholesale. The second is the Koyambedu Wholesale Market Complex in Chennai, one of the largest wholesale markets for perishables in South India and the reference market for buyers in the Chennai region. Its daily prices are published by the Koyambedu Vegetable Merchants’ Council and redistributed by public websites.</w:t>
      </w:r>
    </w:p>
    <w:p>
      <w:pPr>
        <w:pStyle w:val="Heading3"/>
        <w:keepNext/>
        <w:spacing w:after="120" w:before="240"/>
      </w:pPr>
      <w:r>
        <w:rPr>
          <w:rFonts w:ascii="Times New Roman" w:cs="Times New Roman" w:eastAsia="Times New Roman" w:hAnsi="Times New Roman"/>
          <w:b/>
          <w:bCs/>
          <w:sz w:val="24"/>
          <w:szCs w:val="24"/>
        </w:rPr>
        <w:t xml:space="preserve">1.2.3 Who uses short-term price forecasts</w:t>
      </w:r>
    </w:p>
    <w:p>
      <w:pPr>
        <w:spacing w:after="120" w:before="0" w:line="360"/>
        <w:ind w:firstLine="1134"/>
        <w:jc w:val="both"/>
      </w:pPr>
      <w:r>
        <w:rPr>
          <w:rFonts w:ascii="Times New Roman" w:cs="Times New Roman" w:eastAsia="Times New Roman" w:hAnsi="Times New Roman"/>
        </w:rPr>
        <w:t xml:space="preserve">The intended users of this study are procurement managers who buy in recurring cycles and can shift purchases by days or weeks: institutional caterers, hotel and restaurant groups, food processors, retail chains and aggregators. Their decision variables are timing, quantity and supplier; their constraints are shelf life, storage, cash flow and service level. A forecast is useful to them only if it improves on what they already know, which at minimum is today’s price.</w:t>
      </w:r>
    </w:p>
    <w:p>
      <w:pPr>
        <w:pStyle w:val="Heading2"/>
        <w:keepNext/>
        <w:spacing w:after="240" w:before="360"/>
      </w:pPr>
      <w:r>
        <w:rPr>
          <w:rFonts w:ascii="Times New Roman" w:cs="Times New Roman" w:eastAsia="Times New Roman" w:hAnsi="Times New Roman"/>
          <w:b/>
          <w:bCs/>
          <w:sz w:val="24"/>
          <w:szCs w:val="24"/>
        </w:rPr>
        <w:t xml:space="preserve">1.3 IDENTIFIED PROBLEM</w:t>
      </w:r>
    </w:p>
    <w:p>
      <w:pPr>
        <w:spacing w:after="120" w:before="0" w:line="360"/>
        <w:ind w:firstLine="1134"/>
        <w:jc w:val="both"/>
      </w:pPr>
      <w:r>
        <w:rPr>
          <w:rFonts w:ascii="Times New Roman" w:cs="Times New Roman" w:eastAsia="Times New Roman" w:hAnsi="Times New Roman"/>
        </w:rPr>
        <w:t xml:space="preserve">Buyers have to decide when to purchase without knowing which way prices will move over the coming days and weeks. Machine-learning forecasts and AI-agent pipelines promise better information, but agricultural price series are short, noisy and subject to sudden supply shocks, and published forecast accuracy figures are often not compared with naive benchmarks or are computed in ways that leak future information. The problem addressed is therefore twofold: (a) to determine whether statistical and machine-learning models forecast Tamil Nadu vegetable prices better than naive benchmarks at procurement-relevant horizons; and (b) to determine whether a transparent rule-based decision layer built on those forecasts would have improved purchase outcomes.</w:t>
      </w:r>
    </w:p>
    <w:p>
      <w:pPr>
        <w:pStyle w:val="Heading2"/>
        <w:keepNext/>
        <w:spacing w:after="240" w:before="360"/>
      </w:pPr>
      <w:r>
        <w:rPr>
          <w:rFonts w:ascii="Times New Roman" w:cs="Times New Roman" w:eastAsia="Times New Roman" w:hAnsi="Times New Roman"/>
          <w:b/>
          <w:bCs/>
          <w:sz w:val="24"/>
          <w:szCs w:val="24"/>
        </w:rPr>
        <w:t xml:space="preserve">1.4 NEED FOR THE STUDY</w:t>
      </w:r>
    </w:p>
    <w:p>
      <w:pPr>
        <w:spacing w:after="120" w:before="0" w:line="360"/>
        <w:ind w:firstLine="1134"/>
        <w:jc w:val="both"/>
      </w:pPr>
      <w:r>
        <w:rPr>
          <w:rFonts w:ascii="Times New Roman" w:cs="Times New Roman" w:eastAsia="Times New Roman" w:hAnsi="Times New Roman"/>
        </w:rPr>
        <w:t xml:space="preserve">Koyambedu Wholesale Market sets reference prices for vegetables bought across Chennai and much of Tamil Nadu, so price swings there pass quickly to hotels, canteens, caterers and retailers. Published forecasting work on this market is limited to monthly SARIMA modelling, and it has not been tested whether machine-learning methods, weather signals or an AI agent layer improve on that work for daily, procurement-relevant horizons in a region whose rainfall is dominated by the Northeast Monsoon. Buyers considering such tools need evidence of whether they beat the simple rules of thumb already in use before relying on them.</w:t>
      </w:r>
    </w:p>
    <w:p>
      <w:pPr>
        <w:spacing w:after="120" w:before="0" w:line="360"/>
        <w:ind w:firstLine="1134"/>
        <w:jc w:val="both"/>
      </w:pPr>
      <w:r>
        <w:rPr>
          <w:rFonts w:ascii="Times New Roman" w:cs="Times New Roman" w:eastAsia="Times New Roman" w:hAnsi="Times New Roman"/>
        </w:rPr>
        <w:t xml:space="preserve">For practitioners, the study shows how to test a forecasting tool before trusting it, and identifies the benchmark a vendor or in-house model must beat. For the academic programme, it demonstrates a full analytics life cycle on real data: acquisition, cleaning, feature engineering, modelling, explanation, decision rules, backtesting and a deployable dashboard. Its methodological contribution is a horizon-sensitivity check that exposes how next-day information can make a model look far more accurate than it is at the horizon a buyer needs. Because the study reports results whether or not they support the original hypotheses, its negative findings are as informative as its positive ones: they tell buyers which tools not to rely on and which information to acquire instead.</w:t>
      </w:r>
    </w:p>
    <w:p>
      <w:pPr>
        <w:pStyle w:val="Heading2"/>
        <w:keepNext/>
        <w:spacing w:after="240" w:before="360"/>
      </w:pPr>
      <w:r>
        <w:rPr>
          <w:rFonts w:ascii="Times New Roman" w:cs="Times New Roman" w:eastAsia="Times New Roman" w:hAnsi="Times New Roman"/>
          <w:b/>
          <w:bCs/>
          <w:sz w:val="24"/>
          <w:szCs w:val="24"/>
        </w:rPr>
        <w:t xml:space="preserve">1.5 OBJECTIVES OF THE STUDY</w:t>
      </w:r>
    </w:p>
    <w:p>
      <w:pPr>
        <w:spacing w:after="120" w:before="0" w:line="360"/>
        <w:ind w:firstLine="1134"/>
        <w:jc w:val="both"/>
      </w:pPr>
      <w:r>
        <w:rPr>
          <w:rFonts w:ascii="Times New Roman" w:cs="Times New Roman" w:eastAsia="Times New Roman" w:hAnsi="Times New Roman"/>
          <w:b/>
          <w:bCs/>
        </w:rPr>
        <w:t xml:space="preserve">Primary objective.</w:t>
      </w:r>
      <w:r>
        <w:rPr>
          <w:rFonts w:ascii="Times New Roman" w:cs="Times New Roman" w:eastAsia="Times New Roman" w:hAnsi="Times New Roman"/>
        </w:rPr>
        <w:t xml:space="preserve"> To predict near-term vegetable prices at Koyambedu Wholesale Market, with a statewide Tamil Nadu comparison, using four model families (SARIMA, Prophet, Random Forest and XGBoost) and to assess whether AgriSight, a four-agent pipeline that turns these forecasts into advice, gives procurement buyers useful decision support.</w:t>
      </w:r>
    </w:p>
    <w:p>
      <w:pPr>
        <w:spacing w:after="120" w:before="0" w:line="360"/>
        <w:ind w:firstLine="1134"/>
        <w:jc w:val="both"/>
      </w:pPr>
      <w:r>
        <w:rPr>
          <w:rFonts w:ascii="Times New Roman" w:cs="Times New Roman" w:eastAsia="Times New Roman" w:hAnsi="Times New Roman"/>
          <w:b/>
          <w:bCs/>
        </w:rPr>
        <w:t xml:space="preserve">Secondary objectives.</w:t>
      </w:r>
      <w:r>
        <w:rPr>
          <w:rFonts w:ascii="Times New Roman" w:cs="Times New Roman" w:eastAsia="Times New Roman" w:hAnsi="Times New Roman"/>
        </w:rPr>
        <w:t xml:space="preserve"> The four secondary objectives of the approved proposal are retained; differences in data and method from the proposal, and their reasons, are set out in Section 3.12:</w:t>
      </w:r>
    </w:p>
    <w:p>
      <w:pPr>
        <w:pStyle w:val="ListParagraph"/>
        <w:numPr>
          <w:ilvl w:val="0"/>
          <w:numId w:val="2"/>
        </w:numPr>
        <w:spacing w:after="60" w:line="360"/>
        <w:jc w:val="both"/>
      </w:pPr>
      <w:r>
        <w:rPr>
          <w:rFonts w:ascii="Times New Roman" w:cs="Times New Roman" w:eastAsia="Times New Roman" w:hAnsi="Times New Roman"/>
          <w:b/>
          <w:bCs/>
        </w:rPr>
        <w:t xml:space="preserve">S01 – Model comparison.</w:t>
      </w:r>
      <w:r>
        <w:rPr>
          <w:rFonts w:ascii="Times New Roman" w:cs="Times New Roman" w:eastAsia="Times New Roman" w:hAnsi="Times New Roman"/>
        </w:rPr>
        <w:t xml:space="preserve"> Measure how accurately SARIMA, Prophet, Random Forest and XGBoost forecast prices 7, 14 and 30 days ahead, judged mainly by RMSE and secondarily by MAPE, and set these results against naive benchmarks.</w:t>
      </w:r>
    </w:p>
    <w:p>
      <w:pPr>
        <w:pStyle w:val="ListParagraph"/>
        <w:numPr>
          <w:ilvl w:val="0"/>
          <w:numId w:val="2"/>
        </w:numPr>
        <w:spacing w:after="60" w:line="360"/>
        <w:jc w:val="both"/>
      </w:pPr>
      <w:r>
        <w:rPr>
          <w:rFonts w:ascii="Times New Roman" w:cs="Times New Roman" w:eastAsia="Times New Roman" w:hAnsi="Times New Roman"/>
          <w:b/>
          <w:bCs/>
        </w:rPr>
        <w:t xml:space="preserve">S02 – Monsoon effect.</w:t>
      </w:r>
      <w:r>
        <w:rPr>
          <w:rFonts w:ascii="Times New Roman" w:cs="Times New Roman" w:eastAsia="Times New Roman" w:hAnsi="Times New Roman"/>
        </w:rPr>
        <w:t xml:space="preserve"> Determine whether departures of Northeast Monsoon rainfall from normal help to explain short-term vegetable price changes at a statistically significant level, and rank this effect against price-lag features using SHAP.</w:t>
      </w:r>
    </w:p>
    <w:p>
      <w:pPr>
        <w:pStyle w:val="ListParagraph"/>
        <w:numPr>
          <w:ilvl w:val="0"/>
          <w:numId w:val="2"/>
        </w:numPr>
        <w:spacing w:after="60" w:line="360"/>
        <w:jc w:val="both"/>
      </w:pPr>
      <w:r>
        <w:rPr>
          <w:rFonts w:ascii="Times New Roman" w:cs="Times New Roman" w:eastAsia="Times New Roman" w:hAnsi="Times New Roman"/>
          <w:b/>
          <w:bCs/>
        </w:rPr>
        <w:t xml:space="preserve">S03 – AgriSight pipeline.</w:t>
      </w:r>
      <w:r>
        <w:rPr>
          <w:rFonts w:ascii="Times New Roman" w:cs="Times New Roman" w:eastAsia="Times New Roman" w:hAnsi="Times New Roman"/>
        </w:rPr>
        <w:t xml:space="preserve"> Build a four-agent pipeline that integrates data collection, price forecasting, market intelligence and procurement advice into a buyer-facing brief and dashboard.</w:t>
      </w:r>
    </w:p>
    <w:p>
      <w:pPr>
        <w:pStyle w:val="ListParagraph"/>
        <w:numPr>
          <w:ilvl w:val="0"/>
          <w:numId w:val="2"/>
        </w:numPr>
        <w:spacing w:after="60" w:line="360"/>
        <w:jc w:val="both"/>
      </w:pPr>
      <w:r>
        <w:rPr>
          <w:rFonts w:ascii="Times New Roman" w:cs="Times New Roman" w:eastAsia="Times New Roman" w:hAnsi="Times New Roman"/>
          <w:b/>
          <w:bCs/>
        </w:rPr>
        <w:t xml:space="preserve">S04 – Procurement case study.</w:t>
      </w:r>
      <w:r>
        <w:rPr>
          <w:rFonts w:ascii="Times New Roman" w:cs="Times New Roman" w:eastAsia="Times New Roman" w:hAnsi="Times New Roman"/>
        </w:rPr>
        <w:t xml:space="preserve"> Assess what the 30-day price forecast would have been worth to a buyer as a procurement signal during the three months leading up to the July–August 2023 tomato price episode at Koyambedu.</w:t>
      </w:r>
    </w:p>
    <w:p>
      <w:pPr>
        <w:pStyle w:val="Heading2"/>
        <w:keepNext/>
        <w:spacing w:after="240" w:before="360"/>
      </w:pPr>
      <w:r>
        <w:rPr>
          <w:rFonts w:ascii="Times New Roman" w:cs="Times New Roman" w:eastAsia="Times New Roman" w:hAnsi="Times New Roman"/>
          <w:b/>
          <w:bCs/>
          <w:sz w:val="24"/>
          <w:szCs w:val="24"/>
        </w:rPr>
        <w:t xml:space="preserve">1.6 RESEARCH QUESTIONS AND HYPOTHESES</w:t>
      </w:r>
    </w:p>
    <w:p>
      <w:pPr>
        <w:pStyle w:val="ListParagraph"/>
        <w:numPr>
          <w:ilvl w:val="0"/>
          <w:numId w:val="3"/>
        </w:numPr>
        <w:spacing w:after="60" w:line="360"/>
        <w:jc w:val="both"/>
      </w:pPr>
      <w:r>
        <w:rPr>
          <w:rFonts w:ascii="Times New Roman" w:cs="Times New Roman" w:eastAsia="Times New Roman" w:hAnsi="Times New Roman"/>
        </w:rPr>
        <w:t xml:space="preserve">What coverage, quality and price behaviour do the statewide and Koyambedu data show for the eight vegetables?</w:t>
      </w:r>
    </w:p>
    <w:p>
      <w:pPr>
        <w:pStyle w:val="ListParagraph"/>
        <w:numPr>
          <w:ilvl w:val="0"/>
          <w:numId w:val="3"/>
        </w:numPr>
        <w:spacing w:after="60" w:line="360"/>
        <w:jc w:val="both"/>
      </w:pPr>
      <w:r>
        <w:rPr>
          <w:rFonts w:ascii="Times New Roman" w:cs="Times New Roman" w:eastAsia="Times New Roman" w:hAnsi="Times New Roman"/>
        </w:rPr>
        <w:t xml:space="preserve">Do SARIMA, Prophet, Random Forest and XGBoost forecast more accurately than naive benchmarks at 7-, 14- and 30-day horizons?</w:t>
      </w:r>
    </w:p>
    <w:p>
      <w:pPr>
        <w:pStyle w:val="ListParagraph"/>
        <w:numPr>
          <w:ilvl w:val="0"/>
          <w:numId w:val="3"/>
        </w:numPr>
        <w:spacing w:after="60" w:line="360"/>
        <w:jc w:val="both"/>
      </w:pPr>
      <w:r>
        <w:rPr>
          <w:rFonts w:ascii="Times New Roman" w:cs="Times New Roman" w:eastAsia="Times New Roman" w:hAnsi="Times New Roman"/>
        </w:rPr>
        <w:t xml:space="preserve">Which inputs contribute most to fitted machine-learning predictions, and what do those contributions imply about forecast skill?</w:t>
      </w:r>
    </w:p>
    <w:p>
      <w:pPr>
        <w:pStyle w:val="ListParagraph"/>
        <w:numPr>
          <w:ilvl w:val="0"/>
          <w:numId w:val="3"/>
        </w:numPr>
        <w:spacing w:after="60" w:line="360"/>
        <w:jc w:val="both"/>
      </w:pPr>
      <w:r>
        <w:rPr>
          <w:rFonts w:ascii="Times New Roman" w:cs="Times New Roman" w:eastAsia="Times New Roman" w:hAnsi="Times New Roman"/>
        </w:rPr>
        <w:t xml:space="preserve">Is Northeast Monsoon rainfall anomaly associated with subsequent seven-day price returns after controlling for recent price momentum?</w:t>
      </w:r>
    </w:p>
    <w:p>
      <w:pPr>
        <w:pStyle w:val="ListParagraph"/>
        <w:numPr>
          <w:ilvl w:val="0"/>
          <w:numId w:val="3"/>
        </w:numPr>
        <w:spacing w:after="60" w:line="360"/>
        <w:jc w:val="both"/>
      </w:pPr>
      <w:r>
        <w:rPr>
          <w:rFonts w:ascii="Times New Roman" w:cs="Times New Roman" w:eastAsia="Times New Roman" w:hAnsi="Times New Roman"/>
        </w:rPr>
        <w:t xml:space="preserve">Would the rule-based procurement advice have reduced purchase cost relative to buying immediately, in routine periods and during the 2023 tomato episode?</w:t>
      </w:r>
    </w:p>
    <w:p>
      <w:pPr>
        <w:spacing w:after="120" w:before="0" w:line="360"/>
        <w:ind w:firstLine="1134"/>
        <w:jc w:val="both"/>
      </w:pPr>
      <w:r>
        <w:rPr>
          <w:rFonts w:ascii="Times New Roman" w:cs="Times New Roman" w:eastAsia="Times New Roman" w:hAnsi="Times New Roman"/>
        </w:rPr>
        <w:t xml:space="preserve">Two hypotheses were stated in the second review:</w:t>
      </w:r>
    </w:p>
    <w:p>
      <w:pPr>
        <w:pStyle w:val="ListParagraph"/>
        <w:numPr>
          <w:ilvl w:val="0"/>
          <w:numId w:val="4"/>
        </w:numPr>
        <w:spacing w:after="60" w:line="360"/>
        <w:jc w:val="both"/>
      </w:pPr>
      <w:r>
        <w:rPr>
          <w:rFonts w:ascii="Times New Roman" w:cs="Times New Roman" w:eastAsia="Times New Roman" w:hAnsi="Times New Roman"/>
          <w:b/>
          <w:bCs/>
        </w:rPr>
        <w:t xml:space="preserve">H1:</w:t>
      </w:r>
      <w:r>
        <w:rPr>
          <w:rFonts w:ascii="Times New Roman" w:cs="Times New Roman" w:eastAsia="Times New Roman" w:hAnsi="Times New Roman"/>
        </w:rPr>
        <w:t xml:space="preserve"> Random Forest or XGBoost achieves lower walk-forward forecast error than SARIMA.</w:t>
      </w:r>
    </w:p>
    <w:p>
      <w:pPr>
        <w:pStyle w:val="ListParagraph"/>
        <w:numPr>
          <w:ilvl w:val="0"/>
          <w:numId w:val="4"/>
        </w:numPr>
        <w:spacing w:after="60" w:line="360"/>
        <w:jc w:val="both"/>
      </w:pPr>
      <w:r>
        <w:rPr>
          <w:rFonts w:ascii="Times New Roman" w:cs="Times New Roman" w:eastAsia="Times New Roman" w:hAnsi="Times New Roman"/>
          <w:b/>
          <w:bCs/>
        </w:rPr>
        <w:t xml:space="preserve">H2:</w:t>
      </w:r>
      <w:r>
        <w:rPr>
          <w:rFonts w:ascii="Times New Roman" w:cs="Times New Roman" w:eastAsia="Times New Roman" w:hAnsi="Times New Roman"/>
        </w:rPr>
        <w:t xml:space="preserve"> Abnormal Northeast Monsoon rainfall has a statistically significant effect on subsequent vegetable price changes.</w:t>
      </w:r>
    </w:p>
    <w:p>
      <w:pPr>
        <w:spacing w:after="120" w:before="0" w:line="360"/>
        <w:ind w:firstLine="1134"/>
        <w:jc w:val="both"/>
      </w:pPr>
      <w:r>
        <w:rPr>
          <w:rFonts w:ascii="Times New Roman" w:cs="Times New Roman" w:eastAsia="Times New Roman" w:hAnsi="Times New Roman"/>
        </w:rPr>
        <w:t xml:space="preserve">In the course of the study a third, implicit hypothesis became central and is tested explicitly: </w:t>
      </w:r>
      <w:r>
        <w:rPr>
          <w:rFonts w:ascii="Times New Roman" w:cs="Times New Roman" w:eastAsia="Times New Roman" w:hAnsi="Times New Roman"/>
          <w:b/>
          <w:bCs/>
        </w:rPr>
        <w:t xml:space="preserve">H0 (benchmark):</w:t>
      </w:r>
      <w:r>
        <w:rPr>
          <w:rFonts w:ascii="Times New Roman" w:cs="Times New Roman" w:eastAsia="Times New Roman" w:hAnsi="Times New Roman"/>
        </w:rPr>
        <w:t xml:space="preserve"> none of the fitted models outperforms the last observed price at the evaluated horizons.</w:t>
      </w:r>
    </w:p>
    <w:p>
      <w:pPr>
        <w:pStyle w:val="Heading2"/>
        <w:keepNext/>
        <w:spacing w:after="240" w:before="360"/>
      </w:pPr>
      <w:r>
        <w:rPr>
          <w:rFonts w:ascii="Times New Roman" w:cs="Times New Roman" w:eastAsia="Times New Roman" w:hAnsi="Times New Roman"/>
          <w:b/>
          <w:bCs/>
          <w:sz w:val="24"/>
          <w:szCs w:val="24"/>
        </w:rPr>
        <w:t xml:space="preserve">1.7 SCOPE OF THE STUDY</w:t>
      </w:r>
    </w:p>
    <w:p>
      <w:pPr>
        <w:pStyle w:val="ListParagraph"/>
        <w:numPr>
          <w:ilvl w:val="0"/>
          <w:numId w:val="4"/>
        </w:numPr>
        <w:spacing w:after="60" w:line="360"/>
        <w:jc w:val="both"/>
      </w:pPr>
      <w:r>
        <w:rPr>
          <w:rFonts w:ascii="Times New Roman" w:cs="Times New Roman" w:eastAsia="Times New Roman" w:hAnsi="Times New Roman"/>
          <w:b/>
          <w:bCs/>
        </w:rPr>
        <w:t xml:space="preserve">Commodities:</w:t>
      </w:r>
      <w:r>
        <w:rPr>
          <w:rFonts w:ascii="Times New Roman" w:cs="Times New Roman" w:eastAsia="Times New Roman" w:hAnsi="Times New Roman"/>
        </w:rPr>
        <w:t xml:space="preserve"> Tomato, Onion, Potato, Cabbage, Carrot, Beans, Brinjal and Drumstick.</w:t>
      </w:r>
    </w:p>
    <w:p>
      <w:pPr>
        <w:pStyle w:val="ListParagraph"/>
        <w:numPr>
          <w:ilvl w:val="0"/>
          <w:numId w:val="4"/>
        </w:numPr>
        <w:spacing w:after="60" w:line="360"/>
        <w:jc w:val="both"/>
      </w:pPr>
      <w:r>
        <w:rPr>
          <w:rFonts w:ascii="Times New Roman" w:cs="Times New Roman" w:eastAsia="Times New Roman" w:hAnsi="Times New Roman"/>
          <w:b/>
          <w:bCs/>
        </w:rPr>
        <w:t xml:space="preserve">Geography:</w:t>
      </w:r>
      <w:r>
        <w:rPr>
          <w:rFonts w:ascii="Times New Roman" w:cs="Times New Roman" w:eastAsia="Times New Roman" w:hAnsi="Times New Roman"/>
        </w:rPr>
        <w:t xml:space="preserve"> Tamil Nadu statewide (451 markets, 36 districts) and, separately, the Koyambedu market in Chennai.</w:t>
      </w:r>
    </w:p>
    <w:p>
      <w:pPr>
        <w:pStyle w:val="ListParagraph"/>
        <w:numPr>
          <w:ilvl w:val="0"/>
          <w:numId w:val="4"/>
        </w:numPr>
        <w:spacing w:after="60" w:line="360"/>
        <w:jc w:val="both"/>
      </w:pPr>
      <w:r>
        <w:rPr>
          <w:rFonts w:ascii="Times New Roman" w:cs="Times New Roman" w:eastAsia="Times New Roman" w:hAnsi="Times New Roman"/>
          <w:b/>
          <w:bCs/>
        </w:rPr>
        <w:t xml:space="preserve">Period:</w:t>
      </w:r>
      <w:r>
        <w:rPr>
          <w:rFonts w:ascii="Times New Roman" w:cs="Times New Roman" w:eastAsia="Times New Roman" w:hAnsi="Times New Roman"/>
        </w:rPr>
        <w:t xml:space="preserve"> statewide prices from 24 January 2024 to 20 April 2026; Koyambedu prices from 4 November 2021 to 17 October 2026; Chennai weather from 1 January 2024 to 30 September 2026.</w:t>
      </w:r>
    </w:p>
    <w:p>
      <w:pPr>
        <w:pStyle w:val="ListParagraph"/>
        <w:numPr>
          <w:ilvl w:val="0"/>
          <w:numId w:val="4"/>
        </w:numPr>
        <w:spacing w:after="60" w:line="360"/>
        <w:jc w:val="both"/>
      </w:pPr>
      <w:r>
        <w:rPr>
          <w:rFonts w:ascii="Times New Roman" w:cs="Times New Roman" w:eastAsia="Times New Roman" w:hAnsi="Times New Roman"/>
          <w:b/>
          <w:bCs/>
        </w:rPr>
        <w:t xml:space="preserve">Horizons:</w:t>
      </w:r>
      <w:r>
        <w:rPr>
          <w:rFonts w:ascii="Times New Roman" w:cs="Times New Roman" w:eastAsia="Times New Roman" w:hAnsi="Times New Roman"/>
        </w:rPr>
        <w:t xml:space="preserve"> next-day (statewide holdout), and 7, 14 and 30 days (Koyambedu common-origin evaluation).</w:t>
      </w:r>
    </w:p>
    <w:p>
      <w:pPr>
        <w:pStyle w:val="ListParagraph"/>
        <w:numPr>
          <w:ilvl w:val="0"/>
          <w:numId w:val="4"/>
        </w:numPr>
        <w:spacing w:after="60" w:line="360"/>
        <w:jc w:val="both"/>
      </w:pPr>
      <w:r>
        <w:rPr>
          <w:rFonts w:ascii="Times New Roman" w:cs="Times New Roman" w:eastAsia="Times New Roman" w:hAnsi="Times New Roman"/>
          <w:b/>
          <w:bCs/>
        </w:rPr>
        <w:t xml:space="preserve">Decision layer:</w:t>
      </w:r>
      <w:r>
        <w:rPr>
          <w:rFonts w:ascii="Times New Roman" w:cs="Times New Roman" w:eastAsia="Times New Roman" w:hAnsi="Times New Roman"/>
        </w:rPr>
        <w:t xml:space="preserve"> deterministic, rule-based agents; an optional local language model and live news feed were implemented but not exercised in the reported runs.</w:t>
      </w:r>
    </w:p>
    <w:p>
      <w:pPr>
        <w:pStyle w:val="Heading2"/>
        <w:keepNext/>
        <w:spacing w:after="240" w:before="360"/>
      </w:pPr>
      <w:r>
        <w:rPr>
          <w:rFonts w:ascii="Times New Roman" w:cs="Times New Roman" w:eastAsia="Times New Roman" w:hAnsi="Times New Roman"/>
          <w:b/>
          <w:bCs/>
          <w:sz w:val="24"/>
          <w:szCs w:val="24"/>
        </w:rPr>
        <w:t xml:space="preserve">1.8 DELIVERABLES</w:t>
      </w:r>
    </w:p>
    <w:p>
      <w:pPr>
        <w:spacing w:after="120" w:before="0" w:line="360"/>
        <w:ind w:firstLine="1134"/>
        <w:jc w:val="both"/>
      </w:pPr>
      <w:r>
        <w:rPr>
          <w:rFonts w:ascii="Times New Roman" w:cs="Times New Roman" w:eastAsia="Times New Roman" w:hAnsi="Times New Roman"/>
        </w:rPr>
        <w:t xml:space="preserve">The study delivers: (i) a comparison of SARIMA, Prophet, Random Forest and XGBoost against naive benchmarks at 7-, 14- and 30-day horizons on Koyambedu prices, with a statewide comparison; (ii) SHAP feature-importance outputs, including beeswarm and dependence plots, and a significance test of the Northeast Monsoon effect; (iii) the AgriSight pipeline with a nine-page dashboard that produces a buyer brief; (iv) a delta-accuracy test of weather context on a six-month held-out period; (v) a procurement backtest and a 2023 tomato case study using the 30-day forecast; and (vi) this report with recommendations for buyers.</w:t>
      </w:r>
    </w:p>
    <w:p>
      <w:pPr>
        <w:pStyle w:val="Heading2"/>
        <w:keepNext/>
        <w:spacing w:after="240" w:before="360"/>
      </w:pPr>
      <w:r>
        <w:rPr>
          <w:rFonts w:ascii="Times New Roman" w:cs="Times New Roman" w:eastAsia="Times New Roman" w:hAnsi="Times New Roman"/>
          <w:b/>
          <w:bCs/>
          <w:sz w:val="24"/>
          <w:szCs w:val="24"/>
        </w:rPr>
        <w:t xml:space="preserve">1.9 LIMITATIONS OF THE STUDY (SUMMARY)</w:t>
      </w:r>
    </w:p>
    <w:p>
      <w:pPr>
        <w:spacing w:after="120" w:before="0" w:line="360"/>
        <w:ind w:firstLine="1134"/>
        <w:jc w:val="both"/>
      </w:pPr>
      <w:r>
        <w:rPr>
          <w:rFonts w:ascii="Times New Roman" w:cs="Times New Roman" w:eastAsia="Times New Roman" w:hAnsi="Times New Roman"/>
        </w:rPr>
        <w:t xml:space="preserve">The data are secondary and their upstream collection was not audited. The statewide series mixes farmers’ markets and wholesale markets and contains a small number of apparent unit errors. The Koyambedu series does not state whether quotes are wholesale or retail. The weather record spans just two full monsoon seasons, and market-arrival volumes could not be obtained. Procurement results are counterfactual, not realized savings. These limitations are discussed in full in Section 5.5 and the assumptions behind the analysis in Section 3.13.</w:t>
      </w:r>
    </w:p>
    <w:p>
      <w:pPr>
        <w:pStyle w:val="Heading2"/>
        <w:keepNext/>
        <w:spacing w:after="240" w:before="360"/>
      </w:pPr>
      <w:r>
        <w:rPr>
          <w:rFonts w:ascii="Times New Roman" w:cs="Times New Roman" w:eastAsia="Times New Roman" w:hAnsi="Times New Roman"/>
          <w:b/>
          <w:bCs/>
          <w:sz w:val="24"/>
          <w:szCs w:val="24"/>
        </w:rPr>
        <w:t xml:space="preserve">1.10 CHAPTER SCHEME</w:t>
      </w:r>
    </w:p>
    <w:p>
      <w:pPr>
        <w:spacing w:after="120" w:before="0" w:line="360"/>
        <w:ind w:firstLine="1134"/>
        <w:jc w:val="both"/>
      </w:pPr>
      <w:r>
        <w:rPr>
          <w:rFonts w:ascii="Times New Roman" w:cs="Times New Roman" w:eastAsia="Times New Roman" w:hAnsi="Times New Roman"/>
          <w:b/>
          <w:bCs/>
        </w:rPr>
        <w:t xml:space="preserve">Chapter 1</w:t>
      </w:r>
      <w:r>
        <w:rPr>
          <w:rFonts w:ascii="Times New Roman" w:cs="Times New Roman" w:eastAsia="Times New Roman" w:hAnsi="Times New Roman"/>
        </w:rPr>
        <w:t xml:space="preserve"> introduces the problem, industry context, need, objectives, scope and deliverables. </w:t>
      </w:r>
      <w:r>
        <w:rPr>
          <w:rFonts w:ascii="Times New Roman" w:cs="Times New Roman" w:eastAsia="Times New Roman" w:hAnsi="Times New Roman"/>
          <w:b/>
          <w:bCs/>
        </w:rPr>
        <w:t xml:space="preserve">Chapter 2</w:t>
      </w:r>
      <w:r>
        <w:rPr>
          <w:rFonts w:ascii="Times New Roman" w:cs="Times New Roman" w:eastAsia="Times New Roman" w:hAnsi="Times New Roman"/>
        </w:rPr>
        <w:t xml:space="preserve">, the literature survey, reviews work on vegetable price volatility, forecasting methods, forecast evaluation, explainability, AI agents and procurement decisions, and identifies the research gap. </w:t>
      </w:r>
      <w:r>
        <w:rPr>
          <w:rFonts w:ascii="Times New Roman" w:cs="Times New Roman" w:eastAsia="Times New Roman" w:hAnsi="Times New Roman"/>
          <w:b/>
          <w:bCs/>
        </w:rPr>
        <w:t xml:space="preserve">Chapter 3</w:t>
      </w:r>
      <w:r>
        <w:rPr>
          <w:rFonts w:ascii="Times New Roman" w:cs="Times New Roman" w:eastAsia="Times New Roman" w:hAnsi="Times New Roman"/>
        </w:rPr>
        <w:t xml:space="preserve"> sets out the methodology: design, data, processing, models, evaluation protocols, statistical tools, decision rules, deviations from the approved proposal, and assumptions and constraints. </w:t>
      </w:r>
      <w:r>
        <w:rPr>
          <w:rFonts w:ascii="Times New Roman" w:cs="Times New Roman" w:eastAsia="Times New Roman" w:hAnsi="Times New Roman"/>
          <w:b/>
          <w:bCs/>
        </w:rPr>
        <w:t xml:space="preserve">Chapter 4</w:t>
      </w:r>
      <w:r>
        <w:rPr>
          <w:rFonts w:ascii="Times New Roman" w:cs="Times New Roman" w:eastAsia="Times New Roman" w:hAnsi="Times New Roman"/>
        </w:rPr>
        <w:t xml:space="preserve"> presents the data analysis and interpretation. </w:t>
      </w:r>
      <w:r>
        <w:rPr>
          <w:rFonts w:ascii="Times New Roman" w:cs="Times New Roman" w:eastAsia="Times New Roman" w:hAnsi="Times New Roman"/>
          <w:b/>
          <w:bCs/>
        </w:rPr>
        <w:t xml:space="preserve">Chapter 5</w:t>
      </w:r>
      <w:r>
        <w:rPr>
          <w:rFonts w:ascii="Times New Roman" w:cs="Times New Roman" w:eastAsia="Times New Roman" w:hAnsi="Times New Roman"/>
        </w:rPr>
        <w:t xml:space="preserve"> gives the conclusions: findings, suggestions, limitations and directions for future research. Appendices and references follow.</w:t>
      </w:r>
    </w:p>
    <w:p>
      <w:pPr>
        <w:pageBreakBefore/>
        <w:spacing w:after="0" w:before="1020"/>
        <w:jc w:val="center"/>
      </w:pPr>
      <w:r>
        <w:rPr>
          <w:rFonts w:ascii="Times New Roman" w:cs="Times New Roman" w:eastAsia="Times New Roman" w:hAnsi="Times New Roman"/>
          <w:b/>
          <w:bCs/>
          <w:sz w:val="28"/>
          <w:szCs w:val="28"/>
        </w:rPr>
        <w:t xml:space="preserve">CHAPTER 2</w:t>
      </w:r>
    </w:p>
    <w:p>
      <w:pPr>
        <w:pStyle w:val="Heading1"/>
        <w:spacing w:after="720" w:before="480"/>
        <w:jc w:val="center"/>
      </w:pPr>
      <w:r>
        <w:rPr>
          <w:rFonts w:ascii="Times New Roman" w:cs="Times New Roman" w:eastAsia="Times New Roman" w:hAnsi="Times New Roman"/>
          <w:b/>
          <w:bCs/>
          <w:sz w:val="28"/>
          <w:szCs w:val="28"/>
        </w:rPr>
        <w:t xml:space="preserve">LITERATURE SURVEY</w:t>
      </w:r>
    </w:p>
    <w:p>
      <w:pPr>
        <w:spacing w:after="120" w:before="0" w:line="360"/>
        <w:ind w:firstLine="1134"/>
        <w:jc w:val="both"/>
      </w:pPr>
      <w:r>
        <w:rPr>
          <w:rFonts w:ascii="Times New Roman" w:cs="Times New Roman" w:eastAsia="Times New Roman" w:hAnsi="Times New Roman"/>
        </w:rPr>
        <w:t xml:space="preserve">This chapter reviews five bodies of work relevant to the study: the economics of vegetable price volatility in India; statistical and machine-learning forecasting methods; principles of forecast evaluation; model explanation and AI agents; and procurement decision-making under price uncertainty. It closes by identifying the research gap.</w:t>
      </w:r>
    </w:p>
    <w:p>
      <w:pPr>
        <w:pStyle w:val="Heading2"/>
        <w:keepNext/>
        <w:spacing w:after="240" w:before="360"/>
      </w:pPr>
      <w:r>
        <w:rPr>
          <w:rFonts w:ascii="Times New Roman" w:cs="Times New Roman" w:eastAsia="Times New Roman" w:hAnsi="Times New Roman"/>
          <w:b/>
          <w:bCs/>
          <w:sz w:val="24"/>
          <w:szCs w:val="24"/>
        </w:rPr>
        <w:t xml:space="preserve">2.1 VEGETABLE PRICE VOLATILITY IN INDIA</w:t>
      </w:r>
    </w:p>
    <w:p>
      <w:pPr>
        <w:spacing w:after="120" w:before="0" w:line="360"/>
        <w:ind w:firstLine="1134"/>
        <w:jc w:val="both"/>
      </w:pPr>
      <w:r>
        <w:rPr>
          <w:rFonts w:ascii="Times New Roman" w:cs="Times New Roman" w:eastAsia="Times New Roman" w:hAnsi="Times New Roman"/>
        </w:rPr>
        <w:t xml:space="preserve">Roy et al. (2024), in a Reserve Bank of India working paper, analyse tomato, onion and potato (TOP) prices using a monthly supply–demand balance sheet. They show that availability, or the availability-to-usage ratio, is significantly and negatively related to the CPI of all three vegetables after controlling for input costs, rainfall and wages, and that SARIMA-X models including balance-sheet variables forecast TOP inflation better than univariate SARIMA over 2- to 12-month horizons. Their value-chain analysis estimates farmers’ share of the consumer rupee at roughly one-third. The implication for this study is that supply volume, which is not available in either of the datasets used here, is likely the most informative missing predictor.</w:t>
      </w:r>
    </w:p>
    <w:p>
      <w:pPr>
        <w:spacing w:after="120" w:before="0" w:line="360"/>
        <w:ind w:firstLine="1134"/>
        <w:jc w:val="both"/>
      </w:pPr>
      <w:r>
        <w:rPr>
          <w:rFonts w:ascii="Times New Roman" w:cs="Times New Roman" w:eastAsia="Times New Roman" w:hAnsi="Times New Roman"/>
        </w:rPr>
        <w:t xml:space="preserve">Padhi, Shekhar and Handa (2023) study daily TOP prices from 2011 to 2021 using multivariate GARCH models and show that volatility originating in tomato spills over into onion and potato in both wholesale and retail markets. For onion and tomato, shocks pass mainly in one direction, from the wholesale level to the retail level, whereas for potato they travel both ways. This supports the use of cross-commodity features in the present models and suggests that wholesale and retail series should not be treated as interchangeable.</w:t>
      </w:r>
    </w:p>
    <w:p>
      <w:pPr>
        <w:spacing w:after="120" w:before="0" w:line="360"/>
        <w:ind w:firstLine="1134"/>
        <w:jc w:val="both"/>
      </w:pPr>
      <w:r>
        <w:rPr>
          <w:rFonts w:ascii="Times New Roman" w:cs="Times New Roman" w:eastAsia="Times New Roman" w:hAnsi="Times New Roman"/>
        </w:rPr>
        <w:t xml:space="preserve">Ajmal et al. (2024) examine monthly wholesale TOP prices across Indian states from 2005 to 2021 using seasonal indices, the Cuddy–Della Valle instability index and ARCH-GARCH models. They find a pronounced seasonal cycle, in which tomato is typically dearest in the second half of the year, and identify onion as the most volatile of the three crops. Birthal, Negi and Joshi (2019) attribute part of onion price volatility to irregular market arrivals and trading practices rather than climatic shocks alone, and Chand (2010) identifies weather-driven supply shocks as the most important driver of Indian food inflation episodes. Together these studies establish that vegetable price movements are seasonal, shock-prone and supply-driven, which makes short-horizon forecasting difficult without supply data.</w:t>
      </w:r>
    </w:p>
    <w:p>
      <w:pPr>
        <w:pStyle w:val="Heading2"/>
        <w:keepNext/>
        <w:spacing w:after="240" w:before="360"/>
      </w:pPr>
      <w:r>
        <w:rPr>
          <w:rFonts w:ascii="Times New Roman" w:cs="Times New Roman" w:eastAsia="Times New Roman" w:hAnsi="Times New Roman"/>
          <w:b/>
          <w:bCs/>
          <w:sz w:val="24"/>
          <w:szCs w:val="24"/>
        </w:rPr>
        <w:t xml:space="preserve">2.2 STUDIES ON TAMIL NADU AND KOYAMBEDU</w:t>
      </w:r>
    </w:p>
    <w:p>
      <w:pPr>
        <w:spacing w:after="120" w:before="0" w:line="360"/>
        <w:ind w:firstLine="1134"/>
        <w:jc w:val="both"/>
      </w:pPr>
      <w:r>
        <w:rPr>
          <w:rFonts w:ascii="Times New Roman" w:cs="Times New Roman" w:eastAsia="Times New Roman" w:hAnsi="Times New Roman"/>
        </w:rPr>
        <w:t xml:space="preserve">Tamilselvi and Mohan Naidu (2020) model monthly vegetable arrivals and wholesale prices at Koyambedu using SARIMA and report adequate fit for seasonal series. The project proposal identified two published SARIMA studies of Koyambedu prices; only this one could be located and verified. It is the closest market-specific precedent but uses monthly data, so its error figures are not directly comparable with the daily horizons used here. Mantaw et al. (2024) apply XGBoost to groundnut prices in Tamil Nadu and report favourable accuracy, illustrating the regional interest in gradient boosting, though for a storable crop and without a naive benchmark.</w:t>
      </w:r>
    </w:p>
    <w:p>
      <w:pPr>
        <w:pStyle w:val="Heading2"/>
        <w:keepNext/>
        <w:spacing w:after="240" w:before="360"/>
      </w:pPr>
      <w:r>
        <w:rPr>
          <w:rFonts w:ascii="Times New Roman" w:cs="Times New Roman" w:eastAsia="Times New Roman" w:hAnsi="Times New Roman"/>
          <w:b/>
          <w:bCs/>
          <w:sz w:val="24"/>
          <w:szCs w:val="24"/>
        </w:rPr>
        <w:t xml:space="preserve">2.3 STATISTICAL TIME-SERIES FORECASTING</w:t>
      </w:r>
    </w:p>
    <w:p>
      <w:pPr>
        <w:spacing w:after="120" w:before="0" w:line="360"/>
        <w:ind w:firstLine="1134"/>
        <w:jc w:val="both"/>
      </w:pPr>
      <w:r>
        <w:rPr>
          <w:rFonts w:ascii="Times New Roman" w:cs="Times New Roman" w:eastAsia="Times New Roman" w:hAnsi="Times New Roman"/>
        </w:rPr>
        <w:t xml:space="preserve">The Box–Jenkins approach models a series through autoregressive, differencing and moving-average terms, with seasonal extensions for repeating cycles (Box et al., 2015). Identification relies on stationarity assessment, commonly through the Augmented Dickey–Fuller (ADF) test (Dickey &amp; Fuller, 1979), and model selection on information criteria such as AIC followed by residual diagnostics. Hyndman and Athanasopoulos (2021) emphasise that forecasting methods should be judged on genuine out-of-sample performance and recommend simple benchmarks, namely the naive (last value), seasonal naive and drift methods, as the reference against which more complex methods must justify themselves.</w:t>
      </w:r>
    </w:p>
    <w:p>
      <w:pPr>
        <w:spacing w:after="120" w:before="0" w:line="360"/>
        <w:ind w:firstLine="1134"/>
        <w:jc w:val="both"/>
      </w:pPr>
      <w:r>
        <w:rPr>
          <w:rFonts w:ascii="Times New Roman" w:cs="Times New Roman" w:eastAsia="Times New Roman" w:hAnsi="Times New Roman"/>
        </w:rPr>
        <w:t xml:space="preserve">Prophet (Taylor &amp; Letham, 2018) represents a series as a sum of piecewise-linear trend, Fourier-based yearly and weekly seasonality, and holiday effects. It is designed for business series with strong calendar effects and long histories; with fewer than two to three years of data, annual seasonality is weakly identified and trend changepoints can extrapolate poorly.</w:t>
      </w:r>
    </w:p>
    <w:p>
      <w:pPr>
        <w:pStyle w:val="Heading2"/>
        <w:keepNext/>
        <w:spacing w:after="240" w:before="360"/>
      </w:pPr>
      <w:r>
        <w:rPr>
          <w:rFonts w:ascii="Times New Roman" w:cs="Times New Roman" w:eastAsia="Times New Roman" w:hAnsi="Times New Roman"/>
          <w:b/>
          <w:bCs/>
          <w:sz w:val="24"/>
          <w:szCs w:val="24"/>
        </w:rPr>
        <w:t xml:space="preserve">2.4 MACHINE-LEARNING FORECASTING</w:t>
      </w:r>
    </w:p>
    <w:p>
      <w:pPr>
        <w:spacing w:after="120" w:before="0" w:line="360"/>
        <w:ind w:firstLine="1134"/>
        <w:jc w:val="both"/>
      </w:pPr>
      <w:r>
        <w:rPr>
          <w:rFonts w:ascii="Times New Roman" w:cs="Times New Roman" w:eastAsia="Times New Roman" w:hAnsi="Times New Roman"/>
        </w:rPr>
        <w:t xml:space="preserve">Random Forests average many decision trees grown on bootstrap samples with random feature subsets, reducing variance (Breiman, 2001). Gradient boosting builds trees sequentially to correct residual errors; XGBoost adds regularisation and efficient computation (Chen &amp; Guestrin, 2016). Applied to time series, these methods are typically trained on engineered features such as lagged values, rolling statistics and calendar indicators, which converts forecasting into supervised regression. Manogna, Dharmaji and Sarang (2025) report improvements from deep-learning models for Indian agricultural commodity prices.</w:t>
      </w:r>
    </w:p>
    <w:p>
      <w:pPr>
        <w:spacing w:after="120" w:before="0" w:line="360"/>
        <w:ind w:firstLine="1134"/>
        <w:jc w:val="both"/>
      </w:pPr>
      <w:r>
        <w:rPr>
          <w:rFonts w:ascii="Times New Roman" w:cs="Times New Roman" w:eastAsia="Times New Roman" w:hAnsi="Times New Roman"/>
        </w:rPr>
        <w:t xml:space="preserve">The evidence is not one-sided. In a large comparison on M3 competition series, Makridakis, Spiliotis and Assimakopoulos (2018a) found that popular machine-learning methods were frequently less accurate than simple statistical methods and were more computationally demanding. The subsequent M4 competition (Makridakis et al., 2018b) found that pure machine-learning methods performed poorly and that the best results came from combinations and hybrids. These findings motivate the inclusion of naive and statistical benchmarks in every comparison reported in this study.</w:t>
      </w:r>
    </w:p>
    <w:p>
      <w:pPr>
        <w:pStyle w:val="Heading2"/>
        <w:keepNext/>
        <w:spacing w:after="240" w:before="360"/>
      </w:pPr>
      <w:r>
        <w:rPr>
          <w:rFonts w:ascii="Times New Roman" w:cs="Times New Roman" w:eastAsia="Times New Roman" w:hAnsi="Times New Roman"/>
          <w:b/>
          <w:bCs/>
          <w:sz w:val="24"/>
          <w:szCs w:val="24"/>
        </w:rPr>
        <w:t xml:space="preserve">2.5 FORECAST EVALUATION AND DATA LEAKAGE</w:t>
      </w:r>
    </w:p>
    <w:p>
      <w:pPr>
        <w:spacing w:after="120" w:before="0" w:line="360"/>
        <w:ind w:firstLine="1134"/>
        <w:jc w:val="both"/>
      </w:pPr>
      <w:r>
        <w:rPr>
          <w:rFonts w:ascii="Times New Roman" w:cs="Times New Roman" w:eastAsia="Times New Roman" w:hAnsi="Times New Roman"/>
        </w:rPr>
        <w:t xml:space="preserve">Tashman (2000) reviews out-of-sample evaluation and recommends rolling-origin designs in which the forecast origin advances through time and the model is refitted using only information available at each origin. Bergmeir and Benítez (2012) discuss when cross-validation is valid for time series and caution against random splits. Hyndman and Koehler (2006) compare accuracy measures and show that MAPE is undefined or unstable near zero and penalises over- and under-forecasts asymmetrically; they recommend scale-free alternatives. Weighted absolute percentage error (WAPE), which divides total absolute error by total actual value, is widely used in demand forecasting because it is not dominated by low-price periods. Diebold and Mariano (1995) provide a test for whether accuracy differences between two forecasts are statistically significant.</w:t>
      </w:r>
    </w:p>
    <w:p>
      <w:pPr>
        <w:spacing w:after="120" w:before="0" w:line="360"/>
        <w:ind w:firstLine="1134"/>
        <w:jc w:val="both"/>
      </w:pPr>
      <w:r>
        <w:rPr>
          <w:rFonts w:ascii="Times New Roman" w:cs="Times New Roman" w:eastAsia="Times New Roman" w:hAnsi="Times New Roman"/>
        </w:rPr>
        <w:t xml:space="preserve">Kaufman et al. (2012) define leakage as the introduction of information into model training or evaluation that would not be legitimately available at prediction time, and show how it produces over-optimistic results. In time-series feature engineering, a common and subtle form is a mismatch between the information horizon of the features and the decision horizon of the user: features built from yesterday’s value allow a model to score well on next-day prediction, which is not the same task as forecasting a week ahead.</w:t>
      </w:r>
    </w:p>
    <w:p>
      <w:pPr>
        <w:pStyle w:val="Heading2"/>
        <w:keepNext/>
        <w:spacing w:after="240" w:before="360"/>
      </w:pPr>
      <w:r>
        <w:rPr>
          <w:rFonts w:ascii="Times New Roman" w:cs="Times New Roman" w:eastAsia="Times New Roman" w:hAnsi="Times New Roman"/>
          <w:b/>
          <w:bCs/>
          <w:sz w:val="24"/>
          <w:szCs w:val="24"/>
        </w:rPr>
        <w:t xml:space="preserve">2.6 STATISTICAL INFERENCE WITH AUTOCORRELATED DATA</w:t>
      </w:r>
    </w:p>
    <w:p>
      <w:pPr>
        <w:spacing w:after="120" w:before="0" w:line="360"/>
        <w:ind w:firstLine="1134"/>
        <w:jc w:val="both"/>
      </w:pPr>
      <w:r>
        <w:rPr>
          <w:rFonts w:ascii="Times New Roman" w:cs="Times New Roman" w:eastAsia="Times New Roman" w:hAnsi="Times New Roman"/>
        </w:rPr>
        <w:t xml:space="preserve">Daily price returns computed over overlapping windows are serially correlated, which makes ordinary least-squares standard errors unreliable. Newey and West (1987) propose heteroskedasticity- and autocorrelation-consistent (HAC) standard errors that remain valid under such dependence. HAC inference is used in this study for the monsoon association test.</w:t>
      </w:r>
    </w:p>
    <w:p>
      <w:pPr>
        <w:pStyle w:val="Heading2"/>
        <w:keepNext/>
        <w:spacing w:after="240" w:before="360"/>
      </w:pPr>
      <w:r>
        <w:rPr>
          <w:rFonts w:ascii="Times New Roman" w:cs="Times New Roman" w:eastAsia="Times New Roman" w:hAnsi="Times New Roman"/>
          <w:b/>
          <w:bCs/>
          <w:sz w:val="24"/>
          <w:szCs w:val="24"/>
        </w:rPr>
        <w:t xml:space="preserve">2.7 EXPLAINABLE MACHINE LEARNING</w:t>
      </w:r>
    </w:p>
    <w:p>
      <w:pPr>
        <w:spacing w:after="120" w:before="0" w:line="360"/>
        <w:ind w:firstLine="1134"/>
        <w:jc w:val="both"/>
      </w:pPr>
      <w:r>
        <w:rPr>
          <w:rFonts w:ascii="Times New Roman" w:cs="Times New Roman" w:eastAsia="Times New Roman" w:hAnsi="Times New Roman"/>
        </w:rPr>
        <w:t xml:space="preserve">SHAP (Lundberg &amp; Lee, 2017) attributes a model’s prediction to its input features using Shapley values from cooperative game theory, with an efficient exact algorithm for tree ensembles. Molnar (2022) stresses that such attributions describe how a fitted model uses its inputs and do not establish causal effects; correlated features can share or swap attribution. In this study, SHAP is used diagnostically: a large share of attribution on yesterday’s price is evidence that a model is mainly exploiting persistence.</w:t>
      </w:r>
    </w:p>
    <w:p>
      <w:pPr>
        <w:pStyle w:val="Heading2"/>
        <w:keepNext/>
        <w:spacing w:after="240" w:before="360"/>
      </w:pPr>
      <w:r>
        <w:rPr>
          <w:rFonts w:ascii="Times New Roman" w:cs="Times New Roman" w:eastAsia="Times New Roman" w:hAnsi="Times New Roman"/>
          <w:b/>
          <w:bCs/>
          <w:sz w:val="24"/>
          <w:szCs w:val="24"/>
        </w:rPr>
        <w:t xml:space="preserve">2.8 AI AGENTS IN ANALYTICAL WORKFLOWS</w:t>
      </w:r>
    </w:p>
    <w:p>
      <w:pPr>
        <w:spacing w:after="120" w:before="0" w:line="360"/>
        <w:ind w:firstLine="1134"/>
        <w:jc w:val="both"/>
      </w:pPr>
      <w:r>
        <w:rPr>
          <w:rFonts w:ascii="Times New Roman" w:cs="Times New Roman" w:eastAsia="Times New Roman" w:hAnsi="Times New Roman"/>
        </w:rPr>
        <w:t xml:space="preserve">Large-language-model-based autonomous agents, systems that plan, call tools and coordinate across roles, are surveyed by Wang et al. (2024). Domain applications include agricultural reasoning with code-executing agents that ground their answers in tools and data (Zhang et al., 2026) and multi-agent platforms that automate market analysis and report generation, demonstrated for carbon markets (Fagbohun et al., 2025). These works motivate AgriSight’s four-role design. However, most reported systems are evaluated on task completion rather than on the economic value of their recommendations; this study evaluates AgriSight’s advice against realized prices.</w:t>
      </w:r>
    </w:p>
    <w:p>
      <w:pPr>
        <w:pStyle w:val="Heading2"/>
        <w:keepNext/>
        <w:spacing w:after="240" w:before="360"/>
      </w:pPr>
      <w:r>
        <w:rPr>
          <w:rFonts w:ascii="Times New Roman" w:cs="Times New Roman" w:eastAsia="Times New Roman" w:hAnsi="Times New Roman"/>
          <w:b/>
          <w:bCs/>
          <w:sz w:val="24"/>
          <w:szCs w:val="24"/>
        </w:rPr>
        <w:t xml:space="preserve">2.9 PROCUREMENT DECISIONS UNDER PRICE UNCERTAINTY</w:t>
      </w:r>
    </w:p>
    <w:p>
      <w:pPr>
        <w:spacing w:after="120" w:before="0" w:line="360"/>
        <w:ind w:firstLine="1134"/>
        <w:jc w:val="both"/>
      </w:pPr>
      <w:r>
        <w:rPr>
          <w:rFonts w:ascii="Times New Roman" w:cs="Times New Roman" w:eastAsia="Times New Roman" w:hAnsi="Times New Roman"/>
        </w:rPr>
        <w:t xml:space="preserve">Supply chain texts frame procurement timing as a trade-off between purchase price, holding cost, perishability and service level (Chopra &amp; Meindl, 2016; Silver, Pyke &amp; Thomas, 2017). For perishables, the scope to buy ahead is limited by shelf life, and the value of a forecast depends on its accuracy relative to the buyer’s default, the cost of being wrong, and the buyer’s ability to act. A forecast that is right on average but wrong at turning points can be costly precisely when it matters most.</w:t>
      </w:r>
    </w:p>
    <w:p>
      <w:pPr>
        <w:pStyle w:val="Heading2"/>
        <w:keepNext/>
        <w:spacing w:after="240" w:before="360"/>
      </w:pPr>
      <w:r>
        <w:rPr>
          <w:rFonts w:ascii="Times New Roman" w:cs="Times New Roman" w:eastAsia="Times New Roman" w:hAnsi="Times New Roman"/>
          <w:b/>
          <w:bCs/>
          <w:sz w:val="24"/>
          <w:szCs w:val="24"/>
        </w:rPr>
        <w:t xml:space="preserve">2.10 RESEARCH GAP</w:t>
      </w:r>
    </w:p>
    <w:p>
      <w:pPr>
        <w:spacing w:after="120" w:before="0" w:line="360"/>
        <w:ind w:firstLine="1134"/>
        <w:jc w:val="both"/>
      </w:pPr>
      <w:r>
        <w:rPr>
          <w:rFonts w:ascii="Times New Roman" w:cs="Times New Roman" w:eastAsia="Times New Roman" w:hAnsi="Times New Roman"/>
        </w:rPr>
        <w:t xml:space="preserve">Table 2.1 summarises the most relevant studies. Indian research on vegetable prices has concentrated on monthly CPI inflation, volatility transmission and seasonal patterns, while machine-learning studies of agricultural prices commonly report accuracy without comparison to naive benchmarks or under evaluation designs whose information horizon is unclear. Few studies evaluate the procurement consequences of forecast-based advice, and none identified for Tamil Nadu vegetables do so on daily data across matched horizons. This study addresses that gap by comparing statistical and machine-learning models with naive benchmarks at procurement-relevant horizons, by checking whether reported accuracy reflects genuine forecast skill, and by backtesting the decision rules on realized prices, including a major price shock.</w:t>
      </w:r>
    </w:p>
    <w:p>
      <w:pPr>
        <w:pStyle w:val="TableCaption"/>
        <w:keepNext/>
        <w:spacing w:after="80" w:before="200" w:line="276"/>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Summary of reviewed studies and research gap</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504"/>
        <w:gridCol w:w="1620"/>
        <w:gridCol w:w="1389"/>
        <w:gridCol w:w="2083"/>
        <w:gridCol w:w="1852"/>
      </w:tblGrid>
      <w:tr>
        <w:trPr>
          <w:cantSplit/>
          <w:tblHeader/>
        </w:trPr>
        <w:tc>
          <w:tcPr>
            <w:tcW w:type="dxa" w:w="15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Study</w:t>
            </w:r>
          </w:p>
        </w:tc>
        <w:tc>
          <w:tcPr>
            <w:tcW w:type="dxa" w:w="16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Data / setting</w:t>
            </w:r>
          </w:p>
        </w:tc>
        <w:tc>
          <w:tcPr>
            <w:tcW w:type="dxa" w:w="13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Method</w:t>
            </w:r>
          </w:p>
        </w:tc>
        <w:tc>
          <w:tcPr>
            <w:tcW w:type="dxa" w:w="20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Key finding</w:t>
            </w:r>
          </w:p>
        </w:tc>
        <w:tc>
          <w:tcPr>
            <w:tcW w:type="dxa" w:w="18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Gap relative to this study</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Roy et al. (2024)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All-India TOP, monthly CPI</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ARDL, SARIMA-X</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Supply balance-sheet variables improve monthly inflation forecasts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Monthly CPI; not daily market prices</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Padhi et al. (2023)</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All-India TOP, daily 2011–2021</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BEKK/DCC GARCH</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 volatility spills over to onion and potato</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Volatility, not point forecasts</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Ajmal et al. (2024)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Selected states, monthly 2005–2021</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Seasonal index, CDVI, ARCH-GARCH</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Onion most volatile; strong seasonality</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Descriptive; no forecast benchmark</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Tamilselvi &amp; Mohan Naidu (2020)</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 arrivals and wholesale prices</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 fits seasonal vegetable series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Monthly; single model family</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Mantaw et al. (2024)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Tamil Nadu groundnut</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XGBoost</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Boosting forecasts commodity prices well</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Different crop; no naive comparison</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Manogna et al. (2025)</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Indian agricultural commodities</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Deep learning</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Deep models improve on classical methods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Monthly/aggregate; different scope</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Makridakis et al. (2018a)</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M3 competition series</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Statistical vs ML</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ML often less accurate than simple statistical methods</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Not agricultural</w:t>
            </w:r>
          </w:p>
        </w:tc>
      </w:tr>
      <w:tr>
        <w:trPr>
          <w:cantSplit/>
        </w:trPr>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This study</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TN statewide + Koyambedu, daily</w:t>
            </w:r>
          </w:p>
        </w:tc>
        <w:tc>
          <w:tcPr>
            <w:tcW w:type="dxa" w:w="13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 Prophet, RF, XGBoost, naive; SHAP; HAC; backtest</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Naive benchmarks unbeaten; rules need recalibration</w:t>
            </w:r>
          </w:p>
        </w:tc>
        <w:tc>
          <w:tcPr>
            <w:tcW w:type="dxa" w:w="18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Secondary data; short weather window</w:t>
            </w:r>
          </w:p>
        </w:tc>
      </w:tr>
    </w:tbl>
    <w:p>
      <w:pPr>
        <w:spacing w:after="200" w:before="60" w:line="240"/>
      </w:pPr>
      <w:r>
        <w:rPr>
          <w:rFonts w:ascii="Times New Roman" w:cs="Times New Roman" w:eastAsia="Times New Roman" w:hAnsi="Times New Roman"/>
          <w:i/>
          <w:iCs/>
          <w:sz w:val="18"/>
          <w:szCs w:val="18"/>
        </w:rPr>
        <w:t xml:space="preserve">Source: Compiled by the author from the cited studies.</w:t>
      </w:r>
    </w:p>
    <w:p>
      <w:pPr>
        <w:pageBreakBefore/>
        <w:spacing w:after="0" w:before="1020"/>
        <w:jc w:val="center"/>
      </w:pPr>
      <w:r>
        <w:rPr>
          <w:rFonts w:ascii="Times New Roman" w:cs="Times New Roman" w:eastAsia="Times New Roman" w:hAnsi="Times New Roman"/>
          <w:b/>
          <w:bCs/>
          <w:sz w:val="28"/>
          <w:szCs w:val="28"/>
        </w:rPr>
        <w:t xml:space="preserve">CHAPTER 3</w:t>
      </w:r>
    </w:p>
    <w:p>
      <w:pPr>
        <w:pStyle w:val="Heading1"/>
        <w:spacing w:after="720" w:before="480"/>
        <w:jc w:val="center"/>
      </w:pPr>
      <w:r>
        <w:rPr>
          <w:rFonts w:ascii="Times New Roman" w:cs="Times New Roman" w:eastAsia="Times New Roman" w:hAnsi="Times New Roman"/>
          <w:b/>
          <w:bCs/>
          <w:sz w:val="28"/>
          <w:szCs w:val="28"/>
        </w:rPr>
        <w:t xml:space="preserve">METHODOLOGY</w:t>
      </w:r>
    </w:p>
    <w:p>
      <w:pPr>
        <w:pStyle w:val="Heading2"/>
        <w:keepNext/>
        <w:spacing w:after="240" w:before="360"/>
      </w:pPr>
      <w:r>
        <w:rPr>
          <w:rFonts w:ascii="Times New Roman" w:cs="Times New Roman" w:eastAsia="Times New Roman" w:hAnsi="Times New Roman"/>
          <w:b/>
          <w:bCs/>
          <w:sz w:val="24"/>
          <w:szCs w:val="24"/>
        </w:rPr>
        <w:t xml:space="preserve">3.1 TYPE OF PROJECT AND RESEARCH DESIGN</w:t>
      </w:r>
    </w:p>
    <w:p>
      <w:pPr>
        <w:spacing w:after="120" w:before="0" w:line="360"/>
        <w:ind w:firstLine="1134"/>
        <w:jc w:val="both"/>
      </w:pPr>
      <w:r>
        <w:rPr>
          <w:rFonts w:ascii="Times New Roman" w:cs="Times New Roman" w:eastAsia="Times New Roman" w:hAnsi="Times New Roman"/>
        </w:rPr>
        <w:t xml:space="preserve">The study follows a </w:t>
      </w:r>
      <w:r>
        <w:rPr>
          <w:rFonts w:ascii="Times New Roman" w:cs="Times New Roman" w:eastAsia="Times New Roman" w:hAnsi="Times New Roman"/>
          <w:b/>
          <w:bCs/>
        </w:rPr>
        <w:t xml:space="preserve">quantitative, explanatory–predictive design based entirely on secondary data</w:t>
      </w:r>
      <w:r>
        <w:rPr>
          <w:rFonts w:ascii="Times New Roman" w:cs="Times New Roman" w:eastAsia="Times New Roman" w:hAnsi="Times New Roman"/>
        </w:rPr>
        <w:t xml:space="preserve">. No survey, interview or experiment was conducted. The analysis is retrospective and observational: it describes price behaviour, estimates forecasting models on historical observations, evaluates their out-of-sample accuracy in chronological order, and evaluates the consequences of a set of procurement rules against the prices actually observed. Because no purchases were made and no buyer transactions were recorded, procurement results are counterfactual comparisons rather than measured savings.</w:t>
      </w:r>
    </w:p>
    <w:p>
      <w:pPr>
        <w:spacing w:after="120" w:before="0" w:line="360"/>
        <w:ind w:firstLine="1134"/>
        <w:jc w:val="both"/>
      </w:pPr>
      <w:r>
        <w:rPr>
          <w:rFonts w:ascii="Times New Roman" w:cs="Times New Roman" w:eastAsia="Times New Roman" w:hAnsi="Times New Roman"/>
        </w:rPr>
        <w:t xml:space="preserve">Two analytical tracks were run on two separate price sources (Figure 3.1). In line with the approved title, the Koyambedu track (Track B) carries the study’s objectives; the statewide track (Track A) provides a broader comparison and the input to the multi-agent pipeline. Track A uses a statewide Tamil Nadu compilation of Agmarknet records for model development, explanation and the multi-agent decision layer. Track B uses the Koyambedu history-page series for a common-origin, multi-horizon model comparison, the monsoon test, the 2023 tomato case study and the procurement backtest. The sources are deliberately not merged, because they differ in unit (₹/quintal versus ₹/kg), market coverage and price definition.</w:t>
      </w:r>
    </w:p>
    <w:p>
      <w:pPr>
        <w:keepNext/>
        <w:spacing w:after="60" w:before="160"/>
        <w:jc w:val="center"/>
      </w:pPr>
      <w:r>
        <w:drawing>
          <wp:inline distT="0" distB="0" distL="0" distR="0">
            <wp:extent cx="5334000" cy="3457575"/>
            <wp:effectExtent t="0" r="0" b="0" l="0"/>
            <wp:docPr id="1" name="Figure 3.1" descr="Analytical workflow of the AgriSight study" title="Analytical workflow of the AgriSight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575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Analytical workflow of the AgriSight study</w:t>
      </w:r>
    </w:p>
    <w:p>
      <w:pPr>
        <w:spacing w:after="220" w:line="240"/>
        <w:jc w:val="center"/>
      </w:pPr>
      <w:r>
        <w:rPr>
          <w:rFonts w:ascii="Times New Roman" w:cs="Times New Roman" w:eastAsia="Times New Roman" w:hAnsi="Times New Roman"/>
          <w:i/>
          <w:iCs/>
          <w:sz w:val="18"/>
          <w:szCs w:val="18"/>
        </w:rPr>
        <w:t xml:space="preserve">Source: Author’s design.</w:t>
      </w:r>
    </w:p>
    <w:p>
      <w:pPr>
        <w:pStyle w:val="Heading2"/>
        <w:keepNext/>
        <w:spacing w:after="240" w:before="360"/>
      </w:pPr>
      <w:r>
        <w:rPr>
          <w:rFonts w:ascii="Times New Roman" w:cs="Times New Roman" w:eastAsia="Times New Roman" w:hAnsi="Times New Roman"/>
          <w:b/>
          <w:bCs/>
          <w:sz w:val="24"/>
          <w:szCs w:val="24"/>
        </w:rPr>
        <w:t xml:space="preserve">3.2 SOURCES OF DATA</w:t>
      </w:r>
    </w:p>
    <w:p>
      <w:pPr>
        <w:pStyle w:val="TableCaption"/>
        <w:keepNext/>
        <w:spacing w:after="80" w:before="200" w:line="276"/>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Data sources used in the study</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414"/>
        <w:gridCol w:w="2414"/>
        <w:gridCol w:w="2414"/>
        <w:gridCol w:w="1206"/>
      </w:tblGrid>
      <w:tr>
        <w:trPr>
          <w:cantSplit/>
          <w:tblHeader/>
        </w:trPr>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Source</w:t>
            </w:r>
          </w:p>
        </w:tc>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Content</w:t>
            </w:r>
          </w:p>
        </w:tc>
        <w:tc>
          <w:tcPr>
            <w:tcW w:type="dxa" w:w="24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Coverage</w:t>
            </w:r>
          </w:p>
        </w:tc>
        <w:tc>
          <w:tcPr>
            <w:tcW w:type="dxa" w:w="120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Use</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Kaggle-hosted Agmarknet extract (Khandelwal, n.d.)</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Market-level min, max and modal prices (₹/quintal), variety, grade</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414,388 rows; 451 markets; 36 districts; 24 Jan 2024 – 20 Apr 2026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Track A modelling</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Vegetable Market Price, Koyambedu history API</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Daily price value per series (₹/kg), attributed to Koyambedu Vegetable Merchants’ Council</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14,472 values; 8 series × 1,809 days; 4 Nov 2021 – 17 Oct 2026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Track B evaluation</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Open-Meteo Historical Weather API (13.0827° N, 80.2707° E)</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Daily precipitation, rain, max/mean/min temperature for Chennai</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1,004 days; 1 Jan 2024 – 30 Sep 2026</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Features; monsoon test</w:t>
            </w:r>
          </w:p>
        </w:tc>
      </w:tr>
      <w:tr>
        <w:trPr>
          <w:cantSplit/>
        </w:trPr>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Press Information Bureau RSS (optional)</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Official agriculture and price news items</w:t>
            </w:r>
          </w:p>
        </w:tc>
        <w:tc>
          <w:tcPr>
            <w:tcW w:type="dxa" w:w="24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Live mode only; not exercised in reported run</w:t>
            </w:r>
          </w:p>
        </w:tc>
        <w:tc>
          <w:tcPr>
            <w:tcW w:type="dxa" w:w="120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News Reader agent</w:t>
            </w:r>
          </w:p>
        </w:tc>
      </w:tr>
    </w:tbl>
    <w:p>
      <w:pPr>
        <w:spacing w:after="200" w:before="60" w:line="240"/>
      </w:pPr>
      <w:r>
        <w:rPr>
          <w:rFonts w:ascii="Times New Roman" w:cs="Times New Roman" w:eastAsia="Times New Roman" w:hAnsi="Times New Roman"/>
          <w:i/>
          <w:iCs/>
          <w:sz w:val="18"/>
          <w:szCs w:val="18"/>
        </w:rPr>
        <w:t xml:space="preserve">Source: Khandelwal (n.d.); Vegetable Market Price (n.d.); Open-Meteo (n.d.).</w:t>
      </w:r>
    </w:p>
    <w:p>
      <w:pPr>
        <w:spacing w:after="120" w:before="0" w:line="360"/>
        <w:ind w:firstLine="1134"/>
        <w:jc w:val="both"/>
      </w:pPr>
      <w:r>
        <w:rPr>
          <w:rFonts w:ascii="Times New Roman" w:cs="Times New Roman" w:eastAsia="Times New Roman" w:hAnsi="Times New Roman"/>
          <w:b/>
          <w:bCs/>
        </w:rPr>
        <w:t xml:space="preserve">Statewide data.</w:t>
      </w:r>
      <w:r>
        <w:rPr>
          <w:rFonts w:ascii="Times New Roman" w:cs="Times New Roman" w:eastAsia="Times New Roman" w:hAnsi="Times New Roman"/>
        </w:rPr>
        <w:t xml:space="preserve"> The 2024–2026 annual files of the Kaggle dataset (Khandelwal, n.d.) were downloaded and filtered to Tamil Nadu, the eight vegetables and dates from 1 January 2024. The records were then cleaned: column names normalised column names, parses dates and numeric prices, maps commodity names (for example, “French Beans” and “Indian Beans (Seam)” to Beans) and removes duplicate date–market–commodity rows. The upstream compilation was not independently audited.</w:t>
      </w:r>
    </w:p>
    <w:p>
      <w:pPr>
        <w:spacing w:after="120" w:before="0" w:line="360"/>
        <w:ind w:firstLine="1134"/>
        <w:jc w:val="both"/>
      </w:pPr>
      <w:r>
        <w:rPr>
          <w:rFonts w:ascii="Times New Roman" w:cs="Times New Roman" w:eastAsia="Times New Roman" w:hAnsi="Times New Roman"/>
          <w:b/>
          <w:bCs/>
        </w:rPr>
        <w:t xml:space="preserve">Koyambedu data.</w:t>
      </w:r>
      <w:r>
        <w:rPr>
          <w:rFonts w:ascii="Times New Roman" w:cs="Times New Roman" w:eastAsia="Times New Roman" w:hAnsi="Times New Roman"/>
        </w:rPr>
        <w:t xml:space="preserve"> The public history API was queried in 180-day windows for 15 vegetable series, keeping every returned value with its unit label and extraction metadata. One series was then selected per study commodity without combining varieties: Big Onion represents Onion, French Beans is a provisional proxy for Beans, and regular Brinjal is kept separate from Big Brinjal. All values are copied unchanged; no interpolation is applied. The API labels the unit as 1 kg but does not state whether quotes are wholesale or retail.</w:t>
      </w:r>
    </w:p>
    <w:p>
      <w:pPr>
        <w:pStyle w:val="Heading2"/>
        <w:keepNext/>
        <w:spacing w:after="240" w:before="360"/>
      </w:pPr>
      <w:r>
        <w:rPr>
          <w:rFonts w:ascii="Times New Roman" w:cs="Times New Roman" w:eastAsia="Times New Roman" w:hAnsi="Times New Roman"/>
          <w:b/>
          <w:bCs/>
          <w:sz w:val="24"/>
          <w:szCs w:val="24"/>
        </w:rPr>
        <w:t xml:space="preserve">3.3 TARGET RESPONDENTS, SAMPLING METHOD AND UNIT OF ANALYSIS</w:t>
      </w:r>
    </w:p>
    <w:p>
      <w:pPr>
        <w:spacing w:after="120" w:before="0" w:line="360"/>
        <w:ind w:firstLine="1134"/>
        <w:jc w:val="both"/>
      </w:pPr>
      <w:r>
        <w:rPr>
          <w:rFonts w:ascii="Times New Roman" w:cs="Times New Roman" w:eastAsia="Times New Roman" w:hAnsi="Times New Roman"/>
        </w:rPr>
        <w:t xml:space="preserve">The project is analytical rather than survey-based, so there are </w:t>
      </w:r>
      <w:r>
        <w:rPr>
          <w:rFonts w:ascii="Times New Roman" w:cs="Times New Roman" w:eastAsia="Times New Roman" w:hAnsi="Times New Roman"/>
          <w:b/>
          <w:bCs/>
        </w:rPr>
        <w:t xml:space="preserve">no target respondents</w:t>
      </w:r>
      <w:r>
        <w:rPr>
          <w:rFonts w:ascii="Times New Roman" w:cs="Times New Roman" w:eastAsia="Times New Roman" w:hAnsi="Times New Roman"/>
        </w:rPr>
        <w:t xml:space="preserve">: no questionnaire or interview schedule was used, and the observations are market price records and weather readings. The intended users of the findings are procurement buyers (Section 1.2). The study uses all records available in the two sources after the filters above; it is not a sample survey and no probability sampling was involved. For Track A the unit of analysis is the </w:t>
      </w:r>
      <w:r>
        <w:rPr>
          <w:rFonts w:ascii="Times New Roman" w:cs="Times New Roman" w:eastAsia="Times New Roman" w:hAnsi="Times New Roman"/>
          <w:b/>
          <w:bCs/>
        </w:rPr>
        <w:t xml:space="preserve">commodity-day</w:t>
      </w:r>
      <w:r>
        <w:rPr>
          <w:rFonts w:ascii="Times New Roman" w:cs="Times New Roman" w:eastAsia="Times New Roman" w:hAnsi="Times New Roman"/>
        </w:rPr>
        <w:t xml:space="preserve">: market-level modal prices are aggregated to the daily statewide median for each vegetable, giving a feature table of 4,041 commodity-days (26 February 2024 to 20 April 2026) after the first 30 days of each series are consumed by lag construction. For Track B the unit is the </w:t>
      </w:r>
      <w:r>
        <w:rPr>
          <w:rFonts w:ascii="Times New Roman" w:cs="Times New Roman" w:eastAsia="Times New Roman" w:hAnsi="Times New Roman"/>
          <w:b/>
          <w:bCs/>
        </w:rPr>
        <w:t xml:space="preserve">commodity-day at Koyambedu</w:t>
      </w:r>
      <w:r>
        <w:rPr>
          <w:rFonts w:ascii="Times New Roman" w:cs="Times New Roman" w:eastAsia="Times New Roman" w:hAnsi="Times New Roman"/>
        </w:rPr>
        <w:t xml:space="preserve"> (1,809 days per series). Forecast evaluation units are forecast origins × horizons × commodities.</w:t>
      </w:r>
    </w:p>
    <w:p>
      <w:pPr>
        <w:pStyle w:val="Heading2"/>
        <w:keepNext/>
        <w:spacing w:after="240" w:before="360"/>
      </w:pPr>
      <w:r>
        <w:rPr>
          <w:rFonts w:ascii="Times New Roman" w:cs="Times New Roman" w:eastAsia="Times New Roman" w:hAnsi="Times New Roman"/>
          <w:b/>
          <w:bCs/>
          <w:sz w:val="24"/>
          <w:szCs w:val="24"/>
        </w:rPr>
        <w:t xml:space="preserve">3.4 DATA PROCESSING, VARIABLES AND FEATURE ENGINEERING</w:t>
      </w:r>
    </w:p>
    <w:p>
      <w:pPr>
        <w:spacing w:after="120" w:before="0" w:line="360"/>
        <w:ind w:firstLine="1134"/>
        <w:jc w:val="both"/>
      </w:pPr>
      <w:r>
        <w:rPr>
          <w:rFonts w:ascii="Times New Roman" w:cs="Times New Roman" w:eastAsia="Times New Roman" w:hAnsi="Times New Roman"/>
        </w:rPr>
        <w:t xml:space="preserve">Data processing followed a fixed sequence: column names and dates were standardised, commodity names were mapped to the eight study vegetables, duplicate date–market–commodity records were removed, implausible values were flagged or removed (Section 4.2), market records were aggregated to a daily median, and gaps of up to three days were carried forward. The target in both tracks is the daily price level. Predictors were constructed for Track A in the groups listed in Table 3.2. Rolling statistics, exponential moving averages and momentum are computed on the price series shifted by one day, and weather sums and maximum temperature are lagged by one day, so that no same-day information enters a prediction. Three market records were also removed above ₹100,000 per quintal (a Drumstick value of ₹180,000 and Tomato values of ₹353,000 and ₹404,000), which are almost certainly entry errors.</w:t>
      </w:r>
    </w:p>
    <w:p>
      <w:pPr>
        <w:pStyle w:val="TableCaption"/>
        <w:keepNext/>
        <w:spacing w:after="80" w:before="200" w:line="276"/>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Feature groups constructed for the statewide models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908"/>
        <w:gridCol w:w="5723"/>
        <w:gridCol w:w="817"/>
      </w:tblGrid>
      <w:tr>
        <w:trPr>
          <w:cantSplit/>
          <w:tblHeader/>
        </w:trPr>
        <w:tc>
          <w:tcPr>
            <w:tcW w:type="dxa" w:w="19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Group</w:t>
            </w:r>
          </w:p>
        </w:tc>
        <w:tc>
          <w:tcPr>
            <w:tcW w:type="dxa" w:w="572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Features</w:t>
            </w:r>
          </w:p>
        </w:tc>
        <w:tc>
          <w:tcPr>
            <w:tcW w:type="dxa" w:w="81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Count</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Own-price lags</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Price 7, 14, 21 and 30 days earlier</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Rolling statistics</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7/14/30-day mean and standard deviation; 7/14-day min and max (all from t-1)</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Trend and momentum</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7/14/30-day EMA; 7/14/30-day % change; acceleration; position within 52-week range</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Calendar</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Month, week of year, quarter, day of week, year, days since start</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 and festival flags</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SW monsoon (Jun–Sep), NE monsoon (Oct–Dec), Pongal, Tamil New Year, Diwali, Navratri</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Cross-commodity</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Previous-day statewide price of each of the eight vegetables</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Market breadth</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Number of reporting markets on the previous day</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w:t>
            </w:r>
          </w:p>
        </w:tc>
      </w:tr>
      <w:tr>
        <w:trPr>
          <w:cantSplit/>
        </w:trPr>
        <w:tc>
          <w:tcPr>
            <w:tcW w:type="dxa" w:w="19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Weather</w:t>
            </w:r>
          </w:p>
        </w:tc>
        <w:tc>
          <w:tcPr>
            <w:tcW w:type="dxa" w:w="57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7- and 30-day rainfall sums, max temperature (t-1), heat-wave and cold-day flags</w:t>
            </w:r>
          </w:p>
        </w:tc>
        <w:tc>
          <w:tcPr>
            <w:tcW w:type="dxa" w:w="8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w:t>
            </w:r>
          </w:p>
        </w:tc>
      </w:tr>
    </w:tbl>
    <w:p>
      <w:pPr>
        <w:spacing w:after="200" w:before="60" w:line="240"/>
      </w:pPr>
      <w:r>
        <w:rPr>
          <w:rFonts w:ascii="Times New Roman" w:cs="Times New Roman" w:eastAsia="Times New Roman" w:hAnsi="Times New Roman"/>
          <w:i/>
          <w:iCs/>
          <w:sz w:val="18"/>
          <w:szCs w:val="18"/>
        </w:rPr>
        <w:t xml:space="preserve">Source: Author’s analysis. The tree models use 38 of these features (Appendix 2).</w:t>
      </w:r>
    </w:p>
    <w:p>
      <w:pPr>
        <w:spacing w:after="120" w:before="0" w:line="360"/>
        <w:ind w:firstLine="1134"/>
        <w:jc w:val="both"/>
      </w:pPr>
      <w:r>
        <w:rPr>
          <w:rFonts w:ascii="Times New Roman" w:cs="Times New Roman" w:eastAsia="Times New Roman" w:hAnsi="Times New Roman"/>
        </w:rPr>
        <w:t xml:space="preserve">Two properties of this design matter for interpretation and are tested in Chapter 4. First, the target is the same-day price while the newest price information in the features is from the previous day, so the statewide holdout measures </w:t>
      </w:r>
      <w:r>
        <w:rPr>
          <w:rFonts w:ascii="Times New Roman" w:cs="Times New Roman" w:eastAsia="Times New Roman" w:hAnsi="Times New Roman"/>
          <w:b/>
          <w:bCs/>
        </w:rPr>
        <w:t xml:space="preserve">next-day</w:t>
      </w:r>
      <w:r>
        <w:rPr>
          <w:rFonts w:ascii="Times New Roman" w:cs="Times New Roman" w:eastAsia="Times New Roman" w:hAnsi="Times New Roman"/>
        </w:rPr>
        <w:t xml:space="preserve"> forecasting skill even though several features are named after 7- to 30-day lags. Second, the cross-commodity block includes each model’s own commodity, so every model sees its own price from the previous day.</w:t>
      </w:r>
    </w:p>
    <w:p>
      <w:pPr>
        <w:spacing w:after="120" w:before="0" w:line="360"/>
        <w:ind w:firstLine="1134"/>
        <w:jc w:val="both"/>
      </w:pPr>
      <w:r>
        <w:rPr>
          <w:rFonts w:ascii="Times New Roman" w:cs="Times New Roman" w:eastAsia="Times New Roman" w:hAnsi="Times New Roman"/>
        </w:rPr>
        <w:t xml:space="preserve">For Track B, a compact feature set is built for each horizon </w:t>
      </w:r>
      <w:r>
        <w:rPr>
          <w:rFonts w:ascii="Times New Roman" w:cs="Times New Roman" w:eastAsia="Times New Roman" w:hAnsi="Times New Roman"/>
          <w:i/>
          <w:iCs/>
        </w:rPr>
        <w:t xml:space="preserve">h</w:t>
      </w:r>
      <w:r>
        <w:rPr>
          <w:rFonts w:ascii="Times New Roman" w:cs="Times New Roman" w:eastAsia="Times New Roman" w:hAnsi="Times New Roman"/>
        </w:rPr>
        <w:t xml:space="preserve"> directly from information available at the forecast origin: price at lags 1, 7, 14 and 30 days; 7- and 30-day means and standard deviations; 30-day minimum and maximum; 7-day momentum; and sine–cosine encodings of the target date’s day of year and weekday. Each model is trained only on (feature, target) pairs whose target date is on or before the origin.</w:t>
      </w:r>
    </w:p>
    <w:p>
      <w:pPr>
        <w:pStyle w:val="Heading2"/>
        <w:keepNext/>
        <w:spacing w:after="240" w:before="360"/>
      </w:pPr>
      <w:r>
        <w:rPr>
          <w:rFonts w:ascii="Times New Roman" w:cs="Times New Roman" w:eastAsia="Times New Roman" w:hAnsi="Times New Roman"/>
          <w:b/>
          <w:bCs/>
          <w:sz w:val="24"/>
          <w:szCs w:val="24"/>
        </w:rPr>
        <w:t xml:space="preserve">3.5 FORECASTING MODELS</w:t>
      </w:r>
    </w:p>
    <w:p>
      <w:pPr>
        <w:pStyle w:val="TableCaption"/>
        <w:keepNext/>
        <w:spacing w:after="80" w:before="200" w:line="276"/>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Models and key settings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771"/>
        <w:gridCol w:w="5859"/>
        <w:gridCol w:w="818"/>
      </w:tblGrid>
      <w:tr>
        <w:trPr>
          <w:cantSplit/>
          <w:tblHeader/>
        </w:trPr>
        <w:tc>
          <w:tcPr>
            <w:tcW w:type="dxa" w:w="17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w:t>
            </w:r>
          </w:p>
        </w:tc>
        <w:tc>
          <w:tcPr>
            <w:tcW w:type="dxa" w:w="585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Specification</w:t>
            </w:r>
          </w:p>
        </w:tc>
        <w:tc>
          <w:tcPr>
            <w:tcW w:type="dxa" w:w="8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Track</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Naive (last value)</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Forecast = most recent observed price</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Seasonal naive (weekly)</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Forecast = latest observed price on the target weekday; identical to the naive value at 7- and 14-day horizons</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B1</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Grid p∈{1,2}, q∈{0,1}, P,Q∈{0,1}; d from ADF (p&lt;0.05 → d=0); D=1, m=7; best AIC. Track B: (1,1,1)(1,1,1,7)</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Prophet</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Track A: multiplicative yearly and weekly seasonality, Tamil Nadu holiday calendar ±3 days, SW/NE monsoon regressors, changepoint prior 0.05. Track B: yearly and weekly seasonality only</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 Forest</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300 trees, max depth 10, min leaf 5, max features 0.7 (Track B: 120 trees)</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r>
        <w:trPr>
          <w:cantSplit/>
        </w:trPr>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5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400 trees, depth 5, learning rate 0.05, subsample 0.8, L1 0.1, L2 1 (Track B: 100 trees, depth 3)</w:t>
            </w:r>
          </w:p>
        </w:tc>
        <w:tc>
          <w:tcPr>
            <w:tcW w:type="dxa" w:w="8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A, B</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3.6 EVALUATION PROTOCOLS</w:t>
      </w:r>
    </w:p>
    <w:p>
      <w:pPr>
        <w:spacing w:after="120" w:before="0" w:line="360"/>
        <w:ind w:firstLine="1134"/>
        <w:jc w:val="both"/>
      </w:pPr>
      <w:r>
        <w:rPr>
          <w:rFonts w:ascii="Times New Roman" w:cs="Times New Roman" w:eastAsia="Times New Roman" w:hAnsi="Times New Roman"/>
        </w:rPr>
        <w:t xml:space="preserve">Because forecasting is temporal, every evaluation is chronological: models are trained only on data before the test period. Seven protocols were used (Table 3.4). Protocols A1 and A2 follow a standard holdout design; B1 and B2 meet objective S01 with matched origins and horizons; A3 is a robustness check on the information horizon of A2.</w:t>
      </w:r>
    </w:p>
    <w:p>
      <w:pPr>
        <w:pStyle w:val="TableCaption"/>
        <w:keepNext/>
        <w:spacing w:after="80" w:before="200" w:line="276"/>
        <w:jc w:val="center"/>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Evaluation protocols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621"/>
        <w:gridCol w:w="1118"/>
        <w:gridCol w:w="4845"/>
        <w:gridCol w:w="1864"/>
      </w:tblGrid>
      <w:tr>
        <w:trPr>
          <w:cantSplit/>
          <w:tblHeader/>
        </w:trPr>
        <w:tc>
          <w:tcPr>
            <w:tcW w:type="dxa" w:w="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Code</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Data</w:t>
            </w:r>
          </w:p>
        </w:tc>
        <w:tc>
          <w:tcPr>
            <w:tcW w:type="dxa" w:w="484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Design</w:t>
            </w:r>
          </w:p>
        </w:tc>
        <w:tc>
          <w:tcPr>
            <w:tcW w:type="dxa" w:w="18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Horizon</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A1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Statewide</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Static: train on all but last 90 days, forecast 90 days (SARIMA, Prophet); SARIMA also refitted every 7 days</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1–90 days; 1–7 days (WF)</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A2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Statewide</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Last 90 days, expanding window refitted every 30 days (RF, XGBoost)</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Next day</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A3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Statewide</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A2 repeated with naive benchmarks and with features rebuilt from t-7 and earlier</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Next day vs strict 7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B1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origins (1 Jan 2025 to 1 Jul 2026, quarterly), 6 methods, direct forecasts</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14, 30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B2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4 origins (23 Aug 2025 to 18 Aug 2026, 120-day spacing), 5 methods</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14, 30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C1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Delta-accuracy test: XGBoost on price features only vs with weather context; 27 weekly origins over a six-month holdout (Apr–Sep 2026)</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7, 14, 30 days</w:t>
            </w:r>
          </w:p>
        </w:tc>
      </w:tr>
      <w:tr>
        <w:trPr>
          <w:cantSplit/>
        </w:trPr>
        <w:tc>
          <w:tcPr>
            <w:tcW w:type="dxa" w:w="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C2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w:t>
            </w:r>
          </w:p>
        </w:tc>
        <w:tc>
          <w:tcPr>
            <w:tcW w:type="dxa" w:w="484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 2023 scenario: 13 weekly origins, 1 Apr to 24 Jun 2023, model retrained at each origin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14 and 30 days</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3.7 STATISTICAL TOOLS AND ACCURACY MEASURES</w:t>
      </w:r>
    </w:p>
    <w:p>
      <w:pPr>
        <w:spacing w:after="120" w:before="0" w:line="360"/>
        <w:ind w:firstLine="1134"/>
        <w:jc w:val="both"/>
      </w:pPr>
      <w:r>
        <w:rPr>
          <w:rFonts w:ascii="Times New Roman" w:cs="Times New Roman" w:eastAsia="Times New Roman" w:hAnsi="Times New Roman"/>
        </w:rPr>
        <w:t xml:space="preserve">With </w:t>
      </w:r>
      <w:r>
        <w:rPr>
          <w:rFonts w:ascii="Times New Roman" w:cs="Times New Roman" w:eastAsia="Times New Roman" w:hAnsi="Times New Roman"/>
          <w:i/>
          <w:iCs/>
        </w:rPr>
        <w:t xml:space="preserve">y</w:t>
      </w:r>
      <w:r>
        <w:rPr>
          <w:rFonts w:ascii="Times New Roman" w:cs="Times New Roman" w:eastAsia="Times New Roman" w:hAnsi="Times New Roman"/>
        </w:rPr>
        <w:t xml:space="preserve"> the actual and </w:t>
      </w:r>
      <w:r>
        <w:rPr>
          <w:rFonts w:ascii="Times New Roman" w:cs="Times New Roman" w:eastAsia="Times New Roman" w:hAnsi="Times New Roman"/>
          <w:i/>
          <w:iCs/>
        </w:rPr>
        <w:t xml:space="preserve">ŷ</w:t>
      </w:r>
      <w:r>
        <w:rPr>
          <w:rFonts w:ascii="Times New Roman" w:cs="Times New Roman" w:eastAsia="Times New Roman" w:hAnsi="Times New Roman"/>
        </w:rPr>
        <w:t xml:space="preserve"> the forecast price over </w:t>
      </w:r>
      <w:r>
        <w:rPr>
          <w:rFonts w:ascii="Times New Roman" w:cs="Times New Roman" w:eastAsia="Times New Roman" w:hAnsi="Times New Roman"/>
          <w:i/>
          <w:iCs/>
        </w:rPr>
        <w:t xml:space="preserve">n</w:t>
      </w:r>
      <w:r>
        <w:rPr>
          <w:rFonts w:ascii="Times New Roman" w:cs="Times New Roman" w:eastAsia="Times New Roman" w:hAnsi="Times New Roman"/>
        </w:rPr>
        <w:t xml:space="preserve"> scored points, the following measures are reported:</w:t>
      </w:r>
    </w:p>
    <w:p>
      <w:pPr>
        <w:pStyle w:val="ListParagraph"/>
        <w:numPr>
          <w:ilvl w:val="0"/>
          <w:numId w:val="4"/>
        </w:numPr>
        <w:spacing w:after="60" w:line="360"/>
        <w:jc w:val="both"/>
      </w:pPr>
      <w:r>
        <w:rPr>
          <w:rFonts w:ascii="Times New Roman" w:cs="Times New Roman" w:eastAsia="Times New Roman" w:hAnsi="Times New Roman"/>
          <w:b/>
          <w:bCs/>
        </w:rPr>
        <w:t xml:space="preserve">MAE</w:t>
      </w:r>
      <w:r>
        <w:rPr>
          <w:rFonts w:ascii="Times New Roman" w:cs="Times New Roman" w:eastAsia="Times New Roman" w:hAnsi="Times New Roman"/>
        </w:rPr>
        <w:t xml:space="preserve"> = (1/n) Σ |y − ŷ|, in the price unit (₹/quintal or ₹/kg).</w:t>
      </w:r>
    </w:p>
    <w:p>
      <w:pPr>
        <w:pStyle w:val="ListParagraph"/>
        <w:numPr>
          <w:ilvl w:val="0"/>
          <w:numId w:val="4"/>
        </w:numPr>
        <w:spacing w:after="60" w:line="360"/>
        <w:jc w:val="both"/>
      </w:pPr>
      <w:r>
        <w:rPr>
          <w:rFonts w:ascii="Times New Roman" w:cs="Times New Roman" w:eastAsia="Times New Roman" w:hAnsi="Times New Roman"/>
          <w:b/>
          <w:bCs/>
        </w:rPr>
        <w:t xml:space="preserve">RMSE</w:t>
      </w:r>
      <w:r>
        <w:rPr>
          <w:rFonts w:ascii="Times New Roman" w:cs="Times New Roman" w:eastAsia="Times New Roman" w:hAnsi="Times New Roman"/>
        </w:rPr>
        <w:t xml:space="preserve"> = √[(1/n) Σ (y − ŷ)²], which penalises large misses more heavily.</w:t>
      </w:r>
    </w:p>
    <w:p>
      <w:pPr>
        <w:pStyle w:val="ListParagraph"/>
        <w:numPr>
          <w:ilvl w:val="0"/>
          <w:numId w:val="4"/>
        </w:numPr>
        <w:spacing w:after="60" w:line="360"/>
        <w:jc w:val="both"/>
      </w:pPr>
      <w:r>
        <w:rPr>
          <w:rFonts w:ascii="Times New Roman" w:cs="Times New Roman" w:eastAsia="Times New Roman" w:hAnsi="Times New Roman"/>
          <w:b/>
          <w:bCs/>
        </w:rPr>
        <w:t xml:space="preserve">MAPE</w:t>
      </w:r>
      <w:r>
        <w:rPr>
          <w:rFonts w:ascii="Times New Roman" w:cs="Times New Roman" w:eastAsia="Times New Roman" w:hAnsi="Times New Roman"/>
        </w:rPr>
        <w:t xml:space="preserve"> = (100/n) Σ |y − ŷ| / |y|; intuitive but inflated when prices are low.</w:t>
      </w:r>
    </w:p>
    <w:p>
      <w:pPr>
        <w:pStyle w:val="ListParagraph"/>
        <w:numPr>
          <w:ilvl w:val="0"/>
          <w:numId w:val="4"/>
        </w:numPr>
        <w:spacing w:after="60" w:line="360"/>
        <w:jc w:val="both"/>
      </w:pPr>
      <w:r>
        <w:rPr>
          <w:rFonts w:ascii="Times New Roman" w:cs="Times New Roman" w:eastAsia="Times New Roman" w:hAnsi="Times New Roman"/>
          <w:b/>
          <w:bCs/>
        </w:rPr>
        <w:t xml:space="preserve">WAPE</w:t>
      </w:r>
      <w:r>
        <w:rPr>
          <w:rFonts w:ascii="Times New Roman" w:cs="Times New Roman" w:eastAsia="Times New Roman" w:hAnsi="Times New Roman"/>
        </w:rPr>
        <w:t xml:space="preserve"> = 100 × Σ |y − ŷ| / Σ |y|; the primary pooled measure for Track B because it weights errors by price level.</w:t>
      </w:r>
    </w:p>
    <w:p>
      <w:pPr>
        <w:pStyle w:val="ListParagraph"/>
        <w:numPr>
          <w:ilvl w:val="0"/>
          <w:numId w:val="4"/>
        </w:numPr>
        <w:spacing w:after="60" w:line="360"/>
        <w:jc w:val="both"/>
      </w:pPr>
      <w:r>
        <w:rPr>
          <w:rFonts w:ascii="Times New Roman" w:cs="Times New Roman" w:eastAsia="Times New Roman" w:hAnsi="Times New Roman"/>
          <w:b/>
          <w:bCs/>
        </w:rPr>
        <w:t xml:space="preserve">sMAPE</w:t>
      </w:r>
      <w:r>
        <w:rPr>
          <w:rFonts w:ascii="Times New Roman" w:cs="Times New Roman" w:eastAsia="Times New Roman" w:hAnsi="Times New Roman"/>
        </w:rPr>
        <w:t xml:space="preserve"> = (100/n) Σ 2|y − ŷ| / (|y| + |ŷ|).</w:t>
      </w:r>
    </w:p>
    <w:p>
      <w:pPr>
        <w:pStyle w:val="ListParagraph"/>
        <w:numPr>
          <w:ilvl w:val="0"/>
          <w:numId w:val="4"/>
        </w:numPr>
        <w:spacing w:after="60" w:line="360"/>
        <w:jc w:val="both"/>
      </w:pPr>
      <w:r>
        <w:rPr>
          <w:rFonts w:ascii="Times New Roman" w:cs="Times New Roman" w:eastAsia="Times New Roman" w:hAnsi="Times New Roman"/>
          <w:b/>
          <w:bCs/>
        </w:rPr>
        <w:t xml:space="preserve">Diebold–Mariano (DM) test</w:t>
      </w:r>
      <w:r>
        <w:rPr>
          <w:rFonts w:ascii="Times New Roman" w:cs="Times New Roman" w:eastAsia="Times New Roman" w:hAnsi="Times New Roman"/>
        </w:rPr>
        <w:t xml:space="preserve">: tests whether two forecasts have equal expected absolute error, using the mean loss difference with HAC standard errors; used for the delta-accuracy test (protocol C1).</w:t>
      </w:r>
    </w:p>
    <w:p>
      <w:pPr>
        <w:spacing w:after="120" w:before="0" w:line="360"/>
        <w:ind w:firstLine="1134"/>
        <w:jc w:val="both"/>
      </w:pPr>
      <w:r>
        <w:rPr>
          <w:rFonts w:ascii="Times New Roman" w:cs="Times New Roman" w:eastAsia="Times New Roman" w:hAnsi="Times New Roman"/>
        </w:rPr>
        <w:t xml:space="preserve">Other tools used are: the </w:t>
      </w:r>
      <w:r>
        <w:rPr>
          <w:rFonts w:ascii="Times New Roman" w:cs="Times New Roman" w:eastAsia="Times New Roman" w:hAnsi="Times New Roman"/>
          <w:b/>
          <w:bCs/>
        </w:rPr>
        <w:t xml:space="preserve">ADF test</w:t>
      </w:r>
      <w:r>
        <w:rPr>
          <w:rFonts w:ascii="Times New Roman" w:cs="Times New Roman" w:eastAsia="Times New Roman" w:hAnsi="Times New Roman"/>
        </w:rPr>
        <w:t xml:space="preserve"> for stationarity (null hypothesis: unit root); </w:t>
      </w:r>
      <w:r>
        <w:rPr>
          <w:rFonts w:ascii="Times New Roman" w:cs="Times New Roman" w:eastAsia="Times New Roman" w:hAnsi="Times New Roman"/>
          <w:b/>
          <w:bCs/>
        </w:rPr>
        <w:t xml:space="preserve">AIC</w:t>
      </w:r>
      <w:r>
        <w:rPr>
          <w:rFonts w:ascii="Times New Roman" w:cs="Times New Roman" w:eastAsia="Times New Roman" w:hAnsi="Times New Roman"/>
        </w:rPr>
        <w:t xml:space="preserve"> for SARIMA order selection; </w:t>
      </w:r>
      <w:r>
        <w:rPr>
          <w:rFonts w:ascii="Times New Roman" w:cs="Times New Roman" w:eastAsia="Times New Roman" w:hAnsi="Times New Roman"/>
          <w:b/>
          <w:bCs/>
        </w:rPr>
        <w:t xml:space="preserve">rolling z-scores</w:t>
      </w:r>
      <w:r>
        <w:rPr>
          <w:rFonts w:ascii="Times New Roman" w:cs="Times New Roman" w:eastAsia="Times New Roman" w:hAnsi="Times New Roman"/>
        </w:rPr>
        <w:t xml:space="preserve"> (|z| &gt; 2.5 over 30 days) for anomaly screening; </w:t>
      </w:r>
      <w:r>
        <w:rPr>
          <w:rFonts w:ascii="Times New Roman" w:cs="Times New Roman" w:eastAsia="Times New Roman" w:hAnsi="Times New Roman"/>
          <w:b/>
          <w:bCs/>
        </w:rPr>
        <w:t xml:space="preserve">Pearson correlation</w:t>
      </w:r>
      <w:r>
        <w:rPr>
          <w:rFonts w:ascii="Times New Roman" w:cs="Times New Roman" w:eastAsia="Times New Roman" w:hAnsi="Times New Roman"/>
        </w:rPr>
        <w:t xml:space="preserve"> of monthly medians; a </w:t>
      </w:r>
      <w:r>
        <w:rPr>
          <w:rFonts w:ascii="Times New Roman" w:cs="Times New Roman" w:eastAsia="Times New Roman" w:hAnsi="Times New Roman"/>
          <w:b/>
          <w:bCs/>
        </w:rPr>
        <w:t xml:space="preserve">seasonal price index</w:t>
      </w:r>
      <w:r>
        <w:rPr>
          <w:rFonts w:ascii="Times New Roman" w:cs="Times New Roman" w:eastAsia="Times New Roman" w:hAnsi="Times New Roman"/>
        </w:rPr>
        <w:t xml:space="preserve"> (monthly median ÷ annual mean × 100); </w:t>
      </w:r>
      <w:r>
        <w:rPr>
          <w:rFonts w:ascii="Times New Roman" w:cs="Times New Roman" w:eastAsia="Times New Roman" w:hAnsi="Times New Roman"/>
          <w:b/>
          <w:bCs/>
        </w:rPr>
        <w:t xml:space="preserve">SHAP</w:t>
      </w:r>
      <w:r>
        <w:rPr>
          <w:rFonts w:ascii="Times New Roman" w:cs="Times New Roman" w:eastAsia="Times New Roman" w:hAnsi="Times New Roman"/>
        </w:rPr>
        <w:t xml:space="preserve"> values for model attribution; and </w:t>
      </w:r>
      <w:r>
        <w:rPr>
          <w:rFonts w:ascii="Times New Roman" w:cs="Times New Roman" w:eastAsia="Times New Roman" w:hAnsi="Times New Roman"/>
          <w:b/>
          <w:bCs/>
        </w:rPr>
        <w:t xml:space="preserve">OLS regression with HAC (Newey–West) standard errors</w:t>
      </w:r>
      <w:r>
        <w:rPr>
          <w:rFonts w:ascii="Times New Roman" w:cs="Times New Roman" w:eastAsia="Times New Roman" w:hAnsi="Times New Roman"/>
        </w:rPr>
        <w:t xml:space="preserve"> with seven lags for the monsoon test. The monsoon model, estimated per commodity on Koyambedu data, is:</w:t>
      </w:r>
    </w:p>
    <w:p>
      <w:pPr>
        <w:spacing w:after="120" w:before="0" w:line="360"/>
        <w:jc w:val="center"/>
      </w:pPr>
      <w:r>
        <w:rPr>
          <w:rFonts w:ascii="Times New Roman" w:cs="Times New Roman" w:eastAsia="Times New Roman" w:hAnsi="Times New Roman"/>
          <w:i/>
          <w:iCs/>
        </w:rPr>
        <w:t xml:space="preserve">R(t, t+7) = β₀ + β₁ · RainAnomaly₇(t) + β₂ · Momentum₇(t) + ε(t)</w:t>
      </w:r>
      <w:r>
        <w:rPr>
          <w:rFonts w:ascii="Times New Roman" w:cs="Times New Roman" w:eastAsia="Times New Roman" w:hAnsi="Times New Roman"/>
        </w:rPr>
        <w:t xml:space="preserve">          (3.1)</w:t>
      </w:r>
    </w:p>
    <w:p>
      <w:pPr>
        <w:spacing w:after="120" w:before="0" w:line="360"/>
        <w:ind w:firstLine="1134"/>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is the forward seven-day log price change (%), </w:t>
      </w:r>
      <w:r>
        <w:rPr>
          <w:rFonts w:ascii="Times New Roman" w:cs="Times New Roman" w:eastAsia="Times New Roman" w:hAnsi="Times New Roman"/>
          <w:i/>
          <w:iCs/>
        </w:rPr>
        <w:t xml:space="preserve">RainAnomaly₇</w:t>
      </w:r>
      <w:r>
        <w:rPr>
          <w:rFonts w:ascii="Times New Roman" w:cs="Times New Roman" w:eastAsia="Times New Roman" w:hAnsi="Times New Roman"/>
        </w:rPr>
        <w:t xml:space="preserve"> is the seven-day average of daily rainfall expressed as a z-score relative to other days of the same month in the weather record, and </w:t>
      </w:r>
      <w:r>
        <w:rPr>
          <w:rFonts w:ascii="Times New Roman" w:cs="Times New Roman" w:eastAsia="Times New Roman" w:hAnsi="Times New Roman"/>
          <w:i/>
          <w:iCs/>
        </w:rPr>
        <w:t xml:space="preserve">Momentum₇</w:t>
      </w:r>
      <w:r>
        <w:rPr>
          <w:rFonts w:ascii="Times New Roman" w:cs="Times New Roman" w:eastAsia="Times New Roman" w:hAnsi="Times New Roman"/>
        </w:rPr>
        <w:t xml:space="preserve"> is the prior seven-day log price change (%). H2 is supported if β₁ in Equation (3.1) is significant at the 5% level. As the proposal specified, the monsoon effect is also ranked against price-lag features using SHAP, with a </w:t>
      </w:r>
      <w:r>
        <w:rPr>
          <w:rFonts w:ascii="Times New Roman" w:cs="Times New Roman" w:eastAsia="Times New Roman" w:hAnsi="Times New Roman"/>
          <w:b/>
          <w:bCs/>
        </w:rPr>
        <w:t xml:space="preserve">Northeast Monsoon deviation index</w:t>
      </w:r>
      <w:r>
        <w:rPr>
          <w:rFonts w:ascii="Times New Roman" w:cs="Times New Roman" w:eastAsia="Times New Roman" w:hAnsi="Times New Roman"/>
        </w:rPr>
        <w:t xml:space="preserve"> defined as the 30-day rainfall total standardised against the same calendar month, set to zero outside October–December.</w:t>
      </w:r>
    </w:p>
    <w:p>
      <w:pPr>
        <w:pStyle w:val="Heading2"/>
        <w:keepNext/>
        <w:spacing w:after="240" w:before="360"/>
      </w:pPr>
      <w:r>
        <w:rPr>
          <w:rFonts w:ascii="Times New Roman" w:cs="Times New Roman" w:eastAsia="Times New Roman" w:hAnsi="Times New Roman"/>
          <w:b/>
          <w:bCs/>
          <w:sz w:val="24"/>
          <w:szCs w:val="24"/>
        </w:rPr>
        <w:t xml:space="preserve">3.8 MULTI-AGENT DECISION LAYER</w:t>
      </w:r>
    </w:p>
    <w:p>
      <w:pPr>
        <w:spacing w:after="120" w:before="0" w:line="360"/>
        <w:ind w:firstLine="1134"/>
        <w:jc w:val="both"/>
      </w:pPr>
      <w:r>
        <w:rPr>
          <w:rFonts w:ascii="Times New Roman" w:cs="Times New Roman" w:eastAsia="Times New Roman" w:hAnsi="Times New Roman"/>
        </w:rPr>
        <w:t xml:space="preserve">Two implementations of the decision layer were built. The </w:t>
      </w:r>
      <w:r>
        <w:rPr>
          <w:rFonts w:ascii="Times New Roman" w:cs="Times New Roman" w:eastAsia="Times New Roman" w:hAnsi="Times New Roman"/>
          <w:b/>
          <w:bCs/>
        </w:rPr>
        <w:t xml:space="preserve">deterministic agent pipeline</w:t>
      </w:r>
      <w:r>
        <w:rPr>
          <w:rFonts w:ascii="Times New Roman" w:cs="Times New Roman" w:eastAsia="Times New Roman" w:hAnsi="Times New Roman"/>
        </w:rPr>
        <w:t xml:space="preserve"> runs four agents in sequence: a </w:t>
      </w:r>
      <w:r>
        <w:rPr>
          <w:rFonts w:ascii="Times New Roman" w:cs="Times New Roman" w:eastAsia="Times New Roman" w:hAnsi="Times New Roman"/>
          <w:b/>
          <w:bCs/>
        </w:rPr>
        <w:t xml:space="preserve">Data Analyst</w:t>
      </w:r>
      <w:r>
        <w:rPr>
          <w:rFonts w:ascii="Times New Roman" w:cs="Times New Roman" w:eastAsia="Times New Roman" w:hAnsi="Times New Roman"/>
        </w:rPr>
        <w:t xml:space="preserve"> computing 30-day mean, standard deviation, coefficient of variation, z-score of the latest price and seven-day trend; a </w:t>
      </w:r>
      <w:r>
        <w:rPr>
          <w:rFonts w:ascii="Times New Roman" w:cs="Times New Roman" w:eastAsia="Times New Roman" w:hAnsi="Times New Roman"/>
          <w:b/>
          <w:bCs/>
        </w:rPr>
        <w:t xml:space="preserve">Price Forecaster</w:t>
      </w:r>
      <w:r>
        <w:rPr>
          <w:rFonts w:ascii="Times New Roman" w:cs="Times New Roman" w:eastAsia="Times New Roman" w:hAnsi="Times New Roman"/>
        </w:rPr>
        <w:t xml:space="preserve"> producing 7- and 14-day forecasts from the selected tree model; a </w:t>
      </w:r>
      <w:r>
        <w:rPr>
          <w:rFonts w:ascii="Times New Roman" w:cs="Times New Roman" w:eastAsia="Times New Roman" w:hAnsi="Times New Roman"/>
          <w:b/>
          <w:bCs/>
        </w:rPr>
        <w:t xml:space="preserve">Market Intelligence</w:t>
      </w:r>
      <w:r>
        <w:rPr>
          <w:rFonts w:ascii="Times New Roman" w:cs="Times New Roman" w:eastAsia="Times New Roman" w:hAnsi="Times New Roman"/>
        </w:rPr>
        <w:t xml:space="preserve"> agent computing a risk score; and a </w:t>
      </w:r>
      <w:r>
        <w:rPr>
          <w:rFonts w:ascii="Times New Roman" w:cs="Times New Roman" w:eastAsia="Times New Roman" w:hAnsi="Times New Roman"/>
          <w:b/>
          <w:bCs/>
        </w:rPr>
        <w:t xml:space="preserve">Procurement Advisor</w:t>
      </w:r>
      <w:r>
        <w:rPr>
          <w:rFonts w:ascii="Times New Roman" w:cs="Times New Roman" w:eastAsia="Times New Roman" w:hAnsi="Times New Roman"/>
        </w:rPr>
        <w:t xml:space="preserve"> mapping forecast change and risk to an action. The </w:t>
      </w:r>
      <w:r>
        <w:rPr>
          <w:rFonts w:ascii="Times New Roman" w:cs="Times New Roman" w:eastAsia="Times New Roman" w:hAnsi="Times New Roman"/>
          <w:b/>
          <w:bCs/>
        </w:rPr>
        <w:t xml:space="preserve">four-role pipeline</w:t>
      </w:r>
      <w:r>
        <w:rPr>
          <w:rFonts w:ascii="Times New Roman" w:cs="Times New Roman" w:eastAsia="Times New Roman" w:hAnsi="Times New Roman"/>
        </w:rPr>
        <w:t xml:space="preserve"> implements the four roles named in the proposal (Data Collector, Price Forecaster, News Reader and Report Writer), produces recursive day-by-day forecasts, adds a </w:t>
      </w:r>
      <w:r>
        <w:rPr>
          <w:rFonts w:ascii="Times New Roman" w:cs="Times New Roman" w:eastAsia="Times New Roman" w:hAnsi="Times New Roman"/>
          <w:b/>
          <w:bCs/>
        </w:rPr>
        <w:t xml:space="preserve">freshness gate</w:t>
      </w:r>
      <w:r>
        <w:rPr>
          <w:rFonts w:ascii="Times New Roman" w:cs="Times New Roman" w:eastAsia="Times New Roman" w:hAnsi="Times New Roman"/>
        </w:rPr>
        <w:t xml:space="preserve"> that abstains when prices are more than three days old, and can optionally fetch a live weather forecast, filter PIB news and call a locally hosted language model. The rules are shown in Table 3.5.</w:t>
      </w:r>
    </w:p>
    <w:p>
      <w:pPr>
        <w:pStyle w:val="TableCaption"/>
        <w:keepNext/>
        <w:spacing w:after="80" w:before="200" w:line="276"/>
        <w:jc w:val="center"/>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Risk and procurement decision rules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80"/>
        <w:gridCol w:w="6268"/>
      </w:tblGrid>
      <w:tr>
        <w:trPr>
          <w:cantSplit/>
          <w:tblHeader/>
        </w:trPr>
        <w:tc>
          <w:tcPr>
            <w:tcW w:type="dxa" w:w="2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Element</w:t>
            </w:r>
          </w:p>
        </w:tc>
        <w:tc>
          <w:tcPr>
            <w:tcW w:type="dxa" w:w="62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Rule</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Risk score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min(100, 120 × CV₃₀ + 12 × |z₃₀| + 1.2 × |Δ₁₄|), where Δ₁₄ is the 14-day forecast change (%)</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Risk level</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HIGH if score ≥ 55; MEDIUM if ≥ 28; otherwise LOW</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PROCURE NOW</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Δ₁₄ &gt; +5% and risk not HIGH → buy 70–100% within 1–2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DELAY PROCUREMENT</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Δ₁₄ &lt; −5% → defer discretionary volume; reassess in 7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PARTIAL PROCUREMENT</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risk HIGH (and not DELAY) → buy 25–50%, split over 7–14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HEDGE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|Δ₁₄| &gt; 3% → buy 25–50%, split over 7–14 days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HOLD</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otherwise → normal replenishment</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Freshness gate (four-role pipeline)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If latest price is more than 3 days old → ABSTAIN_STALE_DATA for every commodity</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3.9 PROCUREMENT BACKTEST DESIGN</w:t>
      </w:r>
    </w:p>
    <w:p>
      <w:pPr>
        <w:spacing w:after="120" w:before="0" w:line="360"/>
        <w:ind w:firstLine="1134"/>
        <w:jc w:val="both"/>
      </w:pPr>
      <w:r>
        <w:rPr>
          <w:rFonts w:ascii="Times New Roman" w:cs="Times New Roman" w:eastAsia="Times New Roman" w:hAnsi="Times New Roman"/>
        </w:rPr>
        <w:t xml:space="preserve">The backtest applies the rules in Table 3.5 to the stored 14-day XGBoost forecasts from protocol B1 (8 commodities × 7 origins = 56 cases). Each case is a fixed 100 kg lot. The baseline purchases all 100 kg on the forecast date. PROCURE NOW and HOLD do the same; DELAY purchases all of it fourteen days later at the price then observed; PARTIAL PROCUREMENT and HEDGE buy half at the origin and half at day 14. The result is the baseline cost minus the advice cost, so a positive value means the advice was cheaper. The same logic is applied to the 2023 tomato case, at 13 weekly origins from 1 April to 24 June 2023, with a 14-day XGBoost model retrained at each origin on data available up to that date. Storage, transport, spoilage, quality and stockout costs are excluded.</w:t>
      </w:r>
    </w:p>
    <w:p>
      <w:pPr>
        <w:pStyle w:val="Heading2"/>
        <w:keepNext/>
        <w:spacing w:after="240" w:before="360"/>
      </w:pPr>
      <w:r>
        <w:rPr>
          <w:rFonts w:ascii="Times New Roman" w:cs="Times New Roman" w:eastAsia="Times New Roman" w:hAnsi="Times New Roman"/>
          <w:b/>
          <w:bCs/>
          <w:sz w:val="24"/>
          <w:szCs w:val="24"/>
        </w:rPr>
        <w:t xml:space="preserve">3.10 TOOLS AND SOFTWARE</w:t>
      </w:r>
    </w:p>
    <w:p>
      <w:pPr>
        <w:spacing w:after="120" w:before="0" w:line="360"/>
        <w:ind w:firstLine="1134"/>
        <w:jc w:val="both"/>
      </w:pPr>
      <w:r>
        <w:rPr>
          <w:rFonts w:ascii="Times New Roman" w:cs="Times New Roman" w:eastAsia="Times New Roman" w:hAnsi="Times New Roman"/>
        </w:rPr>
        <w:t xml:space="preserve">All analysis was carried out in Python 3.12 using pandas 3.0 and NumPy 2.4 for data handling, statsmodels 0.15 for SARIMA, ADF and HAC regression (Seabold &amp; Perktold, 2010), Prophet 1.5 (Taylor &amp; Letham, 2018), scikit-learn 1.8 for Random Forest (Pedregosa et al., 2011), XGBoost 3.4 (Chen &amp; Guestrin, 2016), SHAP 0.54 (Lundberg &amp; Lee, 2017) and Matplotlib 3.10 for charts. The dashboard uses Streamlit 1.66. The complete pipeline was rerun end to end for this report; the run order and environment are recorded in Appendices 3 and 4.</w:t>
      </w:r>
    </w:p>
    <w:p>
      <w:pPr>
        <w:pStyle w:val="Heading2"/>
        <w:keepNext/>
        <w:spacing w:after="240" w:before="360"/>
      </w:pPr>
      <w:r>
        <w:rPr>
          <w:rFonts w:ascii="Times New Roman" w:cs="Times New Roman" w:eastAsia="Times New Roman" w:hAnsi="Times New Roman"/>
          <w:b/>
          <w:bCs/>
          <w:sz w:val="24"/>
          <w:szCs w:val="24"/>
        </w:rPr>
        <w:t xml:space="preserve">3.11 ETHICAL CONSIDERATIONS</w:t>
      </w:r>
    </w:p>
    <w:p>
      <w:pPr>
        <w:spacing w:after="120" w:before="0" w:line="360"/>
        <w:ind w:firstLine="1134"/>
        <w:jc w:val="both"/>
      </w:pPr>
      <w:r>
        <w:rPr>
          <w:rFonts w:ascii="Times New Roman" w:cs="Times New Roman" w:eastAsia="Times New Roman" w:hAnsi="Times New Roman"/>
        </w:rPr>
        <w:t xml:space="preserve">The study uses only publicly available aggregate market and weather data; no personal data were collected. Sources are cited and their limitations are stated. Results are reported as produced by the code, including results that do not support the original hypotheses, and no procurement savings are claimed that the evidence cannot support.</w:t>
      </w:r>
    </w:p>
    <w:p>
      <w:pPr>
        <w:pStyle w:val="Heading2"/>
        <w:keepNext/>
        <w:spacing w:after="240" w:before="360"/>
      </w:pPr>
      <w:r>
        <w:rPr>
          <w:rFonts w:ascii="Times New Roman" w:cs="Times New Roman" w:eastAsia="Times New Roman" w:hAnsi="Times New Roman"/>
          <w:b/>
          <w:bCs/>
          <w:sz w:val="24"/>
          <w:szCs w:val="24"/>
        </w:rPr>
        <w:t xml:space="preserve">3.12 DEVIATIONS FROM THE APPROVED PROPOSAL</w:t>
      </w:r>
    </w:p>
    <w:p>
      <w:pPr>
        <w:spacing w:after="120" w:before="0" w:line="360"/>
        <w:ind w:firstLine="1134"/>
        <w:jc w:val="both"/>
      </w:pPr>
      <w:r>
        <w:rPr>
          <w:rFonts w:ascii="Times New Roman" w:cs="Times New Roman" w:eastAsia="Times New Roman" w:hAnsi="Times New Roman"/>
        </w:rPr>
        <w:t xml:space="preserve">Table 3.6 lists each point on which the study departs from the approved project proposal, the reason, and where the matter is addressed. None of the changes alters the objectives; most arise from data that could not be obtained.</w:t>
      </w:r>
    </w:p>
    <w:p>
      <w:pPr>
        <w:pStyle w:val="TableCaption"/>
        <w:keepNext/>
        <w:spacing w:after="80" w:before="200" w:line="276"/>
        <w:jc w:val="center"/>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Deviations from the approved proposal and their treatment</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560"/>
        <w:gridCol w:w="2816"/>
        <w:gridCol w:w="3072"/>
      </w:tblGrid>
      <w:tr>
        <w:trPr>
          <w:cantSplit/>
          <w:tblHeader/>
        </w:trPr>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Proposal</w:t>
            </w:r>
          </w:p>
        </w:tc>
        <w:tc>
          <w:tcPr>
            <w:tcW w:type="dxa" w:w="281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This study</w:t>
            </w:r>
          </w:p>
        </w:tc>
        <w:tc>
          <w:tcPr>
            <w:tcW w:type="dxa" w:w="30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Reason / where addressed</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Daily Agmarknet modal prices for Koyambedu, Jan 2010 – Jun 2026</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Koyambedu history-page series, Nov 2021 – Oct 2026; statewide Agmarknet compilation, Jan 2024 – Apr 2026</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Agmarknet’s Koyambedu history could not be retrieved programmatically; the available Agmarknet compilation begins in 2024 (Section 3.2)</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Temporal holdout: train 2010–2022, test 2023–2026</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Rolling-origin evaluation (7 and 4 origins, 2025–2026); 2023 episode as a retrospective scenario</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Shorter history; rolling origins give more independent test points (Section 3.6)</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Comparison against the published SARIMA benchmark</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Qualitative comparison only</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The published study is monthly; daily 7–30-day errors are not comparable (Section 2.2)</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Market arrival volume as a predictor</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Not used</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Not available in either price source (Section 5.5)</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NE Monsoon deviation ranked with SHAP</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SHAP ranking plus a formal HAC regression test</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SHAP ranks contributions but does not test significance (Section 4.11)</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AgriSight runs the best-performing model</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AgriSight runs the tree models; the naive forecast performed best</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Pipeline built before evaluation; recommendation in Section 5.3</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Weekly brief from a locally hosted LLM</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Implemented, run on demand; live run pending</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Section 4.12</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Delta accuracy: XGBoost vs context-enriched AgriSight, six-month holdout</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XGBoost with vs without weather context, six-month holdout</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Historical policy news is not archived, so only weather context could be tested (Section 4.11.3)</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Economic value of the 30-day forecast before July 2023</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Done for 30-day and 14-day forecasts</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Section 4.14</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Tomato reached ₹200/kg, a ~700% spike</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Koyambedu peak ₹160/kg on 1 Aug 2023, 9–12 times the April–May level</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₹200/kg refers to retail reports (Section 1.1)</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Two published Koyambedu SARIMA studies; Bari et al. (2024)</w:t>
            </w:r>
          </w:p>
        </w:tc>
        <w:tc>
          <w:tcPr>
            <w:tcW w:type="dxa" w:w="28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One Koyambedu study cited; Bari et al. not cited</w:t>
            </w:r>
          </w:p>
        </w:tc>
        <w:tc>
          <w:tcPr>
            <w:tcW w:type="dxa" w:w="30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Only Tamilselvi and Mohan Naidu (2020) and not Bari et al. could be located and verified</w:t>
            </w:r>
          </w:p>
        </w:tc>
      </w:tr>
    </w:tbl>
    <w:p>
      <w:pPr>
        <w:spacing w:after="200" w:before="60" w:line="240"/>
      </w:pPr>
      <w:r>
        <w:rPr>
          <w:rFonts w:ascii="Times New Roman" w:cs="Times New Roman" w:eastAsia="Times New Roman" w:hAnsi="Times New Roman"/>
          <w:i/>
          <w:iCs/>
          <w:sz w:val="18"/>
          <w:szCs w:val="18"/>
        </w:rPr>
        <w:t xml:space="preserve">Source: Approved project proposal; author’s analysis.</w:t>
      </w:r>
    </w:p>
    <w:p>
      <w:pPr>
        <w:pStyle w:val="Heading2"/>
        <w:keepNext/>
        <w:spacing w:after="240" w:before="360"/>
      </w:pPr>
      <w:r>
        <w:rPr>
          <w:rFonts w:ascii="Times New Roman" w:cs="Times New Roman" w:eastAsia="Times New Roman" w:hAnsi="Times New Roman"/>
          <w:b/>
          <w:bCs/>
          <w:sz w:val="24"/>
          <w:szCs w:val="24"/>
        </w:rPr>
        <w:t xml:space="preserve">3.13 ASSUMPTIONS, CONSTRAINTS AND LIMITATIONS</w:t>
      </w:r>
    </w:p>
    <w:p>
      <w:pPr>
        <w:spacing w:after="120" w:before="0" w:line="360"/>
        <w:ind w:firstLine="1134"/>
        <w:jc w:val="both"/>
      </w:pPr>
      <w:r>
        <w:rPr>
          <w:rFonts w:ascii="Times New Roman" w:cs="Times New Roman" w:eastAsia="Times New Roman" w:hAnsi="Times New Roman"/>
          <w:b/>
          <w:bCs/>
        </w:rPr>
        <w:t xml:space="preserve">Assumptions.</w:t>
      </w:r>
      <w:r>
        <w:rPr>
          <w:rFonts w:ascii="Times New Roman" w:cs="Times New Roman" w:eastAsia="Times New Roman" w:hAnsi="Times New Roman"/>
        </w:rPr>
        <w:t xml:space="preserve"> The analysis assumes that the published price values are recorded consistently over time; that the statewide daily median is a reasonable summary of reporting markets; that Chennai weather is a usable proxy for conditions affecting Koyambedu supply; and, in the backtests, that a buyer can purchase the required quantity at the observed price on the chosen day.</w:t>
      </w:r>
    </w:p>
    <w:p>
      <w:pPr>
        <w:spacing w:after="120" w:before="0" w:line="360"/>
        <w:ind w:firstLine="1134"/>
        <w:jc w:val="both"/>
      </w:pPr>
      <w:r>
        <w:rPr>
          <w:rFonts w:ascii="Times New Roman" w:cs="Times New Roman" w:eastAsia="Times New Roman" w:hAnsi="Times New Roman"/>
          <w:b/>
          <w:bCs/>
        </w:rPr>
        <w:t xml:space="preserve">Constraints.</w:t>
      </w:r>
      <w:r>
        <w:rPr>
          <w:rFonts w:ascii="Times New Roman" w:cs="Times New Roman" w:eastAsia="Times New Roman" w:hAnsi="Times New Roman"/>
        </w:rPr>
        <w:t xml:space="preserve"> Only free, public secondary data were used. Market arrival volumes, producer-region weather, archived policy news and buyer transaction records were not available, and the price history is shorter than the proposal envisaged (Table 3.6).</w:t>
      </w:r>
    </w:p>
    <w:p>
      <w:pPr>
        <w:spacing w:after="120" w:before="0" w:line="360"/>
        <w:ind w:firstLine="1134"/>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Results describe these series, horizons and periods and may not generalise to other markets or years; procurement results are counterfactual rather than realised savings. The full list of limitations is given in Section 5.5.</w:t>
      </w:r>
    </w:p>
    <w:p>
      <w:pPr>
        <w:pageBreakBefore/>
        <w:spacing w:after="0" w:before="1020"/>
        <w:jc w:val="center"/>
      </w:pPr>
      <w:r>
        <w:rPr>
          <w:rFonts w:ascii="Times New Roman" w:cs="Times New Roman" w:eastAsia="Times New Roman" w:hAnsi="Times New Roman"/>
          <w:b/>
          <w:bCs/>
          <w:sz w:val="28"/>
          <w:szCs w:val="28"/>
        </w:rPr>
        <w:t xml:space="preserve">CHAPTER 4</w:t>
      </w:r>
    </w:p>
    <w:p>
      <w:pPr>
        <w:pStyle w:val="Heading1"/>
        <w:spacing w:after="720" w:before="480"/>
        <w:jc w:val="center"/>
      </w:pPr>
      <w:r>
        <w:rPr>
          <w:rFonts w:ascii="Times New Roman" w:cs="Times New Roman" w:eastAsia="Times New Roman" w:hAnsi="Times New Roman"/>
          <w:b/>
          <w:bCs/>
          <w:sz w:val="28"/>
          <w:szCs w:val="28"/>
        </w:rPr>
        <w:t xml:space="preserve">DATA ANALYSIS AND INTERPRETATION</w:t>
      </w:r>
    </w:p>
    <w:p>
      <w:pPr>
        <w:spacing w:after="120" w:before="0" w:line="360"/>
        <w:ind w:firstLine="1134"/>
        <w:jc w:val="both"/>
      </w:pPr>
      <w:r>
        <w:rPr>
          <w:rFonts w:ascii="Times New Roman" w:cs="Times New Roman" w:eastAsia="Times New Roman" w:hAnsi="Times New Roman"/>
        </w:rPr>
        <w:t xml:space="preserve">This chapter presents the results in the order of the research questions: the data and their quality (Sections 4.1–4.4), statewide forecasting and its diagnosis (4.5–4.7), Koyambedu multi-horizon evaluation (4.8–4.10), the monsoon and weather-context tests (4.11), the multi-agent decision layer (4.12), the procurement backtest and tomato case study (4.13–4.14), and a summary of hypotheses and objectives (4.15–4.16). All figures and tables come from a single end-to-end run of the analysis pipeline (Appendices 3 and 4).</w:t>
      </w:r>
    </w:p>
    <w:p>
      <w:pPr>
        <w:pStyle w:val="Heading2"/>
        <w:keepNext/>
        <w:spacing w:after="240" w:before="360"/>
      </w:pPr>
      <w:r>
        <w:rPr>
          <w:rFonts w:ascii="Times New Roman" w:cs="Times New Roman" w:eastAsia="Times New Roman" w:hAnsi="Times New Roman"/>
          <w:b/>
          <w:bCs/>
          <w:sz w:val="24"/>
          <w:szCs w:val="24"/>
        </w:rPr>
        <w:t xml:space="preserve">4.1 PROFILE OF THE STATEWIDE DATA</w:t>
      </w:r>
    </w:p>
    <w:p>
      <w:pPr>
        <w:spacing w:after="120" w:before="0" w:line="360"/>
        <w:ind w:firstLine="1134"/>
        <w:jc w:val="both"/>
      </w:pPr>
      <w:r>
        <w:rPr>
          <w:rFonts w:ascii="Times New Roman" w:cs="Times New Roman" w:eastAsia="Times New Roman" w:hAnsi="Times New Roman"/>
        </w:rPr>
        <w:t xml:space="preserve">The statewide extract contains 414,388 market-level records for the eight vegetables from 451 markets in 36 districts between 24 January 2024 and 20 April 2026, with no missing values in any field. After aggregation to the daily statewide median and construction of 30-day lag features, the modelling table contains 4,041 commodity-days (about 504 days per vegetable) and 62 columns.</w:t>
      </w:r>
    </w:p>
    <w:p>
      <w:pPr>
        <w:pStyle w:val="TableCaption"/>
        <w:keepNext/>
        <w:spacing w:after="80" w:before="200" w:line="276"/>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Statewide records and daily median modal price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370"/>
        <w:gridCol w:w="1256"/>
        <w:gridCol w:w="799"/>
        <w:gridCol w:w="913"/>
        <w:gridCol w:w="913"/>
        <w:gridCol w:w="913"/>
        <w:gridCol w:w="685"/>
        <w:gridCol w:w="913"/>
        <w:gridCol w:w="686"/>
      </w:tblGrid>
      <w:tr>
        <w:trPr>
          <w:cantSplit/>
          <w:tblHeader/>
        </w:trPr>
        <w:tc>
          <w:tcPr>
            <w:tcW w:type="dxa" w:w="13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2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Market records</w:t>
            </w:r>
          </w:p>
        </w:tc>
        <w:tc>
          <w:tcPr>
            <w:tcW w:type="dxa" w:w="7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Days</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Mean</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Median</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Std. dev.</w:t>
            </w:r>
          </w:p>
        </w:tc>
        <w:tc>
          <w:tcPr>
            <w:tcW w:type="dxa" w:w="6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Min</w:t>
            </w:r>
          </w:p>
        </w:tc>
        <w:tc>
          <w:tcPr>
            <w:tcW w:type="dxa" w:w="91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Max</w:t>
            </w:r>
          </w:p>
        </w:tc>
        <w:tc>
          <w:tcPr>
            <w:tcW w:type="dxa" w:w="6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CV</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48,382</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506</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6,979</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2,032</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16,000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55,050</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4,048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1,028</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6,400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49,072</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2,723</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790</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49,130</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6,061</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2,010</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50,268</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8,240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5,103</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62%</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59,560</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503</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3,993</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3,250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1,543</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45</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47,305</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4,078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951</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55,621</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512</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2,774</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2,500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1,331</w:t>
            </w: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6,500</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w:t>
            </w:r>
          </w:p>
        </w:tc>
      </w:tr>
      <w:tr>
        <w:trPr>
          <w:cantSplit/>
        </w:trPr>
        <w:tc>
          <w:tcPr>
            <w:tcW w:type="dxa" w:w="13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Total / range</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414,388</w:t>
            </w:r>
          </w:p>
        </w:tc>
        <w:tc>
          <w:tcPr>
            <w:tcW w:type="dxa" w:w="7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4,041</w:t>
            </w: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23–62%</w:t>
            </w:r>
          </w:p>
        </w:tc>
      </w:tr>
    </w:tbl>
    <w:p>
      <w:pPr>
        <w:spacing w:after="200" w:before="60" w:line="240"/>
      </w:pPr>
      <w:r>
        <w:rPr>
          <w:rFonts w:ascii="Times New Roman" w:cs="Times New Roman" w:eastAsia="Times New Roman" w:hAnsi="Times New Roman"/>
          <w:i/>
          <w:iCs/>
          <w:sz w:val="18"/>
          <w:szCs w:val="18"/>
        </w:rPr>
        <w:t xml:space="preserve">Source: Author’s analysis of the statewide data.</w:t>
      </w:r>
    </w:p>
    <w:p>
      <w:pPr>
        <w:keepNext/>
        <w:spacing w:after="60" w:before="160"/>
        <w:jc w:val="center"/>
      </w:pPr>
      <w:r>
        <w:drawing>
          <wp:inline distT="0" distB="0" distL="0" distR="0">
            <wp:extent cx="5334000" cy="2867025"/>
            <wp:effectExtent t="0" r="0" b="0" l="0"/>
            <wp:docPr id="1" name="Figure 4.1" descr="Statewide market-level records by commodity and market type" title="Statewide market-level records by commodity and marke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6702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 </w:t>
      </w:r>
      <w:r>
        <w:rPr>
          <w:rFonts w:ascii="Times New Roman" w:cs="Times New Roman" w:eastAsia="Times New Roman" w:hAnsi="Times New Roman"/>
          <w:sz w:val="22"/>
          <w:szCs w:val="22"/>
        </w:rPr>
        <w:t xml:space="preserve">Statewide market-level records by commodity and market type</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Drumstick (CV 62%) and Tomato (48%) are the most volatile series and Potato (23%) and Brinjal (25%) the least, consistent with the perishability ranking expected from the literature. The most important structural fact is shown in Figure 4.1: </w:t>
      </w:r>
      <w:r>
        <w:rPr>
          <w:rFonts w:ascii="Times New Roman" w:cs="Times New Roman" w:eastAsia="Times New Roman" w:hAnsi="Times New Roman"/>
          <w:b/>
          <w:bCs/>
        </w:rPr>
        <w:t xml:space="preserve">90.7% of all records come from Uzhavar Sandhai</w:t>
      </w:r>
      <w:r>
        <w:rPr>
          <w:rFonts w:ascii="Times New Roman" w:cs="Times New Roman" w:eastAsia="Times New Roman" w:hAnsi="Times New Roman"/>
        </w:rPr>
        <w:t xml:space="preserve">, the state’s farmers’ markets, and only 9.3% from other regulated markets. A “statewide median” in this dataset is therefore largely a farmers’-market price. It is closer to a retail price than to the bulk wholesale price a procurement buyer pays, and this conditions every downstream use of Track A.</w:t>
      </w:r>
    </w:p>
    <w:p>
      <w:pPr>
        <w:pStyle w:val="Heading2"/>
        <w:keepNext/>
        <w:spacing w:after="240" w:before="360"/>
      </w:pPr>
      <w:r>
        <w:rPr>
          <w:rFonts w:ascii="Times New Roman" w:cs="Times New Roman" w:eastAsia="Times New Roman" w:hAnsi="Times New Roman"/>
          <w:b/>
          <w:bCs/>
          <w:sz w:val="24"/>
          <w:szCs w:val="24"/>
        </w:rPr>
        <w:t xml:space="preserve">4.2 DATA QUALITY ASSESSMENT</w:t>
      </w:r>
    </w:p>
    <w:p>
      <w:pPr>
        <w:pStyle w:val="TableCaption"/>
        <w:keepNext/>
        <w:spacing w:after="80" w:before="200" w:line="276"/>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Data quality checks on the statewide data</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560"/>
        <w:gridCol w:w="3328"/>
        <w:gridCol w:w="2560"/>
      </w:tblGrid>
      <w:tr>
        <w:trPr>
          <w:cantSplit/>
          <w:tblHeader/>
        </w:trPr>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Check</w:t>
            </w:r>
          </w:p>
        </w:tc>
        <w:tc>
          <w:tcPr>
            <w:tcW w:type="dxa" w:w="33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Result</w:t>
            </w:r>
          </w:p>
        </w:tc>
        <w:tc>
          <w:tcPr>
            <w:tcW w:type="dxa" w:w="2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Treatment</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Missing values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None in any of 10 fields</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None needed</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Duplicate date–market–commodity keys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Removed during cleaning</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Last record kept</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Extreme values &gt; ₹100,000/quintal</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 records (Drumstick ₹180,000; Tomato ₹353,000 and ₹404,000)</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Removed and logged</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Implausibly low values &lt; ₹300/quintal</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11,344 records (2.74%), 7,562 of them in June 2024</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removed; flagged as likely per-kg entries</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Commodity-days affected by low values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104 of 4,041 (12 per vegetable; 20 for Tomato)</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Inflate holdout errors when in the test window</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Rolling z-score anomalies (Tomato, |z| &gt; 2.5)</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34 days</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Retained; genuine spikes and data errors</w:t>
            </w:r>
          </w:p>
        </w:tc>
      </w:tr>
      <w:tr>
        <w:trPr>
          <w:cantSplit/>
        </w:trPr>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Calendar gaps</w:t>
            </w:r>
          </w:p>
        </w:tc>
        <w:tc>
          <w:tcPr>
            <w:tcW w:type="dxa" w:w="33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Up to 3 missing days forward-filled; longer gaps left missing</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Rows with incomplete features dropped</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data are complete but not clean. The cluster of values below ₹300 per quintal in June–July 2024, when the same vegetables otherwise trade at ₹2,000–8,000, is consistent with prices entered per kilogram in a per-quintal field. These days appear as sharp troughs in Figure 4.2. They also strengthen the cross-commodity correlations, because all eight series fall together on those days. They should be corrected at source before any operational use.</w:t>
      </w:r>
    </w:p>
    <w:p>
      <w:pPr>
        <w:keepNext/>
        <w:spacing w:after="60" w:before="160"/>
        <w:jc w:val="center"/>
      </w:pPr>
      <w:r>
        <w:drawing>
          <wp:inline distT="0" distB="0" distL="0" distR="0">
            <wp:extent cx="5334000" cy="2495550"/>
            <wp:effectExtent t="0" r="0" b="0" l="0"/>
            <wp:docPr id="1" name="Figure 4.2" descr="Tomato daily statewide median with rolling-z anomalies and suspected unit errors" title="Tomato daily statewide median with rolling-z anomalies and suspected unit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9555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4.2: </w:t>
      </w:r>
      <w:r>
        <w:rPr>
          <w:rFonts w:ascii="Times New Roman" w:cs="Times New Roman" w:eastAsia="Times New Roman" w:hAnsi="Times New Roman"/>
          <w:sz w:val="22"/>
          <w:szCs w:val="22"/>
        </w:rPr>
        <w:t xml:space="preserve">Tomato daily statewide median with rolling-z anomalies and suspected unit errors</w:t>
      </w:r>
    </w:p>
    <w:p>
      <w:pPr>
        <w:spacing w:after="220" w:line="240"/>
        <w:jc w:val="center"/>
      </w:pPr>
      <w:r>
        <w:rPr>
          <w:rFonts w:ascii="Times New Roman" w:cs="Times New Roman" w:eastAsia="Times New Roman" w:hAnsi="Times New Roman"/>
          <w:i/>
          <w:iCs/>
          <w:sz w:val="18"/>
          <w:szCs w:val="18"/>
        </w:rPr>
        <w:t xml:space="preserve">Source: Author’s analysis.</w:t>
      </w:r>
    </w:p>
    <w:p>
      <w:pPr>
        <w:pStyle w:val="Heading2"/>
        <w:keepNext/>
        <w:spacing w:after="240" w:before="360"/>
      </w:pPr>
      <w:r>
        <w:rPr>
          <w:rFonts w:ascii="Times New Roman" w:cs="Times New Roman" w:eastAsia="Times New Roman" w:hAnsi="Times New Roman"/>
          <w:b/>
          <w:bCs/>
          <w:sz w:val="24"/>
          <w:szCs w:val="24"/>
        </w:rPr>
        <w:t xml:space="preserve">4.3 PRICE BEHAVIOUR: TREND, SEASONALITY AND CO-MOVEMENT</w:t>
      </w:r>
    </w:p>
    <w:p>
      <w:pPr>
        <w:keepNext/>
        <w:spacing w:after="60" w:before="160"/>
        <w:jc w:val="center"/>
      </w:pPr>
      <w:r>
        <w:drawing>
          <wp:inline distT="0" distB="0" distL="0" distR="0">
            <wp:extent cx="5229225" cy="5715000"/>
            <wp:effectExtent t="0" r="0" b="0" l="0"/>
            <wp:docPr id="1" name="Figure 4.3" descr="Monthly median of daily statewide modal price by commodity" title="Monthly median of daily statewide modal price by commo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29225" cy="57150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4.3: </w:t>
      </w:r>
      <w:r>
        <w:rPr>
          <w:rFonts w:ascii="Times New Roman" w:cs="Times New Roman" w:eastAsia="Times New Roman" w:hAnsi="Times New Roman"/>
          <w:sz w:val="22"/>
          <w:szCs w:val="22"/>
        </w:rPr>
        <w:t xml:space="preserve">Monthly median of daily statewide modal price by commodity</w:t>
      </w:r>
    </w:p>
    <w:p>
      <w:pPr>
        <w:spacing w:after="220" w:line="240"/>
        <w:jc w:val="center"/>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2809875"/>
            <wp:effectExtent t="0" r="0" b="0" l="0"/>
            <wp:docPr id="1" name="Figure 4.4" descr="Seasonal price index by calendar month (annual mean = 100)" title="Seasonal price index by calendar month (annual mean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098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4.4: </w:t>
      </w:r>
      <w:r>
        <w:rPr>
          <w:rFonts w:ascii="Times New Roman" w:cs="Times New Roman" w:eastAsia="Times New Roman" w:hAnsi="Times New Roman"/>
          <w:sz w:val="22"/>
          <w:szCs w:val="22"/>
        </w:rPr>
        <w:t xml:space="preserve">Seasonal price index by calendar month (annual mean = 100)</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 of seasonality.</w:t>
      </w:r>
      <w:r>
        <w:rPr>
          <w:rFonts w:ascii="Times New Roman" w:cs="Times New Roman" w:eastAsia="Times New Roman" w:hAnsi="Times New Roman"/>
        </w:rPr>
        <w:t xml:space="preserve"> Over the 27 months available, most vegetables were cheapest between March and May and dearest in the second half of the year. Tomato’s index ranges from 63 in March to 149 in October, Onion’s from 63 in April to 147 in October, and Carrot and Potato peak in August (136 and 117). Drumstick shows the widest swing, from 50 in March to 191 in January. With only about two observations of each calendar month, these indices are indicative rather than stable estimates, but they agree with the national pattern reported by Ajmal et al. (2024) and Roy et al. (2024), which describes tomato as dearest in the second half of the year and onion as peaking towards the end of the year.</w:t>
      </w:r>
    </w:p>
    <w:p>
      <w:pPr>
        <w:keepNext/>
        <w:spacing w:after="60" w:before="160"/>
        <w:jc w:val="center"/>
      </w:pPr>
      <w:r>
        <w:drawing>
          <wp:inline distT="0" distB="0" distL="0" distR="0">
            <wp:extent cx="4267200" cy="3648075"/>
            <wp:effectExtent t="0" r="0" b="0" l="0"/>
            <wp:docPr id="1" name="Figure 4.5" descr="Correlation of monthly median prices across commodities" title="Correlation of monthly median prices across commod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67200" cy="36480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4.5: </w:t>
      </w:r>
      <w:r>
        <w:rPr>
          <w:rFonts w:ascii="Times New Roman" w:cs="Times New Roman" w:eastAsia="Times New Roman" w:hAnsi="Times New Roman"/>
          <w:sz w:val="22"/>
          <w:szCs w:val="22"/>
        </w:rPr>
        <w:t xml:space="preserve">Correlation of monthly median prices across commodities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 of co-movement.</w:t>
      </w:r>
      <w:r>
        <w:rPr>
          <w:rFonts w:ascii="Times New Roman" w:cs="Times New Roman" w:eastAsia="Times New Roman" w:hAnsi="Times New Roman"/>
        </w:rPr>
        <w:t xml:space="preserve"> Brinjal, Cabbage, Carrot and Potato move closely together (r = 0.90–0.93), and Tomato and Onion correlate at 0.80 with each other and with Potato. Drumstick is largely independent of the others (r = 0.27–0.51), consistent with its distinct tree-crop supply cycle. Part of the high co-movement reflects the common unit-error days noted in Section 4.2. Nonetheless, the pattern supports the use of cross-commodity features and matches the horizontal volatility transmission found by Padhi et al. (2023).</w:t>
      </w:r>
    </w:p>
    <w:p>
      <w:pPr>
        <w:pStyle w:val="Heading2"/>
        <w:keepNext/>
        <w:spacing w:after="240" w:before="360"/>
      </w:pPr>
      <w:r>
        <w:rPr>
          <w:rFonts w:ascii="Times New Roman" w:cs="Times New Roman" w:eastAsia="Times New Roman" w:hAnsi="Times New Roman"/>
          <w:b/>
          <w:bCs/>
          <w:sz w:val="24"/>
          <w:szCs w:val="24"/>
        </w:rPr>
        <w:t xml:space="preserve">4.4 STATIONARITY TESTING</w:t>
      </w:r>
    </w:p>
    <w:p>
      <w:pPr>
        <w:pStyle w:val="TableCaption"/>
        <w:keepNext/>
        <w:spacing w:after="80" w:before="200" w:line="276"/>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Augmented Dickey–Fuller test on daily statewide median price</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830"/>
        <w:gridCol w:w="1690"/>
        <w:gridCol w:w="1408"/>
        <w:gridCol w:w="1267"/>
        <w:gridCol w:w="2253"/>
      </w:tblGrid>
      <w:tr>
        <w:trPr>
          <w:cantSplit/>
          <w:tblHeader/>
        </w:trPr>
        <w:tc>
          <w:tcPr>
            <w:tcW w:type="dxa" w:w="18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Commodity</w:t>
            </w:r>
          </w:p>
        </w:tc>
        <w:tc>
          <w:tcPr>
            <w:tcW w:type="dxa" w:w="169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ADF statistic</w:t>
            </w:r>
          </w:p>
        </w:tc>
        <w:tc>
          <w:tcPr>
            <w:tcW w:type="dxa" w:w="14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p-value</w:t>
            </w:r>
          </w:p>
        </w:tc>
        <w:tc>
          <w:tcPr>
            <w:tcW w:type="dxa" w:w="12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Lags used</w:t>
            </w:r>
          </w:p>
        </w:tc>
        <w:tc>
          <w:tcPr>
            <w:tcW w:type="dxa" w:w="225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Decision (5%)</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Beans</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-3.99</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0.0014</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-4.37</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0.0003</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Cabbage</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-4.82</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Carrot</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-4.66</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-5.63</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Onion</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-5.15</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Potato</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-4.43</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0.0003</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r>
        <w:trPr>
          <w:cantSplit/>
        </w:trPr>
        <w:tc>
          <w:tcPr>
            <w:tcW w:type="dxa" w:w="18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Tomato</w:t>
            </w:r>
          </w:p>
        </w:tc>
        <w:tc>
          <w:tcPr>
            <w:tcW w:type="dxa" w:w="169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-6.25</w:t>
            </w:r>
          </w:p>
        </w:tc>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&lt;0.0001</w:t>
            </w:r>
          </w:p>
        </w:tc>
        <w:tc>
          <w:tcPr>
            <w:tcW w:type="dxa" w:w="12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Reject unit root</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null hypothesis of a unit root is rejected for all eight series at the 1% level. Over this window the daily prices are mean-reverting around a level rather than drifting like a random walk. This is consistent with the SARIMA order selection in Table 4.4, where </w:t>
      </w:r>
      <w:r>
        <w:rPr>
          <w:rFonts w:ascii="Times New Roman" w:cs="Times New Roman" w:eastAsia="Times New Roman" w:hAnsi="Times New Roman"/>
          <w:i/>
          <w:iCs/>
        </w:rPr>
        <w:t xml:space="preserve">d</w:t>
      </w:r>
      <w:r>
        <w:rPr>
          <w:rFonts w:ascii="Times New Roman" w:cs="Times New Roman" w:eastAsia="Times New Roman" w:hAnsi="Times New Roman"/>
        </w:rPr>
        <w:t xml:space="preserve"> = 0 was chosen for every commodity, and with the negative momentum coefficients found in Section 4.11.</w:t>
      </w:r>
    </w:p>
    <w:p>
      <w:pPr>
        <w:pStyle w:val="Heading2"/>
        <w:keepNext/>
        <w:spacing w:after="240" w:before="360"/>
      </w:pPr>
      <w:r>
        <w:rPr>
          <w:rFonts w:ascii="Times New Roman" w:cs="Times New Roman" w:eastAsia="Times New Roman" w:hAnsi="Times New Roman"/>
          <w:b/>
          <w:bCs/>
          <w:sz w:val="24"/>
          <w:szCs w:val="24"/>
        </w:rPr>
        <w:t xml:space="preserve">4.5 STATEWIDE FORECASTING RESULTS</w:t>
      </w:r>
    </w:p>
    <w:p>
      <w:pPr>
        <w:pStyle w:val="TableCaption"/>
        <w:keepNext/>
        <w:spacing w:after="80" w:before="200" w:line="276"/>
        <w:jc w:val="center"/>
      </w:pPr>
      <w:r>
        <w:rPr>
          <w:rFonts w:ascii="Times New Roman" w:cs="Times New Roman" w:eastAsia="Times New Roman" w:hAnsi="Times New Roman"/>
          <w:b/>
          <w:bCs/>
          <w:sz w:val="22"/>
          <w:szCs w:val="22"/>
        </w:rPr>
        <w:t xml:space="preserve">Table 4.4: </w:t>
      </w:r>
      <w:r>
        <w:rPr>
          <w:rFonts w:ascii="Times New Roman" w:cs="Times New Roman" w:eastAsia="Times New Roman" w:hAnsi="Times New Roman"/>
          <w:sz w:val="22"/>
          <w:szCs w:val="22"/>
        </w:rPr>
        <w:t xml:space="preserve">Statewide 90-day holdout MAPE (%) by commodity and model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191"/>
        <w:gridCol w:w="1625"/>
        <w:gridCol w:w="975"/>
        <w:gridCol w:w="975"/>
        <w:gridCol w:w="866"/>
        <w:gridCol w:w="975"/>
        <w:gridCol w:w="866"/>
        <w:gridCol w:w="975"/>
      </w:tblGrid>
      <w:tr>
        <w:trPr>
          <w:cantSplit/>
          <w:tblHeader/>
        </w:trPr>
        <w:tc>
          <w:tcPr>
            <w:tcW w:type="dxa" w:w="11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Commodity</w:t>
            </w:r>
          </w:p>
        </w:tc>
        <w:tc>
          <w:tcPr>
            <w:tcW w:type="dxa" w:w="16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SARIMA order</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SARIMA static</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SARIMA 7-day WF</w:t>
            </w:r>
          </w:p>
        </w:tc>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Prophet</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Random Forest</w:t>
            </w:r>
          </w:p>
        </w:tc>
        <w:tc>
          <w:tcPr>
            <w:tcW w:type="dxa" w:w="8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XGBoost</w:t>
            </w:r>
          </w:p>
        </w:tc>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Naive (static)</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Beans</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9.88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5.33</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14.36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11.35</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14.87</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11.93</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Brinjal</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20.62</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6.52</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11.27</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13.05</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14.68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14.33</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Cabbage</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12.66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7.30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8.46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6.11</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7.84</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20.06</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Carrot</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52.24</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11.90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34.52</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10.43</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11.58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29.50</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Drumstick</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(2,0,0)(1,1,1)₇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55.81</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23.07</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31.76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19.97</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25.72</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225.66</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Onion</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(1,0,1)(1,1,1)₇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34.46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7.07</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18.91</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9.36</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11.86</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21.08</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Potato</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21.55</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6.51</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10.34</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8.00</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9.81</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18.49</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(1,0,1)(0,1,1)₇</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53.57</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15.99</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25.05</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12.26</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15.49</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51.65</w:t>
            </w:r>
          </w:p>
        </w:tc>
      </w:tr>
      <w:tr>
        <w:trPr>
          <w:cantSplit/>
        </w:trPr>
        <w:tc>
          <w:tcPr>
            <w:tcW w:type="dxa" w:w="11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Mean</w:t>
            </w:r>
          </w:p>
        </w:tc>
        <w:tc>
          <w:tcPr>
            <w:tcW w:type="dxa" w:w="16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32.60</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10.46</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19.33</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11.32</w:t>
            </w:r>
          </w:p>
        </w:tc>
        <w:tc>
          <w:tcPr>
            <w:tcW w:type="dxa" w:w="8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13.98</w:t>
            </w:r>
          </w:p>
        </w:tc>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49.09</w:t>
            </w:r>
          </w:p>
        </w:tc>
      </w:tr>
    </w:tbl>
    <w:p>
      <w:pPr>
        <w:spacing w:after="200" w:before="60" w:line="240"/>
      </w:pPr>
      <w:r>
        <w:rPr>
          <w:rFonts w:ascii="Times New Roman" w:cs="Times New Roman" w:eastAsia="Times New Roman" w:hAnsi="Times New Roman"/>
          <w:i/>
          <w:iCs/>
          <w:sz w:val="18"/>
          <w:szCs w:val="18"/>
        </w:rPr>
        <w:t xml:space="preserve">Source: Author’s analysis (protocols A1 and A2). “Naive (static)” repeats the last training value for all 90 days.</w:t>
      </w:r>
    </w:p>
    <w:p>
      <w:pPr>
        <w:pStyle w:val="TableCaption"/>
        <w:keepNext/>
        <w:spacing w:after="80" w:before="200" w:line="276"/>
        <w:jc w:val="center"/>
      </w:pPr>
      <w:r>
        <w:rPr>
          <w:rFonts w:ascii="Times New Roman" w:cs="Times New Roman" w:eastAsia="Times New Roman" w:hAnsi="Times New Roman"/>
          <w:b/>
          <w:bCs/>
          <w:sz w:val="22"/>
          <w:szCs w:val="22"/>
        </w:rPr>
        <w:t xml:space="preserve">Table 4.5: </w:t>
      </w:r>
      <w:r>
        <w:rPr>
          <w:rFonts w:ascii="Times New Roman" w:cs="Times New Roman" w:eastAsia="Times New Roman" w:hAnsi="Times New Roman"/>
          <w:sz w:val="22"/>
          <w:szCs w:val="22"/>
        </w:rPr>
        <w:t xml:space="preserve">Statewide holdout RMSE and MAE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448"/>
        <w:gridCol w:w="1207"/>
        <w:gridCol w:w="1207"/>
        <w:gridCol w:w="1086"/>
        <w:gridCol w:w="1207"/>
        <w:gridCol w:w="1086"/>
        <w:gridCol w:w="1207"/>
      </w:tblGrid>
      <w:tr>
        <w:trPr>
          <w:cantSplit/>
          <w:tblHeader/>
        </w:trPr>
        <w:tc>
          <w:tcPr>
            <w:tcW w:type="dxa" w:w="144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SARIMA WF RMSE</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Prophet RMSE</w:t>
            </w:r>
          </w:p>
        </w:tc>
        <w:tc>
          <w:tcPr>
            <w:tcW w:type="dxa" w:w="10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RF RMSE</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RMSE</w:t>
            </w:r>
          </w:p>
        </w:tc>
        <w:tc>
          <w:tcPr>
            <w:tcW w:type="dxa" w:w="10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RF MAE</w:t>
            </w:r>
          </w:p>
        </w:tc>
        <w:tc>
          <w:tcPr>
            <w:tcW w:type="dxa" w:w="12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MAE</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1,121</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800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1,038</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810</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285</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455</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453</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266</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179</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586</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1,505</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551</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614</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421</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468</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1,410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1,979</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1,513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2,019</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1,119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1,352</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230</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591</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428</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259</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333</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257</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380</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322</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383</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247</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302</w:t>
            </w:r>
          </w:p>
        </w:tc>
      </w:tr>
      <w:tr>
        <w:trPr>
          <w:cantSplit/>
        </w:trPr>
        <w:tc>
          <w:tcPr>
            <w:tcW w:type="dxa" w:w="14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344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283</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362</w:t>
            </w:r>
          </w:p>
        </w:tc>
        <w:tc>
          <w:tcPr>
            <w:tcW w:type="dxa" w:w="10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234</w:t>
            </w:r>
          </w:p>
        </w:tc>
        <w:tc>
          <w:tcPr>
            <w:tcW w:type="dxa" w:w="12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291</w:t>
            </w:r>
          </w:p>
        </w:tc>
      </w:tr>
    </w:tbl>
    <w:p>
      <w:pPr>
        <w:spacing w:after="200" w:before="60" w:line="240"/>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3028950"/>
            <wp:effectExtent t="0" r="0" b="0" l="0"/>
            <wp:docPr id="1" name="Figure 4.6" descr="Statewide 90-day holdout MAPE by commodity and model" title="Statewide 90-day holdout MAPE by commodity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2895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4.6: </w:t>
      </w:r>
      <w:r>
        <w:rPr>
          <w:rFonts w:ascii="Times New Roman" w:cs="Times New Roman" w:eastAsia="Times New Roman" w:hAnsi="Times New Roman"/>
          <w:sz w:val="22"/>
          <w:szCs w:val="22"/>
        </w:rPr>
        <w:t xml:space="preserve">Statewide 90-day holdout MAPE by commodity and model</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Three conclusions follow, but they must be read with the protocol differences in Table 3.4 in mind.</w:t>
      </w:r>
    </w:p>
    <w:p>
      <w:pPr>
        <w:pStyle w:val="ListParagraph"/>
        <w:numPr>
          <w:ilvl w:val="0"/>
          <w:numId w:val="4"/>
        </w:numPr>
        <w:spacing w:after="60" w:line="360"/>
        <w:jc w:val="both"/>
      </w:pPr>
      <w:r>
        <w:rPr>
          <w:rFonts w:ascii="Times New Roman" w:cs="Times New Roman" w:eastAsia="Times New Roman" w:hAnsi="Times New Roman"/>
          <w:b/>
          <w:bCs/>
        </w:rPr>
        <w:t xml:space="preserve">Static forecasts are poor.</w:t>
      </w:r>
      <w:r>
        <w:rPr>
          <w:rFonts w:ascii="Times New Roman" w:cs="Times New Roman" w:eastAsia="Times New Roman" w:hAnsi="Times New Roman"/>
        </w:rPr>
        <w:t xml:space="preserve"> A single 90-day SARIMA forecast averages 32.60% MAPE and Prophet 19.33%. Over a full quarter both models largely extrapolate a level or trend that the market then departs from, with errors above 50% for Carrot, Drumstick and Tomato under SARIMA.</w:t>
      </w:r>
    </w:p>
    <w:p>
      <w:pPr>
        <w:pStyle w:val="ListParagraph"/>
        <w:numPr>
          <w:ilvl w:val="0"/>
          <w:numId w:val="4"/>
        </w:numPr>
        <w:spacing w:after="60" w:line="360"/>
        <w:jc w:val="both"/>
      </w:pPr>
      <w:r>
        <w:rPr>
          <w:rFonts w:ascii="Times New Roman" w:cs="Times New Roman" w:eastAsia="Times New Roman" w:hAnsi="Times New Roman"/>
          <w:b/>
          <w:bCs/>
        </w:rPr>
        <w:t xml:space="preserve">Frequent refitting matters more than model class.</w:t>
      </w:r>
      <w:r>
        <w:rPr>
          <w:rFonts w:ascii="Times New Roman" w:cs="Times New Roman" w:eastAsia="Times New Roman" w:hAnsi="Times New Roman"/>
        </w:rPr>
        <w:t xml:space="preserve"> Refitting SARIMA every seven days cuts its error to 10.46%, better than both tree models on average. Random Forest (11.32%) beat XGBoost (13.98%) for all eight commodities.</w:t>
      </w:r>
    </w:p>
    <w:p>
      <w:pPr>
        <w:pStyle w:val="ListParagraph"/>
        <w:numPr>
          <w:ilvl w:val="0"/>
          <w:numId w:val="4"/>
        </w:numPr>
        <w:spacing w:after="60" w:line="360"/>
        <w:jc w:val="both"/>
      </w:pPr>
      <w:r>
        <w:rPr>
          <w:rFonts w:ascii="Times New Roman" w:cs="Times New Roman" w:eastAsia="Times New Roman" w:hAnsi="Times New Roman"/>
          <w:b/>
          <w:bCs/>
        </w:rPr>
        <w:t xml:space="preserve">Note on second-review figures.</w:t>
      </w:r>
      <w:r>
        <w:rPr>
          <w:rFonts w:ascii="Times New Roman" w:cs="Times New Roman" w:eastAsia="Times New Roman" w:hAnsi="Times New Roman"/>
        </w:rPr>
        <w:t xml:space="preserve"> The tree-model error presented at the second review (6.28%) came from an earlier feature build and could not be reproduced. The figures above are the reproducible results and supersede it.</w:t>
      </w:r>
    </w:p>
    <w:p>
      <w:pPr>
        <w:spacing w:after="120" w:before="0" w:line="360"/>
        <w:ind w:firstLine="1134"/>
        <w:jc w:val="both"/>
      </w:pPr>
      <w:r>
        <w:rPr>
          <w:rFonts w:ascii="Times New Roman" w:cs="Times New Roman" w:eastAsia="Times New Roman" w:hAnsi="Times New Roman"/>
        </w:rPr>
        <w:t xml:space="preserve">More importantly, Protocol A2 scores </w:t>
      </w:r>
      <w:r>
        <w:rPr>
          <w:rFonts w:ascii="Times New Roman" w:cs="Times New Roman" w:eastAsia="Times New Roman" w:hAnsi="Times New Roman"/>
          <w:b/>
          <w:bCs/>
        </w:rPr>
        <w:t xml:space="preserve">next-day</w:t>
      </w:r>
      <w:r>
        <w:rPr>
          <w:rFonts w:ascii="Times New Roman" w:cs="Times New Roman" w:eastAsia="Times New Roman" w:hAnsi="Times New Roman"/>
        </w:rPr>
        <w:t xml:space="preserve"> predictions, because the newest price information in the features is from the previous day (Section 3.4). Whether a 10–14% next-day error is good can only be judged against a next-day benchmark. Section 4.6 provides that benchmark.</w:t>
      </w:r>
    </w:p>
    <w:p>
      <w:pPr>
        <w:pStyle w:val="Heading2"/>
        <w:keepNext/>
        <w:spacing w:after="240" w:before="360"/>
      </w:pPr>
      <w:r>
        <w:rPr>
          <w:rFonts w:ascii="Times New Roman" w:cs="Times New Roman" w:eastAsia="Times New Roman" w:hAnsi="Times New Roman"/>
          <w:b/>
          <w:bCs/>
          <w:sz w:val="24"/>
          <w:szCs w:val="24"/>
        </w:rPr>
        <w:t xml:space="preserve">4.6 HORIZON SENSITIVITY: IS THE STATEWIDE ACCURACY REAL FORECASTING SKILL?</w:t>
      </w:r>
    </w:p>
    <w:p>
      <w:pPr>
        <w:spacing w:after="120" w:before="0" w:line="360"/>
        <w:ind w:firstLine="1134"/>
        <w:jc w:val="both"/>
      </w:pPr>
      <w:r>
        <w:rPr>
          <w:rFonts w:ascii="Times New Roman" w:cs="Times New Roman" w:eastAsia="Times New Roman" w:hAnsi="Times New Roman"/>
        </w:rPr>
        <w:t xml:space="preserve">Protocol A3 reruns A2 on the identical 90-day test window and adds two naive benchmarks and two altered XGBoost feature sets: one without the model’s own previous-day price, and one in which every price and cross-commodity feature is rebuilt from information at least seven days old, which is a genuine seven-day-ahead forecast.</w:t>
      </w:r>
    </w:p>
    <w:p>
      <w:pPr>
        <w:pStyle w:val="TableCaption"/>
        <w:keepNext/>
        <w:spacing w:after="80" w:before="200" w:line="276"/>
        <w:jc w:val="center"/>
      </w:pPr>
      <w:r>
        <w:rPr>
          <w:rFonts w:ascii="Times New Roman" w:cs="Times New Roman" w:eastAsia="Times New Roman" w:hAnsi="Times New Roman"/>
          <w:b/>
          <w:bCs/>
          <w:sz w:val="22"/>
          <w:szCs w:val="22"/>
        </w:rPr>
        <w:t xml:space="preserve">Table 4.6: </w:t>
      </w:r>
      <w:r>
        <w:rPr>
          <w:rFonts w:ascii="Times New Roman" w:cs="Times New Roman" w:eastAsia="Times New Roman" w:hAnsi="Times New Roman"/>
          <w:sz w:val="22"/>
          <w:szCs w:val="22"/>
        </w:rPr>
        <w:t xml:space="preserve">Horizon sensitivity on the statewide 90-day test window: MAPE (%)</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430"/>
        <w:gridCol w:w="1430"/>
        <w:gridCol w:w="1428"/>
      </w:tblGrid>
      <w:tr>
        <w:trPr>
          <w:cantSplit/>
          <w:tblHeader/>
        </w:trPr>
        <w:tc>
          <w:tcPr>
            <w:tcW w:type="dxa" w:w="15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Naive: yesterday</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Naive: 7 days ago</w:t>
            </w:r>
          </w:p>
        </w:tc>
        <w:tc>
          <w:tcPr>
            <w:tcW w:type="dxa" w:w="14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(original features)</w:t>
            </w:r>
          </w:p>
        </w:tc>
        <w:tc>
          <w:tcPr>
            <w:tcW w:type="dxa" w:w="14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w/o own t-1</w:t>
            </w:r>
          </w:p>
        </w:tc>
        <w:tc>
          <w:tcPr>
            <w:tcW w:type="dxa" w:w="142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 strict 7-day</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4.08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13.29</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13.85</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13.71</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22.60</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7.91</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12.98</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13.63</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14.34</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4.80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5.99</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6.55</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6.39</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6.08</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4.30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6.77</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10.30</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9.61</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12.71</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16.61</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25.62</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31.21</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94.71</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4.69</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9.76</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10.19</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15.96</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3.54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5.45</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9.32</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8.95</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8.75</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12.08</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21.28</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21.33</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41.59</w:t>
            </w:r>
          </w:p>
        </w:tc>
      </w:tr>
      <w:tr>
        <w:trPr>
          <w:cantSplit/>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Mean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4.20</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9.10</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13.71</w:t>
            </w:r>
          </w:p>
        </w:tc>
        <w:tc>
          <w:tcPr>
            <w:tcW w:type="dxa" w:w="14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14.38</w:t>
            </w:r>
          </w:p>
        </w:tc>
        <w:tc>
          <w:tcPr>
            <w:tcW w:type="dxa" w:w="14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27.09</w:t>
            </w:r>
          </w:p>
        </w:tc>
      </w:tr>
    </w:tbl>
    <w:p>
      <w:pPr>
        <w:spacing w:after="200" w:before="60" w:line="240"/>
      </w:pPr>
      <w:r>
        <w:rPr>
          <w:rFonts w:ascii="Times New Roman" w:cs="Times New Roman" w:eastAsia="Times New Roman" w:hAnsi="Times New Roman"/>
          <w:i/>
          <w:iCs/>
          <w:sz w:val="18"/>
          <w:szCs w:val="18"/>
        </w:rPr>
        <w:t xml:space="preserve">Source: Author’s analysis (protocol A3).</w:t>
      </w:r>
    </w:p>
    <w:p>
      <w:pPr>
        <w:keepNext/>
        <w:spacing w:after="60" w:before="160"/>
        <w:jc w:val="center"/>
      </w:pPr>
      <w:r>
        <w:drawing>
          <wp:inline distT="0" distB="0" distL="0" distR="0">
            <wp:extent cx="5334000" cy="1962150"/>
            <wp:effectExtent t="0" r="0" b="0" l="0"/>
            <wp:docPr id="1" name="Figure 4.7" descr="Mean MAPE of naive benchmarks and XGBoost variants on the same test window" title="Mean MAPE of naive benchmarks and XGBoost variants on the same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6215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4.7: </w:t>
      </w:r>
      <w:r>
        <w:rPr>
          <w:rFonts w:ascii="Times New Roman" w:cs="Times New Roman" w:eastAsia="Times New Roman" w:hAnsi="Times New Roman"/>
          <w:sz w:val="22"/>
          <w:szCs w:val="22"/>
        </w:rPr>
        <w:t xml:space="preserve">Mean MAPE of naive benchmarks and XGBoost variants on the same test window</w:t>
      </w:r>
    </w:p>
    <w:p>
      <w:pPr>
        <w:spacing w:after="220" w:line="240"/>
        <w:jc w:val="center"/>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2809875"/>
            <wp:effectExtent t="0" r="0" b="0" l="0"/>
            <wp:docPr id="1" name="Figure 4.8" descr="Tomato statewide holdout: actual price, Random Forest, XGBoost and yesterday’s price" title="Tomato statewide holdout: actual price, Random Forest, XGBoost and yesterday’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098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4.8: </w:t>
      </w:r>
      <w:r>
        <w:rPr>
          <w:rFonts w:ascii="Times New Roman" w:cs="Times New Roman" w:eastAsia="Times New Roman" w:hAnsi="Times New Roman"/>
          <w:sz w:val="22"/>
          <w:szCs w:val="22"/>
        </w:rPr>
        <w:t xml:space="preserve">Tomato statewide holdout: actual price, Random Forest, XGBoost and yesterday’s price</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This is the pivotal result of Track A. </w:t>
      </w:r>
      <w:r>
        <w:rPr>
          <w:rFonts w:ascii="Times New Roman" w:cs="Times New Roman" w:eastAsia="Times New Roman" w:hAnsi="Times New Roman"/>
          <w:b/>
          <w:bCs/>
        </w:rPr>
        <w:t xml:space="preserve">Simply using yesterday’s price gives 4.20% mean MAPE</w:t>
      </w:r>
      <w:r>
        <w:rPr>
          <w:rFonts w:ascii="Times New Roman" w:cs="Times New Roman" w:eastAsia="Times New Roman" w:hAnsi="Times New Roman"/>
        </w:rPr>
        <w:t xml:space="preserve">, beating XGBoost (13.71%) for every one of the eight commodities. Even the price from seven days earlier (9.10%) beats the tree models’ next-day predictions. When XGBoost is forced to forecast genuinely seven days ahead, its error rises to 27.09%, three times the seven-day naive benchmark, with especially poor results for Drumstick (94.71%) and Tomato (41.59%).</w:t>
      </w:r>
    </w:p>
    <w:p>
      <w:pPr>
        <w:spacing w:after="120" w:before="0" w:line="360"/>
        <w:ind w:firstLine="1134"/>
        <w:jc w:val="both"/>
      </w:pPr>
      <w:r>
        <w:rPr>
          <w:rFonts w:ascii="Times New Roman" w:cs="Times New Roman" w:eastAsia="Times New Roman" w:hAnsi="Times New Roman"/>
        </w:rPr>
        <w:t xml:space="preserve">The tree models therefore do not add forecasting skill on this data; they add noise to a persistence signal. Two causes are likely. First, the daily statewide median is a noisy aggregate of about 80–160 reporting markets whose composition changes day to day. Second, with only about 400 training days per commodity and 38 features, the models overfit transient patterns. For a procurement buyer the practical lesson is that the minimum benchmark for any vendor or in-house forecast is the latest observed price at the horizon of the decision.</w:t>
      </w:r>
    </w:p>
    <w:p>
      <w:pPr>
        <w:pStyle w:val="Heading2"/>
        <w:keepNext/>
        <w:spacing w:after="240" w:before="360"/>
      </w:pPr>
      <w:r>
        <w:rPr>
          <w:rFonts w:ascii="Times New Roman" w:cs="Times New Roman" w:eastAsia="Times New Roman" w:hAnsi="Times New Roman"/>
          <w:b/>
          <w:bCs/>
          <w:sz w:val="24"/>
          <w:szCs w:val="24"/>
        </w:rPr>
        <w:t xml:space="preserve">4.7 MODEL EXPLANATION WITH SHAP</w:t>
      </w:r>
    </w:p>
    <w:p>
      <w:pPr>
        <w:pStyle w:val="TableCaption"/>
        <w:keepNext/>
        <w:spacing w:after="80" w:before="200" w:line="276"/>
        <w:jc w:val="center"/>
      </w:pPr>
      <w:r>
        <w:rPr>
          <w:rFonts w:ascii="Times New Roman" w:cs="Times New Roman" w:eastAsia="Times New Roman" w:hAnsi="Times New Roman"/>
          <w:b/>
          <w:bCs/>
          <w:sz w:val="22"/>
          <w:szCs w:val="22"/>
        </w:rPr>
        <w:t xml:space="preserve">Table 4.7: </w:t>
      </w:r>
      <w:r>
        <w:rPr>
          <w:rFonts w:ascii="Times New Roman" w:cs="Times New Roman" w:eastAsia="Times New Roman" w:hAnsi="Times New Roman"/>
          <w:sz w:val="22"/>
          <w:szCs w:val="22"/>
        </w:rPr>
        <w:t xml:space="preserve">Top three SHAP drivers and share of attribution from own previous-day price</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367"/>
        <w:gridCol w:w="1988"/>
        <w:gridCol w:w="1864"/>
        <w:gridCol w:w="1864"/>
        <w:gridCol w:w="1365"/>
      </w:tblGrid>
      <w:tr>
        <w:trPr>
          <w:cantSplit/>
          <w:tblHeader/>
        </w:trPr>
        <w:tc>
          <w:tcPr>
            <w:tcW w:type="dxa" w:w="13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9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Driver 1</w:t>
            </w:r>
          </w:p>
        </w:tc>
        <w:tc>
          <w:tcPr>
            <w:tcW w:type="dxa" w:w="18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Driver 2</w:t>
            </w:r>
          </w:p>
        </w:tc>
        <w:tc>
          <w:tcPr>
            <w:tcW w:type="dxa" w:w="18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Driver 3</w:t>
            </w:r>
          </w:p>
        </w:tc>
        <w:tc>
          <w:tcPr>
            <w:tcW w:type="dxa" w:w="136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Own t-1 share of |SHAP|</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EMA</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16.64%</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30-day rainfall</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24.98%</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max</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 price (t-1)</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2.58%</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mean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27.19%</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Max temperature</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36.90%</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14-day EMA</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 price (t-1)</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10.42%</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mean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Price t-14</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2.14%</w:t>
            </w:r>
          </w:p>
        </w:tc>
      </w:tr>
      <w:tr>
        <w:trPr>
          <w:cantSplit/>
        </w:trPr>
        <w:tc>
          <w:tcPr>
            <w:tcW w:type="dxa" w:w="13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52-week position</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 price (t-1)</w:t>
            </w:r>
          </w:p>
        </w:tc>
        <w:tc>
          <w:tcPr>
            <w:tcW w:type="dxa" w:w="18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7-day max</w:t>
            </w:r>
          </w:p>
        </w:tc>
        <w:tc>
          <w:tcPr>
            <w:tcW w:type="dxa" w:w="13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19.01%</w:t>
            </w:r>
          </w:p>
        </w:tc>
      </w:tr>
    </w:tbl>
    <w:p>
      <w:pPr>
        <w:spacing w:after="200" w:before="60" w:line="240"/>
      </w:pPr>
      <w:r>
        <w:rPr>
          <w:rFonts w:ascii="Times New Roman" w:cs="Times New Roman" w:eastAsia="Times New Roman" w:hAnsi="Times New Roman"/>
          <w:i/>
          <w:iCs/>
          <w:sz w:val="18"/>
          <w:szCs w:val="18"/>
        </w:rPr>
        <w:t xml:space="preserve">Source: Author’s analysis (XGBoost refit on all eligible rows).</w:t>
      </w:r>
    </w:p>
    <w:p>
      <w:pPr>
        <w:keepNext/>
        <w:spacing w:after="60" w:before="160"/>
        <w:jc w:val="center"/>
      </w:pPr>
      <w:r>
        <w:drawing>
          <wp:inline distT="0" distB="0" distL="0" distR="0">
            <wp:extent cx="5334000" cy="2362200"/>
            <wp:effectExtent t="0" r="0" b="0" l="0"/>
            <wp:docPr id="1" name="Figure 4.9" descr="SHAP attribution: top features averaged over the eight models, and share from the own previous-day price" title="SHAP attribution: top features averaged over the eight models, and share from the own previous-day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3622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4.9: </w:t>
      </w:r>
      <w:r>
        <w:rPr>
          <w:rFonts w:ascii="Times New Roman" w:cs="Times New Roman" w:eastAsia="Times New Roman" w:hAnsi="Times New Roman"/>
          <w:sz w:val="22"/>
          <w:szCs w:val="22"/>
        </w:rPr>
        <w:t xml:space="preserve">SHAP attribution: top features averaged over the eight models, and share from the own previous-day price</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position of the previous day’s price within its 52-week range is the most important feature on average, and each commodity’s </w:t>
      </w:r>
      <w:r>
        <w:rPr>
          <w:rFonts w:ascii="Times New Roman" w:cs="Times New Roman" w:eastAsia="Times New Roman" w:hAnsi="Times New Roman"/>
          <w:b/>
          <w:bCs/>
        </w:rPr>
        <w:t xml:space="preserve">own previous-day price</w:t>
      </w:r>
      <w:r>
        <w:rPr>
          <w:rFonts w:ascii="Times New Roman" w:cs="Times New Roman" w:eastAsia="Times New Roman" w:hAnsi="Times New Roman"/>
        </w:rPr>
        <w:t xml:space="preserve"> (entered through the cross-commodity block) is the top driver for Beans, Brinjal, Carrot and Drumstick, accounting for 17–37% of total attribution in those models. Weather features appear in the top three only for Brinjal (30-day rainfall) and Drumstick (maximum temperature), and calendar and festival flags do not appear at all. In other words, the fitted models mostly encode “tomorrow will look like today, relative to the past year”. This agrees with the horizon-sensitivity result: the information that drives the predictions is persistence, which a naive forecast captures more cleanly. SHAP values describe model behaviour and are not causal effects (Molnar, 2022).</w:t>
      </w:r>
    </w:p>
    <w:p>
      <w:pPr>
        <w:pStyle w:val="Heading2"/>
        <w:keepNext/>
        <w:spacing w:after="240" w:before="360"/>
      </w:pPr>
      <w:r>
        <w:rPr>
          <w:rFonts w:ascii="Times New Roman" w:cs="Times New Roman" w:eastAsia="Times New Roman" w:hAnsi="Times New Roman"/>
          <w:b/>
          <w:bCs/>
          <w:sz w:val="24"/>
          <w:szCs w:val="24"/>
        </w:rPr>
        <w:t xml:space="preserve">4.8 PROFILE OF THE KOYAMBEDU SERIES</w:t>
      </w:r>
    </w:p>
    <w:p>
      <w:pPr>
        <w:pStyle w:val="TableCaption"/>
        <w:keepNext/>
        <w:spacing w:after="80" w:before="200" w:line="276"/>
        <w:jc w:val="center"/>
      </w:pPr>
      <w:r>
        <w:rPr>
          <w:rFonts w:ascii="Times New Roman" w:cs="Times New Roman" w:eastAsia="Times New Roman" w:hAnsi="Times New Roman"/>
          <w:b/>
          <w:bCs/>
          <w:sz w:val="22"/>
          <w:szCs w:val="22"/>
        </w:rPr>
        <w:t xml:space="preserve">Table 4.8: </w:t>
      </w:r>
      <w:r>
        <w:rPr>
          <w:rFonts w:ascii="Times New Roman" w:cs="Times New Roman" w:eastAsia="Times New Roman" w:hAnsi="Times New Roman"/>
          <w:sz w:val="22"/>
          <w:szCs w:val="22"/>
        </w:rPr>
        <w:t xml:space="preserve">Koyambedu daily price series (₹/kg), 4 Nov 2021 – 17 Oct 2026</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304"/>
        <w:gridCol w:w="896"/>
        <w:gridCol w:w="896"/>
        <w:gridCol w:w="896"/>
        <w:gridCol w:w="1024"/>
        <w:gridCol w:w="768"/>
        <w:gridCol w:w="768"/>
        <w:gridCol w:w="896"/>
      </w:tblGrid>
      <w:tr>
        <w:trPr>
          <w:cantSplit/>
          <w:tblHeader/>
        </w:trPr>
        <w:tc>
          <w:tcPr>
            <w:tcW w:type="dxa" w:w="23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Series (study commodity)</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Days</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Mean</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Median</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Std. dev.</w:t>
            </w:r>
          </w:p>
        </w:tc>
        <w:tc>
          <w:tcPr>
            <w:tcW w:type="dxa" w:w="7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Min</w:t>
            </w:r>
          </w:p>
        </w:tc>
        <w:tc>
          <w:tcPr>
            <w:tcW w:type="dxa" w:w="7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Max</w:t>
            </w:r>
          </w:p>
        </w:tc>
        <w:tc>
          <w:tcPr>
            <w:tcW w:type="dxa" w:w="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CV</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French Beans (Beans)</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55.9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54</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185</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38.0%</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84</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26.6%</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24.5</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24.3%</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43.5</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74</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23.3%</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Drumsticks</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80.7</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41.2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51.1%</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 Big (Onion)</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31.6</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34.6%</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29.7</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29</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19.2%</w:t>
            </w:r>
          </w:p>
        </w:tc>
      </w:tr>
      <w:tr>
        <w:trPr>
          <w:cantSplit/>
        </w:trPr>
        <w:tc>
          <w:tcPr>
            <w:tcW w:type="dxa" w:w="23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1,809</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31.7</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160</w:t>
            </w:r>
          </w:p>
        </w:tc>
        <w:tc>
          <w:tcPr>
            <w:tcW w:type="dxa" w:w="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59.4%</w:t>
            </w:r>
          </w:p>
        </w:tc>
      </w:tr>
    </w:tbl>
    <w:p>
      <w:pPr>
        <w:spacing w:after="200" w:before="60" w:line="240"/>
      </w:pPr>
      <w:r>
        <w:rPr>
          <w:rFonts w:ascii="Times New Roman" w:cs="Times New Roman" w:eastAsia="Times New Roman" w:hAnsi="Times New Roman"/>
          <w:i/>
          <w:iCs/>
          <w:sz w:val="18"/>
          <w:szCs w:val="18"/>
        </w:rPr>
        <w:t xml:space="preserve">Source: Author’s analysis of Vegetable Market Price (n.d.).</w:t>
      </w:r>
    </w:p>
    <w:p>
      <w:pPr>
        <w:keepNext/>
        <w:spacing w:after="60" w:before="160"/>
        <w:jc w:val="center"/>
      </w:pPr>
      <w:r>
        <w:drawing>
          <wp:inline distT="0" distB="0" distL="0" distR="0">
            <wp:extent cx="5238750" cy="5715000"/>
            <wp:effectExtent t="0" r="0" b="0" l="0"/>
            <wp:docPr id="1" name="Figure 4.10" descr="Koyambedu history-page daily prices by series" title="Koyambedu history-page daily prices by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57150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4.10: </w:t>
      </w:r>
      <w:r>
        <w:rPr>
          <w:rFonts w:ascii="Times New Roman" w:cs="Times New Roman" w:eastAsia="Times New Roman" w:hAnsi="Times New Roman"/>
          <w:sz w:val="22"/>
          <w:szCs w:val="22"/>
        </w:rPr>
        <w:t xml:space="preserve">Koyambedu history-page daily prices by series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Koyambedu panel is complete (1,809 consecutive days for each series, no gaps) and covers almost five years, including the 2023 tomato episode that the statewide data cannot reach. Tomato is again the most volatile series (CV 59.4%), followed by Drumsticks (51.1%) and French Beans (38.0%). Between 3 July and 22 August 2023 the Tomato series contains 51 daily observations, rising from ₹80/kg to a peak of ₹160/kg on 1 August (+100%) before falling to ₹49/kg on 22 August (−69.4%). Prices in this panel are in ₹/kg and are not directly comparable with the ₹/quintal statewide series.</w:t>
      </w:r>
    </w:p>
    <w:p>
      <w:pPr>
        <w:pStyle w:val="Heading2"/>
        <w:keepNext/>
        <w:spacing w:after="240" w:before="360"/>
      </w:pPr>
      <w:r>
        <w:rPr>
          <w:rFonts w:ascii="Times New Roman" w:cs="Times New Roman" w:eastAsia="Times New Roman" w:hAnsi="Times New Roman"/>
          <w:b/>
          <w:bCs/>
          <w:sz w:val="24"/>
          <w:szCs w:val="24"/>
        </w:rPr>
        <w:t xml:space="preserve">4.9 KOYAMBEDU MULTI-HORIZON MODEL COMPARISON (PROTOCOL B1)</w:t>
      </w:r>
    </w:p>
    <w:p>
      <w:pPr>
        <w:spacing w:after="120" w:before="0" w:line="360"/>
        <w:ind w:firstLine="1134"/>
        <w:jc w:val="both"/>
      </w:pPr>
      <w:r>
        <w:rPr>
          <w:rFonts w:ascii="Times New Roman" w:cs="Times New Roman" w:eastAsia="Times New Roman" w:hAnsi="Times New Roman"/>
        </w:rPr>
        <w:t xml:space="preserve">Six methods were evaluated at the same seven quarterly origins from 1 January 2025 to 1 July 2026, for 7-, 14- and 30-day horizons and all eight series, giving 168 scored forecasts per method.</w:t>
      </w:r>
    </w:p>
    <w:p>
      <w:pPr>
        <w:pStyle w:val="TableCaption"/>
        <w:keepNext/>
        <w:spacing w:after="80" w:before="200" w:line="276"/>
        <w:jc w:val="center"/>
      </w:pPr>
      <w:r>
        <w:rPr>
          <w:rFonts w:ascii="Times New Roman" w:cs="Times New Roman" w:eastAsia="Times New Roman" w:hAnsi="Times New Roman"/>
          <w:b/>
          <w:bCs/>
          <w:sz w:val="22"/>
          <w:szCs w:val="22"/>
        </w:rPr>
        <w:t xml:space="preserve">Table 4.9: </w:t>
      </w:r>
      <w:r>
        <w:rPr>
          <w:rFonts w:ascii="Times New Roman" w:cs="Times New Roman" w:eastAsia="Times New Roman" w:hAnsi="Times New Roman"/>
          <w:sz w:val="22"/>
          <w:szCs w:val="22"/>
        </w:rPr>
        <w:t xml:space="preserve">Koyambedu model comparison pooled over origins, series and horizons (₹/kg)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891"/>
        <w:gridCol w:w="1135"/>
        <w:gridCol w:w="1009"/>
        <w:gridCol w:w="1009"/>
        <w:gridCol w:w="1135"/>
        <w:gridCol w:w="1135"/>
        <w:gridCol w:w="1134"/>
      </w:tblGrid>
      <w:tr>
        <w:trPr>
          <w:cantSplit/>
          <w:tblHeader/>
        </w:trPr>
        <w:tc>
          <w:tcPr>
            <w:tcW w:type="dxa" w:w="18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Forecasts</w:t>
            </w:r>
          </w:p>
        </w:tc>
        <w:tc>
          <w:tcPr>
            <w:tcW w:type="dxa" w:w="10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MAE</w:t>
            </w:r>
          </w:p>
        </w:tc>
        <w:tc>
          <w:tcPr>
            <w:tcW w:type="dxa" w:w="10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RMSE</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MAPE %</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sMAPE %</w:t>
            </w:r>
          </w:p>
        </w:tc>
        <w:tc>
          <w:tcPr>
            <w:tcW w:type="dxa" w:w="11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WAPE %</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NaiveLast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4.89</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9.99</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12.28</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11.57</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11.88</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5.05</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9.83</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12.81</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12.01</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12.28</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SeasonalNaive7</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5.25</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10.07</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13.40</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12.47</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12.76</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6.32</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10.82</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14.35</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13.66</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15.36</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RandomForest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6.84</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11.95</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15.39</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14.62</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16.63</w:t>
            </w:r>
          </w:p>
        </w:tc>
      </w:tr>
      <w:tr>
        <w:trPr>
          <w:cantSplit/>
        </w:trPr>
        <w:tc>
          <w:tcPr>
            <w:tcW w:type="dxa" w:w="18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Prophet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168</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9.80</w:t>
            </w:r>
          </w:p>
        </w:tc>
        <w:tc>
          <w:tcPr>
            <w:tcW w:type="dxa" w:w="10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15.64</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23.46</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22.56</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23.82</w:t>
            </w:r>
          </w:p>
        </w:tc>
      </w:tr>
    </w:tbl>
    <w:p>
      <w:pPr>
        <w:spacing w:after="200" w:before="60" w:line="240"/>
      </w:pPr>
      <w:r>
        <w:rPr>
          <w:rFonts w:ascii="Times New Roman" w:cs="Times New Roman" w:eastAsia="Times New Roman" w:hAnsi="Times New Roman"/>
          <w:i/>
          <w:iCs/>
          <w:sz w:val="18"/>
          <w:szCs w:val="18"/>
        </w:rPr>
        <w:t xml:space="preserve">Source: Author’s analysis (protocol B1).</w:t>
      </w:r>
    </w:p>
    <w:p>
      <w:pPr>
        <w:pStyle w:val="TableCaption"/>
        <w:keepNext/>
        <w:spacing w:after="80" w:before="200" w:line="276"/>
        <w:jc w:val="center"/>
      </w:pPr>
      <w:r>
        <w:rPr>
          <w:rFonts w:ascii="Times New Roman" w:cs="Times New Roman" w:eastAsia="Times New Roman" w:hAnsi="Times New Roman"/>
          <w:b/>
          <w:bCs/>
          <w:sz w:val="22"/>
          <w:szCs w:val="22"/>
        </w:rPr>
        <w:t xml:space="preserve">Table 4.10: </w:t>
      </w:r>
      <w:r>
        <w:rPr>
          <w:rFonts w:ascii="Times New Roman" w:cs="Times New Roman" w:eastAsia="Times New Roman" w:hAnsi="Times New Roman"/>
          <w:sz w:val="22"/>
          <w:szCs w:val="22"/>
        </w:rPr>
        <w:t xml:space="preserve">Koyambedu WAPE (%) by forecast horizon</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938"/>
        <w:gridCol w:w="1837"/>
        <w:gridCol w:w="1837"/>
        <w:gridCol w:w="1836"/>
      </w:tblGrid>
      <w:tr>
        <w:trPr>
          <w:cantSplit/>
          <w:tblHeader/>
        </w:trPr>
        <w:tc>
          <w:tcPr>
            <w:tcW w:type="dxa" w:w="2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w:t>
            </w:r>
          </w:p>
        </w:tc>
        <w:tc>
          <w:tcPr>
            <w:tcW w:type="dxa" w:w="18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7 days</w:t>
            </w:r>
          </w:p>
        </w:tc>
        <w:tc>
          <w:tcPr>
            <w:tcW w:type="dxa" w:w="18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14 days</w:t>
            </w:r>
          </w:p>
        </w:tc>
        <w:tc>
          <w:tcPr>
            <w:tcW w:type="dxa" w:w="18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30 days</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NaiveLast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8.02</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9.27</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18.38</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SeasonalNaive7</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8.02</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9.27</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21.05</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SARIMA</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8.17</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9.61</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19.11</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XGBoost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11.63</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15.71</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18.73</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RandomForest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10.75</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18.01</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21.13</w:t>
            </w:r>
          </w:p>
        </w:tc>
      </w:tr>
      <w:tr>
        <w:trPr>
          <w:cantSplit/>
        </w:trPr>
        <w:tc>
          <w:tcPr>
            <w:tcW w:type="dxa" w:w="2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Prophet</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22.11</w:t>
            </w:r>
          </w:p>
        </w:tc>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23.93</w:t>
            </w:r>
          </w:p>
        </w:tc>
        <w:tc>
          <w:tcPr>
            <w:tcW w:type="dxa" w:w="18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25.42</w:t>
            </w:r>
          </w:p>
        </w:tc>
      </w:tr>
    </w:tbl>
    <w:p>
      <w:pPr>
        <w:spacing w:after="200" w:before="60" w:line="240"/>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2771775"/>
            <wp:effectExtent t="0" r="0" b="0" l="0"/>
            <wp:docPr id="1" name="Figure 4.11" descr="Koyambedu WAPE by forecast horizon and model" title="Koyambedu WAPE by forecast horizon an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7717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4.11: </w:t>
      </w:r>
      <w:r>
        <w:rPr>
          <w:rFonts w:ascii="Times New Roman" w:cs="Times New Roman" w:eastAsia="Times New Roman" w:hAnsi="Times New Roman"/>
          <w:sz w:val="22"/>
          <w:szCs w:val="22"/>
        </w:rPr>
        <w:t xml:space="preserve">Koyambedu WAPE by forecast horizon and model</w:t>
      </w:r>
    </w:p>
    <w:p>
      <w:pPr>
        <w:spacing w:after="220" w:line="240"/>
        <w:jc w:val="center"/>
      </w:pPr>
      <w:r>
        <w:rPr>
          <w:rFonts w:ascii="Times New Roman" w:cs="Times New Roman" w:eastAsia="Times New Roman" w:hAnsi="Times New Roman"/>
          <w:i/>
          <w:iCs/>
          <w:sz w:val="18"/>
          <w:szCs w:val="18"/>
        </w:rPr>
        <w:t xml:space="preserve">Source: Author’s analysis.</w:t>
      </w:r>
    </w:p>
    <w:p>
      <w:pPr>
        <w:pStyle w:val="TableCaption"/>
        <w:keepNext/>
        <w:spacing w:after="80" w:before="200" w:line="276"/>
        <w:jc w:val="center"/>
      </w:pPr>
      <w:r>
        <w:rPr>
          <w:rFonts w:ascii="Times New Roman" w:cs="Times New Roman" w:eastAsia="Times New Roman" w:hAnsi="Times New Roman"/>
          <w:b/>
          <w:bCs/>
          <w:sz w:val="22"/>
          <w:szCs w:val="22"/>
        </w:rPr>
        <w:t xml:space="preserve">Table 4.11: </w:t>
      </w:r>
      <w:r>
        <w:rPr>
          <w:rFonts w:ascii="Times New Roman" w:cs="Times New Roman" w:eastAsia="Times New Roman" w:hAnsi="Times New Roman"/>
          <w:sz w:val="22"/>
          <w:szCs w:val="22"/>
        </w:rPr>
        <w:t xml:space="preserve">Koyambedu WAPE (%) by series and model (lowest in bold)</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664"/>
        <w:gridCol w:w="1024"/>
        <w:gridCol w:w="1280"/>
        <w:gridCol w:w="1024"/>
        <w:gridCol w:w="1024"/>
        <w:gridCol w:w="1280"/>
        <w:gridCol w:w="1152"/>
      </w:tblGrid>
      <w:tr>
        <w:trPr>
          <w:cantSplit/>
          <w:tblHeader/>
        </w:trPr>
        <w:tc>
          <w:tcPr>
            <w:tcW w:type="dxa" w:w="16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Series</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Naive</w:t>
            </w:r>
          </w:p>
        </w:tc>
        <w:tc>
          <w:tcPr>
            <w:tcW w:type="dxa" w:w="12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Seasonal naive</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SARIMA</w:t>
            </w:r>
          </w:p>
        </w:tc>
        <w:tc>
          <w:tcPr>
            <w:tcW w:type="dxa" w:w="102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Prophet</w:t>
            </w:r>
          </w:p>
        </w:tc>
        <w:tc>
          <w:tcPr>
            <w:tcW w:type="dxa" w:w="12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Random Forest</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XGBoost</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5.69</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6.10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6.10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8.24</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4.30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5.11</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11.02</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13.78</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12.90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17.07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12.81</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11.62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9.07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9.62</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14.79</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8.49</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8.42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Drumsticks</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17.13</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17.13</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16.61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30.75</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25.97</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22.74</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French Beans</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9.89</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9.40</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9.85</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22.25</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16.41</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15.98</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 Big</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6.77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11.77</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8.85</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27.37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11.06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8.82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9.36</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11.48</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10.17</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9.92</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12.72</w:t>
            </w:r>
          </w:p>
        </w:tc>
      </w:tr>
      <w:tr>
        <w:trPr>
          <w:cantSplit/>
        </w:trPr>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20.98</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21.34</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20.81</w:t>
            </w:r>
          </w:p>
        </w:tc>
        <w:tc>
          <w:tcPr>
            <w:tcW w:type="dxa" w:w="10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56.57</w:t>
            </w:r>
          </w:p>
        </w:tc>
        <w:tc>
          <w:tcPr>
            <w:tcW w:type="dxa" w:w="12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27.78</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28.29</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At procurement-relevant horizons the </w:t>
      </w:r>
      <w:r>
        <w:rPr>
          <w:rFonts w:ascii="Times New Roman" w:cs="Times New Roman" w:eastAsia="Times New Roman" w:hAnsi="Times New Roman"/>
          <w:b/>
          <w:bCs/>
        </w:rPr>
        <w:t xml:space="preserve">last observed price is the best single forecast</w:t>
      </w:r>
      <w:r>
        <w:rPr>
          <w:rFonts w:ascii="Times New Roman" w:cs="Times New Roman" w:eastAsia="Times New Roman" w:hAnsi="Times New Roman"/>
        </w:rPr>
        <w:t xml:space="preserve"> (11.88% WAPE), with SARIMA a close second (12.28%). Both tree models and Prophet are worse at every horizon. The ranking is stable across horizons: at 7 days the naive, seasonal-naive and SARIMA forecasts are all near 8%, and by 30 days all methods converge at 18–25%. The tree models win only for Brinjal (Random Forest, 4.30%) and Carrot (XGBoost, 8.42%), both low-volatility series. The naive forecast or SARIMA wins for the volatile ones (Tomato, Drumsticks, Onion, French Beans). The seasonal naive equals the naive forecast at 7 and 14 days by construction (Table 3.3), so its separate contribution appears only at 30 days, where it is worse. These results are consistent with the M-competition evidence that complex methods frequently fail to beat simple ones (Makridakis et al., 2018a).</w:t>
      </w:r>
    </w:p>
    <w:p>
      <w:pPr>
        <w:pStyle w:val="Heading2"/>
        <w:keepNext/>
        <w:spacing w:after="240" w:before="360"/>
      </w:pPr>
      <w:r>
        <w:rPr>
          <w:rFonts w:ascii="Times New Roman" w:cs="Times New Roman" w:eastAsia="Times New Roman" w:hAnsi="Times New Roman"/>
          <w:b/>
          <w:bCs/>
          <w:sz w:val="24"/>
          <w:szCs w:val="24"/>
        </w:rPr>
        <w:t xml:space="preserve">4.10 MATCHED-HORIZON ROBUSTNESS CHECK (PROTOCOL B2)</w:t>
      </w:r>
    </w:p>
    <w:p>
      <w:pPr>
        <w:pStyle w:val="TableCaption"/>
        <w:keepNext/>
        <w:spacing w:after="80" w:before="200" w:line="276"/>
        <w:jc w:val="center"/>
      </w:pPr>
      <w:r>
        <w:rPr>
          <w:rFonts w:ascii="Times New Roman" w:cs="Times New Roman" w:eastAsia="Times New Roman" w:hAnsi="Times New Roman"/>
          <w:b/>
          <w:bCs/>
          <w:sz w:val="22"/>
          <w:szCs w:val="22"/>
        </w:rPr>
        <w:t xml:space="preserve">Table 4.12: </w:t>
      </w:r>
      <w:r>
        <w:rPr>
          <w:rFonts w:ascii="Times New Roman" w:cs="Times New Roman" w:eastAsia="Times New Roman" w:hAnsi="Times New Roman"/>
          <w:sz w:val="22"/>
          <w:szCs w:val="22"/>
        </w:rPr>
        <w:t xml:space="preserve">Koyambedu matched-horizon evaluation, 4 origins: mean MAPE (%) and MAE (₹/kg)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12"/>
        <w:gridCol w:w="1056"/>
        <w:gridCol w:w="1056"/>
        <w:gridCol w:w="1056"/>
        <w:gridCol w:w="1056"/>
        <w:gridCol w:w="1056"/>
        <w:gridCol w:w="1056"/>
      </w:tblGrid>
      <w:tr>
        <w:trPr>
          <w:cantSplit/>
          <w:tblHeader/>
        </w:trPr>
        <w:tc>
          <w:tcPr>
            <w:tcW w:type="dxa" w:w="21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Model</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MAPE 7d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MAPE 14d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MAPE 30d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MAE 7d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MAE 14d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MAE 30d</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Naive (last value)</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8.58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12.94</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17.31</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3.44</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5.78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6.72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SARIMA</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8.65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13.93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17.80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3.91</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6.65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7.48</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Random Forest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9.85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15.45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17.97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4.62</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7.13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7.22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XGBoost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9.06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16.19</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18.38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4.26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7.07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7.60</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Prophet</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17.27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22.54</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25.99</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8.35</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11.16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12.85</w:t>
            </w:r>
          </w:p>
        </w:tc>
      </w:tr>
    </w:tbl>
    <w:p>
      <w:pPr>
        <w:spacing w:after="200" w:before="60" w:line="240"/>
      </w:pPr>
      <w:r>
        <w:rPr>
          <w:rFonts w:ascii="Times New Roman" w:cs="Times New Roman" w:eastAsia="Times New Roman" w:hAnsi="Times New Roman"/>
          <w:i/>
          <w:iCs/>
          <w:sz w:val="18"/>
          <w:szCs w:val="18"/>
        </w:rPr>
        <w:t xml:space="preserve">Source: Author’s analysis (protocol B2).</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 second, independent set of four origins (23 August 2025 to 18 August 2026) gives the same ordering: the naive forecast is lowest at all three horizons (8.58%, 12.94% and 17.31% MAPE), SARIMA is close behind, and Prophet is worst. With only four origins the differences between the naive forecast, SARIMA and the tree models at 30 days are small and would not pass a formal significance test. The consistent conclusion across B1 and B2 is that </w:t>
      </w:r>
      <w:r>
        <w:rPr>
          <w:rFonts w:ascii="Times New Roman" w:cs="Times New Roman" w:eastAsia="Times New Roman" w:hAnsi="Times New Roman"/>
          <w:b/>
          <w:bCs/>
        </w:rPr>
        <w:t xml:space="preserve">no model reliably beats the naive benchmark</w:t>
      </w:r>
      <w:r>
        <w:rPr>
          <w:rFonts w:ascii="Times New Roman" w:cs="Times New Roman" w:eastAsia="Times New Roman" w:hAnsi="Times New Roman"/>
        </w:rPr>
        <w:t xml:space="preserve">, which answers research question 2 and leaves benchmark hypothesis H0 unrejected.</w:t>
      </w:r>
    </w:p>
    <w:p>
      <w:pPr>
        <w:pStyle w:val="Heading2"/>
        <w:keepNext/>
        <w:spacing w:after="240" w:before="360"/>
      </w:pPr>
      <w:r>
        <w:rPr>
          <w:rFonts w:ascii="Times New Roman" w:cs="Times New Roman" w:eastAsia="Times New Roman" w:hAnsi="Times New Roman"/>
          <w:b/>
          <w:bCs/>
          <w:sz w:val="24"/>
          <w:szCs w:val="24"/>
        </w:rPr>
        <w:t xml:space="preserve">4.11 NORTHEAST MONSOON AND WEATHER CONTEXT</w:t>
      </w:r>
    </w:p>
    <w:p>
      <w:pPr>
        <w:pStyle w:val="Heading3"/>
        <w:keepNext/>
        <w:spacing w:after="120" w:before="240"/>
      </w:pPr>
      <w:r>
        <w:rPr>
          <w:rFonts w:ascii="Times New Roman" w:cs="Times New Roman" w:eastAsia="Times New Roman" w:hAnsi="Times New Roman"/>
          <w:b/>
          <w:bCs/>
          <w:sz w:val="24"/>
          <w:szCs w:val="24"/>
        </w:rPr>
        <w:t xml:space="preserve">4.11.1 Regression test of the monsoon effect</w:t>
      </w:r>
    </w:p>
    <w:p>
      <w:pPr>
        <w:spacing w:after="120" w:before="0" w:line="360"/>
        <w:ind w:firstLine="1134"/>
        <w:jc w:val="both"/>
      </w:pPr>
      <w:r>
        <w:rPr>
          <w:rFonts w:ascii="Times New Roman" w:cs="Times New Roman" w:eastAsia="Times New Roman" w:hAnsi="Times New Roman"/>
        </w:rPr>
        <w:t xml:space="preserve">Observed Chennai rainfall during the October–December Northeast Monsoon was 846.7 mm in 2024 and 965.5 mm in 2025, the only two complete seasons in the weather file. The HAC regression of Section 3.7 was estimated for each Koyambedu series on 1,000 overlapping daily observations.</w:t>
      </w:r>
    </w:p>
    <w:p>
      <w:pPr>
        <w:pStyle w:val="TableCaption"/>
        <w:keepNext/>
        <w:spacing w:after="80" w:before="200" w:line="276"/>
        <w:jc w:val="center"/>
      </w:pPr>
      <w:r>
        <w:rPr>
          <w:rFonts w:ascii="Times New Roman" w:cs="Times New Roman" w:eastAsia="Times New Roman" w:hAnsi="Times New Roman"/>
          <w:b/>
          <w:bCs/>
          <w:sz w:val="22"/>
          <w:szCs w:val="22"/>
        </w:rPr>
        <w:t xml:space="preserve">Table 4.13: </w:t>
      </w:r>
      <w:r>
        <w:rPr>
          <w:rFonts w:ascii="Times New Roman" w:cs="Times New Roman" w:eastAsia="Times New Roman" w:hAnsi="Times New Roman"/>
          <w:sz w:val="22"/>
          <w:szCs w:val="22"/>
        </w:rPr>
        <w:t xml:space="preserve">HAC regression of forward 7-day price return on rainfall anomaly and prior momentum</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475"/>
        <w:gridCol w:w="805"/>
        <w:gridCol w:w="1073"/>
        <w:gridCol w:w="1073"/>
        <w:gridCol w:w="939"/>
        <w:gridCol w:w="1341"/>
        <w:gridCol w:w="939"/>
        <w:gridCol w:w="803"/>
      </w:tblGrid>
      <w:tr>
        <w:trPr>
          <w:cantSplit/>
          <w:tblHeader/>
        </w:trPr>
        <w:tc>
          <w:tcPr>
            <w:tcW w:type="dxa" w:w="14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n</w:t>
            </w:r>
          </w:p>
        </w:tc>
        <w:tc>
          <w:tcPr>
            <w:tcW w:type="dxa" w:w="10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β₁ rain</w:t>
            </w:r>
          </w:p>
        </w:tc>
        <w:tc>
          <w:tcPr>
            <w:tcW w:type="dxa" w:w="10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HAC s.e.</w:t>
            </w:r>
          </w:p>
        </w:tc>
        <w:tc>
          <w:tcPr>
            <w:tcW w:type="dxa" w:w="9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 (β₁)</w:t>
            </w:r>
          </w:p>
        </w:tc>
        <w:tc>
          <w:tcPr>
            <w:tcW w:type="dxa" w:w="13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β₂ momentum</w:t>
            </w:r>
          </w:p>
        </w:tc>
        <w:tc>
          <w:tcPr>
            <w:tcW w:type="dxa" w:w="9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p (β₂)</w:t>
            </w:r>
          </w:p>
        </w:tc>
        <w:tc>
          <w:tcPr>
            <w:tcW w:type="dxa" w:w="80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R²</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2.73</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2.43</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0.262</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-0.086</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0.021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0.013</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-0.41</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1.74</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0.815</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-0.148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0.020</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0.022</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0.98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0.921</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-0.270</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0.073</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-0.56</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1.15</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0.622</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-0.317</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0.101</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-0.79</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0.88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0.371</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-0.171</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0.030</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0.86</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1.55</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0.577</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-0.248</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0.002</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0.063</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0.55</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0.91</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0.543</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-0.387</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0.149</w:t>
            </w:r>
          </w:p>
        </w:tc>
      </w:tr>
      <w:tr>
        <w:trPr>
          <w:cantSplit/>
        </w:trPr>
        <w:tc>
          <w:tcPr>
            <w:tcW w:type="dxa" w:w="14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1000</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-1.73</w:t>
            </w:r>
          </w:p>
        </w:tc>
        <w:tc>
          <w:tcPr>
            <w:tcW w:type="dxa" w:w="10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2.55</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0.496</w:t>
            </w:r>
          </w:p>
        </w:tc>
        <w:tc>
          <w:tcPr>
            <w:tcW w:type="dxa" w:w="13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-0.176</w:t>
            </w:r>
          </w:p>
        </w:tc>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&lt;0.001</w:t>
            </w:r>
          </w:p>
        </w:tc>
        <w:tc>
          <w:tcPr>
            <w:tcW w:type="dxa" w:w="80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0.031</w:t>
            </w:r>
          </w:p>
        </w:tc>
      </w:tr>
    </w:tbl>
    <w:p>
      <w:pPr>
        <w:spacing w:after="200" w:before="60" w:line="240"/>
      </w:pPr>
      <w:r>
        <w:rPr>
          <w:rFonts w:ascii="Times New Roman" w:cs="Times New Roman" w:eastAsia="Times New Roman" w:hAnsi="Times New Roman"/>
          <w:i/>
          <w:iCs/>
          <w:sz w:val="18"/>
          <w:szCs w:val="18"/>
        </w:rPr>
        <w:t xml:space="preserve">Source: Author’s analysis; Newey–West standard errors with 7 lags.</w:t>
      </w:r>
    </w:p>
    <w:p>
      <w:pPr>
        <w:keepNext/>
        <w:spacing w:after="60" w:before="160"/>
        <w:jc w:val="center"/>
      </w:pPr>
      <w:r>
        <w:drawing>
          <wp:inline distT="0" distB="0" distL="0" distR="0">
            <wp:extent cx="5334000" cy="2219325"/>
            <wp:effectExtent t="0" r="0" b="0" l="0"/>
            <wp:docPr id="1" name="Figure 4.12" descr="Rainfall-anomaly coefficients with 95% HAC intervals, and price-momentum coefficients" title="Rainfall-anomaly coefficients with 95% HAC intervals, and price-momentum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1932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4.12: </w:t>
      </w:r>
      <w:r>
        <w:rPr>
          <w:rFonts w:ascii="Times New Roman" w:cs="Times New Roman" w:eastAsia="Times New Roman" w:hAnsi="Times New Roman"/>
          <w:sz w:val="22"/>
          <w:szCs w:val="22"/>
        </w:rPr>
        <w:t xml:space="preserve">Rainfall-anomaly coefficients with 95% HAC intervals, and price-momentum coefficients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No rainfall-anomaly coefficient is significant: p-values range from 0.262 (Tomato) to 0.921 (Potato), and every 95% interval spans zero. </w:t>
      </w:r>
      <w:r>
        <w:rPr>
          <w:rFonts w:ascii="Times New Roman" w:cs="Times New Roman" w:eastAsia="Times New Roman" w:hAnsi="Times New Roman"/>
          <w:b/>
          <w:bCs/>
        </w:rPr>
        <w:t xml:space="preserve">H2 is not supported.</w:t>
      </w:r>
      <w:r>
        <w:rPr>
          <w:rFonts w:ascii="Times New Roman" w:cs="Times New Roman" w:eastAsia="Times New Roman" w:hAnsi="Times New Roman"/>
        </w:rPr>
        <w:t xml:space="preserve"> This is not evidence that weather does not matter. The weather record covers only two monsoon seasons, rainfall is measured in Chennai rather than in the producing districts that supply Koyambedu, and arrival volumes, the channel through which weather would act according to Roy et al. (2024), were unavailable.</w:t>
      </w:r>
    </w:p>
    <w:p>
      <w:pPr>
        <w:spacing w:after="120" w:before="0" w:line="360"/>
        <w:ind w:firstLine="1134"/>
        <w:jc w:val="both"/>
      </w:pPr>
      <w:r>
        <w:rPr>
          <w:rFonts w:ascii="Times New Roman" w:cs="Times New Roman" w:eastAsia="Times New Roman" w:hAnsi="Times New Roman"/>
        </w:rPr>
        <w:t xml:space="preserve">By contrast, </w:t>
      </w:r>
      <w:r>
        <w:rPr>
          <w:rFonts w:ascii="Times New Roman" w:cs="Times New Roman" w:eastAsia="Times New Roman" w:hAnsi="Times New Roman"/>
          <w:b/>
          <w:bCs/>
        </w:rPr>
        <w:t xml:space="preserve">prior seven-day momentum is negative and significant for all eight series</w:t>
      </w:r>
      <w:r>
        <w:rPr>
          <w:rFonts w:ascii="Times New Roman" w:cs="Times New Roman" w:eastAsia="Times New Roman" w:hAnsi="Times New Roman"/>
        </w:rPr>
        <w:t xml:space="preserve"> (coefficients −0.09 to −0.39, all p &lt; 0.03): a price that has risen over the past week tends to fall back over the next week, and vice versa. This short-run mean reversion is the same property detected by the ADF tests in Section 4.4. It is a genuine and usable finding for buyers: after a sharp weekly rise, waiting has on average been rewarded, except during sustained supply shocks of the kind examined in Section 4.14. The low R² values (0.01–0.15) show that most weekly variation remains unexplained.</w:t>
      </w:r>
    </w:p>
    <w:p>
      <w:pPr>
        <w:pStyle w:val="Heading3"/>
        <w:keepNext/>
        <w:spacing w:after="120" w:before="240"/>
      </w:pPr>
      <w:r>
        <w:rPr>
          <w:rFonts w:ascii="Times New Roman" w:cs="Times New Roman" w:eastAsia="Times New Roman" w:hAnsi="Times New Roman"/>
          <w:b/>
          <w:bCs/>
          <w:sz w:val="24"/>
          <w:szCs w:val="24"/>
        </w:rPr>
        <w:t xml:space="preserve">4.11.2 SHAP ranking of the Northeast Monsoon deviation index</w:t>
      </w:r>
    </w:p>
    <w:p>
      <w:pPr>
        <w:spacing w:after="120" w:before="0" w:line="360"/>
        <w:ind w:firstLine="1134"/>
        <w:jc w:val="both"/>
      </w:pPr>
      <w:r>
        <w:rPr>
          <w:rFonts w:ascii="Times New Roman" w:cs="Times New Roman" w:eastAsia="Times New Roman" w:hAnsi="Times New Roman"/>
        </w:rPr>
        <w:t xml:space="preserve">As the proposal specified, a seven-day XGBoost model was fitted to each Koyambedu series with sixteen features: ten price features (prices at the origin and earlier, rolling means and spread, momentum and season of the target date) and six weather features (7- and 30-day rainfall, maximum temperature, a seven-day rainfall anomaly, the Northeast Monsoon deviation index and a season flag), using January 2024 to September 2026, the period covered by the weather record. Market arrival volume could not be included. Table 4.14 ranks the features by share of mean absolute SHAP value.</w:t>
      </w:r>
    </w:p>
    <w:p>
      <w:pPr>
        <w:pStyle w:val="TableCaption"/>
        <w:keepNext/>
        <w:spacing w:after="80" w:before="200" w:line="276"/>
        <w:jc w:val="center"/>
      </w:pPr>
      <w:r>
        <w:rPr>
          <w:rFonts w:ascii="Times New Roman" w:cs="Times New Roman" w:eastAsia="Times New Roman" w:hAnsi="Times New Roman"/>
          <w:b/>
          <w:bCs/>
          <w:sz w:val="22"/>
          <w:szCs w:val="22"/>
        </w:rPr>
        <w:t xml:space="preserve">Table 4.14: </w:t>
      </w:r>
      <w:r>
        <w:rPr>
          <w:rFonts w:ascii="Times New Roman" w:cs="Times New Roman" w:eastAsia="Times New Roman" w:hAnsi="Times New Roman"/>
          <w:sz w:val="22"/>
          <w:szCs w:val="22"/>
        </w:rPr>
        <w:t xml:space="preserve">SHAP ranking of the Northeast Monsoon deviation index against price features (Koyambedu, 7-day XGBoost)</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452"/>
        <w:gridCol w:w="1452"/>
        <w:gridCol w:w="1320"/>
        <w:gridCol w:w="1584"/>
      </w:tblGrid>
      <w:tr>
        <w:trPr>
          <w:cantSplit/>
          <w:tblHeader/>
        </w:trPr>
        <w:tc>
          <w:tcPr>
            <w:tcW w:type="dxa" w:w="13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Series</w:t>
            </w:r>
          </w:p>
        </w:tc>
        <w:tc>
          <w:tcPr>
            <w:tcW w:type="dxa" w:w="13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Price at origin: share</w:t>
            </w:r>
          </w:p>
        </w:tc>
        <w:tc>
          <w:tcPr>
            <w:tcW w:type="dxa" w:w="14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NE Monsoon deviation: rank</w:t>
            </w:r>
          </w:p>
        </w:tc>
        <w:tc>
          <w:tcPr>
            <w:tcW w:type="dxa" w:w="14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NE Monsoon deviation: share</w:t>
            </w:r>
          </w:p>
        </w:tc>
        <w:tc>
          <w:tcPr>
            <w:tcW w:type="dxa" w:w="13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Rainfall anomaly: rank</w:t>
            </w:r>
          </w:p>
        </w:tc>
        <w:tc>
          <w:tcPr>
            <w:tcW w:type="dxa" w:w="15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All six weather features: share</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Tomato</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42.10%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1.63%</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11.20%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Onion</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36.70%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0.90%</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10.50%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Potato</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0.32%</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5.80%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Cabbage</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37.90%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1.67%</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9.70%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Carrot</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25.40%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1.29%</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11.50%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Beans</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22.60%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0.18%</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Brinjal</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43.20%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1.19%</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13.60%</w:t>
            </w:r>
          </w:p>
        </w:tc>
      </w:tr>
      <w:tr>
        <w:trPr>
          <w:cantSplit/>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Drumstick</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50.90%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 of 16</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0.09%</w:t>
            </w:r>
          </w:p>
        </w:tc>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10 of 16</w:t>
            </w:r>
          </w:p>
        </w:tc>
        <w:tc>
          <w:tcPr>
            <w:tcW w:type="dxa" w:w="15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12.40%</w:t>
            </w:r>
          </w:p>
        </w:tc>
      </w:tr>
    </w:tbl>
    <w:p>
      <w:pPr>
        <w:spacing w:after="200" w:before="60" w:line="240"/>
      </w:pPr>
      <w:r>
        <w:rPr>
          <w:rFonts w:ascii="Times New Roman" w:cs="Times New Roman" w:eastAsia="Times New Roman" w:hAnsi="Times New Roman"/>
          <w:i/>
          <w:iCs/>
          <w:sz w:val="18"/>
          <w:szCs w:val="18"/>
        </w:rPr>
        <w:t xml:space="preserve">Source: Author’s analysis; 975 daily observations per series.</w:t>
      </w:r>
    </w:p>
    <w:p>
      <w:pPr>
        <w:keepNext/>
        <w:spacing w:after="60" w:before="160"/>
        <w:jc w:val="center"/>
      </w:pPr>
      <w:r>
        <w:drawing>
          <wp:inline distT="0" distB="0" distL="0" distR="0">
            <wp:extent cx="5334000" cy="2743200"/>
            <wp:effectExtent t="0" r="0" b="0" l="0"/>
            <wp:docPr id="1" name="Figure 4.13" descr="Tomato: SHAP beeswarm for the Koyambedu 7-day XGBoost model" title="Tomato: SHAP beeswarm for the Koyambedu 7-day XGBoos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7432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4.13: </w:t>
      </w:r>
      <w:r>
        <w:rPr>
          <w:rFonts w:ascii="Times New Roman" w:cs="Times New Roman" w:eastAsia="Times New Roman" w:hAnsi="Times New Roman"/>
          <w:sz w:val="22"/>
          <w:szCs w:val="22"/>
        </w:rPr>
        <w:t xml:space="preserve">Tomato: SHAP beeswarm for the Koyambedu 7-day XGBoost model</w:t>
      </w:r>
    </w:p>
    <w:p>
      <w:pPr>
        <w:spacing w:after="220" w:line="240"/>
        <w:jc w:val="center"/>
      </w:pPr>
      <w:r>
        <w:rPr>
          <w:rFonts w:ascii="Times New Roman" w:cs="Times New Roman" w:eastAsia="Times New Roman" w:hAnsi="Times New Roman"/>
          <w:i/>
          <w:iCs/>
          <w:sz w:val="18"/>
          <w:szCs w:val="18"/>
        </w:rPr>
        <w:t xml:space="preserve">Source: Author’s analysis.</w:t>
      </w:r>
    </w:p>
    <w:p>
      <w:pPr>
        <w:keepNext/>
        <w:spacing w:after="60" w:before="160"/>
        <w:jc w:val="center"/>
      </w:pPr>
      <w:r>
        <w:drawing>
          <wp:inline distT="0" distB="0" distL="0" distR="0">
            <wp:extent cx="5334000" cy="1866900"/>
            <wp:effectExtent t="0" r="0" b="0" l="0"/>
            <wp:docPr id="1" name="Figure 4.14" descr="Tomato: SHAP dependence plots for the top three features" title="Tomato: SHAP dependence plots for the top thre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8669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4.14: </w:t>
      </w:r>
      <w:r>
        <w:rPr>
          <w:rFonts w:ascii="Times New Roman" w:cs="Times New Roman" w:eastAsia="Times New Roman" w:hAnsi="Times New Roman"/>
          <w:sz w:val="22"/>
          <w:szCs w:val="22"/>
        </w:rPr>
        <w:t xml:space="preserve">Tomato: SHAP dependence plots for the top three features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price at the forecast origin is the strongest feature for </w:t>
      </w:r>
      <w:r>
        <w:rPr>
          <w:rFonts w:ascii="Times New Roman" w:cs="Times New Roman" w:eastAsia="Times New Roman" w:hAnsi="Times New Roman"/>
          <w:b/>
          <w:bCs/>
        </w:rPr>
        <w:t xml:space="preserve">all eight</w:t>
      </w:r>
      <w:r>
        <w:rPr>
          <w:rFonts w:ascii="Times New Roman" w:cs="Times New Roman" w:eastAsia="Times New Roman" w:hAnsi="Times New Roman"/>
        </w:rPr>
        <w:t xml:space="preserve"> vegetables, accounting for 23–51% of attribution. The Northeast Monsoon deviation index ranks between 12th and 15th of 16 features and contributes at most 1.7%; all six weather features together contribute 6–20%. For Tomato (Figures 4.13 and 4.14) the top three features are the price at the origin (42.1%), the seven-day mean price (13.8%) and the season of the target date (11.3%), and their dependence plots show a near-linear persistence effect and a seasonal step. Consistent with the regression test, the SHAP ranking places monsoon deviation well behind price history, answering the proposal’s question of which predictor is strongest.</w:t>
      </w:r>
    </w:p>
    <w:p>
      <w:pPr>
        <w:pStyle w:val="Heading3"/>
        <w:keepNext/>
        <w:spacing w:after="120" w:before="240"/>
      </w:pPr>
      <w:r>
        <w:rPr>
          <w:rFonts w:ascii="Times New Roman" w:cs="Times New Roman" w:eastAsia="Times New Roman" w:hAnsi="Times New Roman"/>
          <w:b/>
          <w:bCs/>
          <w:sz w:val="24"/>
          <w:szCs w:val="24"/>
        </w:rPr>
        <w:t xml:space="preserve">4.11.3 Delta-accuracy test: does weather context improve the forecast?</w:t>
      </w:r>
    </w:p>
    <w:p>
      <w:pPr>
        <w:spacing w:after="120" w:before="0" w:line="360"/>
        <w:ind w:firstLine="1134"/>
        <w:jc w:val="both"/>
      </w:pPr>
      <w:r>
        <w:rPr>
          <w:rFonts w:ascii="Times New Roman" w:cs="Times New Roman" w:eastAsia="Times New Roman" w:hAnsi="Times New Roman"/>
        </w:rPr>
        <w:t xml:space="preserve">The proposal’s AgriSight evaluation asked whether adding real-time context to XGBoost measurably improves accuracy on a six-month held-out period. Historical policy news is not archived, so the context tested is the weather information that the live pipeline supplies, observed up to each forecast date. At 27 weekly origins from April to September 2026, two XGBoost models were trained on data available at each origin, one with the ten price features and one with the six weather features added, and scored at 7, 14 and 30 days (protocol C1).</w:t>
      </w:r>
    </w:p>
    <w:p>
      <w:pPr>
        <w:pStyle w:val="TableCaption"/>
        <w:keepNext/>
        <w:spacing w:after="80" w:before="200" w:line="276"/>
        <w:jc w:val="center"/>
      </w:pPr>
      <w:r>
        <w:rPr>
          <w:rFonts w:ascii="Times New Roman" w:cs="Times New Roman" w:eastAsia="Times New Roman" w:hAnsi="Times New Roman"/>
          <w:b/>
          <w:bCs/>
          <w:sz w:val="22"/>
          <w:szCs w:val="22"/>
        </w:rPr>
        <w:t xml:space="preserve">Table 4.15: </w:t>
      </w:r>
      <w:r>
        <w:rPr>
          <w:rFonts w:ascii="Times New Roman" w:cs="Times New Roman" w:eastAsia="Times New Roman" w:hAnsi="Times New Roman"/>
          <w:sz w:val="22"/>
          <w:szCs w:val="22"/>
        </w:rPr>
        <w:t xml:space="preserve">Delta-accuracy test: WAPE (%) on the six-month holdout, Koyambedu, 8 series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994"/>
        <w:gridCol w:w="994"/>
        <w:gridCol w:w="870"/>
        <w:gridCol w:w="1118"/>
        <w:gridCol w:w="1118"/>
        <w:gridCol w:w="1118"/>
        <w:gridCol w:w="1118"/>
        <w:gridCol w:w="1118"/>
      </w:tblGrid>
      <w:tr>
        <w:trPr>
          <w:cantSplit/>
          <w:tblHeader/>
        </w:trPr>
        <w:tc>
          <w:tcPr>
            <w:tcW w:type="dxa" w:w="9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Horizon</w:t>
            </w:r>
          </w:p>
        </w:tc>
        <w:tc>
          <w:tcPr>
            <w:tcW w:type="dxa" w:w="9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Forecasts</w:t>
            </w:r>
          </w:p>
        </w:tc>
        <w:tc>
          <w:tcPr>
            <w:tcW w:type="dxa" w:w="8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Naive</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XGBoost (prices)</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XGBoost + weather</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Gain from weather (pts)</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DM p: weather vs prices</w:t>
            </w:r>
          </w:p>
        </w:tc>
        <w:tc>
          <w:tcPr>
            <w:tcW w:type="dxa" w:w="11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DM p: weather vs naive</w:t>
            </w:r>
          </w:p>
        </w:tc>
      </w:tr>
      <w:tr>
        <w:trPr>
          <w:cantSplit/>
        </w:trPr>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7 days</w:t>
            </w:r>
          </w:p>
        </w:tc>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216</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8.43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10.60</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10.93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-0.33</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0.166</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0.011</w:t>
            </w:r>
          </w:p>
        </w:tc>
      </w:tr>
      <w:tr>
        <w:trPr>
          <w:cantSplit/>
        </w:trPr>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14 days</w:t>
            </w:r>
          </w:p>
        </w:tc>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216</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11.06</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14.37</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14.36</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0.981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0.026</w:t>
            </w:r>
          </w:p>
        </w:tc>
      </w:tr>
      <w:tr>
        <w:trPr>
          <w:cantSplit/>
        </w:trPr>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30 days</w:t>
            </w:r>
          </w:p>
        </w:tc>
        <w:tc>
          <w:tcPr>
            <w:tcW w:type="dxa" w:w="9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200</w:t>
            </w:r>
          </w:p>
        </w:tc>
        <w:tc>
          <w:tcPr>
            <w:tcW w:type="dxa" w:w="8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16.18</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20.49</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18.72</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+1.77</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0.101</w:t>
            </w:r>
          </w:p>
        </w:tc>
        <w:tc>
          <w:tcPr>
            <w:tcW w:type="dxa" w:w="11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0.325</w:t>
            </w:r>
          </w:p>
        </w:tc>
      </w:tr>
    </w:tbl>
    <w:p>
      <w:pPr>
        <w:spacing w:after="200" w:before="60" w:line="240"/>
      </w:pPr>
      <w:r>
        <w:rPr>
          <w:rFonts w:ascii="Times New Roman" w:cs="Times New Roman" w:eastAsia="Times New Roman" w:hAnsi="Times New Roman"/>
          <w:i/>
          <w:iCs/>
          <w:sz w:val="18"/>
          <w:szCs w:val="18"/>
        </w:rPr>
        <w:t xml:space="preserve">Source: Author’s analysis (protocol C1). DM = Diebold–Mariano test on absolute errors with HAC standard errors.</w:t>
      </w:r>
    </w:p>
    <w:p>
      <w:pPr>
        <w:keepNext/>
        <w:spacing w:after="60" w:before="160"/>
        <w:jc w:val="center"/>
      </w:pPr>
      <w:r>
        <w:drawing>
          <wp:inline distT="0" distB="0" distL="0" distR="0">
            <wp:extent cx="5334000" cy="2886075"/>
            <wp:effectExtent t="0" r="0" b="0" l="0"/>
            <wp:docPr id="1" name="Figure 4.15" descr="Delta-accuracy test: naive, XGBoost on prices, and XGBoost with weather context" title="Delta-accuracy test: naive, XGBoost on prices, and XGBoost with weathe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8607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4.15: </w:t>
      </w:r>
      <w:r>
        <w:rPr>
          <w:rFonts w:ascii="Times New Roman" w:cs="Times New Roman" w:eastAsia="Times New Roman" w:hAnsi="Times New Roman"/>
          <w:sz w:val="22"/>
          <w:szCs w:val="22"/>
        </w:rPr>
        <w:t xml:space="preserve">Delta-accuracy test: naive, XGBoost on prices, and XGBoost with weather context</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Weather context made no significant difference at any horizon. At 7 and 14 days the two XGBoost models are practically identical (DM p = 0.166 and 0.981). At 30 days weather lowers WAPE by 1.77 points, from 20.49% to 18.72%, but the difference is not significant (p = 0.101). The naive forecast remains the most accurate at every horizon and is significantly better than the context-enriched model at 7 and 14 days (p = 0.011 and 0.026). The proposal’s question therefore receives a clear answer: on this evidence, real-time weather context does not add measurable forecast value, although the 30-day result suggests a possible small benefit that a longer weather record could confirm or rule out.</w:t>
      </w:r>
    </w:p>
    <w:p>
      <w:pPr>
        <w:pStyle w:val="Heading2"/>
        <w:keepNext/>
        <w:spacing w:after="240" w:before="360"/>
      </w:pPr>
      <w:r>
        <w:rPr>
          <w:rFonts w:ascii="Times New Roman" w:cs="Times New Roman" w:eastAsia="Times New Roman" w:hAnsi="Times New Roman"/>
          <w:b/>
          <w:bCs/>
          <w:sz w:val="24"/>
          <w:szCs w:val="24"/>
        </w:rPr>
        <w:t xml:space="preserve">4.12 MULTI-AGENT DECISION LAYER OUTPUTS</w:t>
      </w:r>
    </w:p>
    <w:p>
      <w:pPr>
        <w:pStyle w:val="Heading3"/>
        <w:keepNext/>
        <w:spacing w:after="120" w:before="240"/>
      </w:pPr>
      <w:r>
        <w:rPr>
          <w:rFonts w:ascii="Times New Roman" w:cs="Times New Roman" w:eastAsia="Times New Roman" w:hAnsi="Times New Roman"/>
          <w:b/>
          <w:bCs/>
          <w:sz w:val="24"/>
          <w:szCs w:val="24"/>
        </w:rPr>
        <w:t xml:space="preserve">4.12.1 Deterministic agent pipeline</w:t>
      </w:r>
    </w:p>
    <w:p>
      <w:pPr>
        <w:pStyle w:val="TableCaption"/>
        <w:keepNext/>
        <w:spacing w:after="80" w:before="200" w:line="276"/>
        <w:jc w:val="center"/>
      </w:pPr>
      <w:r>
        <w:rPr>
          <w:rFonts w:ascii="Times New Roman" w:cs="Times New Roman" w:eastAsia="Times New Roman" w:hAnsi="Times New Roman"/>
          <w:b/>
          <w:bCs/>
          <w:sz w:val="22"/>
          <w:szCs w:val="22"/>
        </w:rPr>
        <w:t xml:space="preserve">Table 4.16: </w:t>
      </w:r>
      <w:r>
        <w:rPr>
          <w:rFonts w:ascii="Times New Roman" w:cs="Times New Roman" w:eastAsia="Times New Roman" w:hAnsi="Times New Roman"/>
          <w:sz w:val="22"/>
          <w:szCs w:val="22"/>
        </w:rPr>
        <w:t xml:space="preserve">AgriSight agent recommendations at the last statewide date (20 April 2026,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069"/>
        <w:gridCol w:w="855"/>
        <w:gridCol w:w="855"/>
        <w:gridCol w:w="855"/>
        <w:gridCol w:w="855"/>
        <w:gridCol w:w="749"/>
        <w:gridCol w:w="855"/>
        <w:gridCol w:w="1604"/>
        <w:gridCol w:w="751"/>
      </w:tblGrid>
      <w:tr>
        <w:trPr>
          <w:cantSplit/>
          <w:tblHeader/>
        </w:trPr>
        <w:tc>
          <w:tcPr>
            <w:tcW w:type="dxa" w:w="106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Commodity</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Current</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7-day</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14-day</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Change</w:t>
            </w:r>
          </w:p>
        </w:tc>
        <w:tc>
          <w:tcPr>
            <w:tcW w:type="dxa" w:w="74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Risk score</w:t>
            </w:r>
          </w:p>
        </w:tc>
        <w:tc>
          <w:tcPr>
            <w:tcW w:type="dxa" w:w="8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Risk</w:t>
            </w:r>
          </w:p>
        </w:tc>
        <w:tc>
          <w:tcPr>
            <w:tcW w:type="dxa" w:w="16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Action</w:t>
            </w:r>
          </w:p>
        </w:tc>
        <w:tc>
          <w:tcPr>
            <w:tcW w:type="dxa" w:w="7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Signal</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Beans</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7,600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7,420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7,420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-2.4%</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Brinjal</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3,500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3,398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3,398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-2.9%</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Cabbage</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2,252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2,252</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+0.1%</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7.9</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Carrot</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+0.2%</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Drumstick</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3,831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3,831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13.4</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Onion</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2,486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2,486</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-0.6%</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11.8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Potato</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2,800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2,855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2,855</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20.8</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LOW</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r>
      <w:tr>
        <w:trPr>
          <w:cantSplit/>
        </w:trPr>
        <w:tc>
          <w:tcPr>
            <w:tcW w:type="dxa" w:w="10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Tomato</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2,750</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2,597</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2,597</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-5.6%</w:t>
            </w:r>
          </w:p>
        </w:tc>
        <w:tc>
          <w:tcPr>
            <w:tcW w:type="dxa" w:w="74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56.1</w:t>
            </w:r>
          </w:p>
        </w:tc>
        <w:tc>
          <w:tcPr>
            <w:tcW w:type="dxa" w:w="8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6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7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BUY</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Seven commodities receive HOLD and Tomato receives DELAY PROCUREMENT with a HIGH risk score of 56.1. The run also exposes three design weaknesses in this pipeline that matter for interpreting its advice. (i) </w:t>
      </w:r>
      <w:r>
        <w:rPr>
          <w:rFonts w:ascii="Times New Roman" w:cs="Times New Roman" w:eastAsia="Times New Roman" w:hAnsi="Times New Roman"/>
          <w:b/>
          <w:bCs/>
        </w:rPr>
        <w:t xml:space="preserve">The 7-day and 14-day forecasts are identical for every commodity</w:t>
      </w:r>
      <w:r>
        <w:rPr>
          <w:rFonts w:ascii="Times New Roman" w:cs="Times New Roman" w:eastAsia="Times New Roman" w:hAnsi="Times New Roman"/>
        </w:rPr>
        <w:t xml:space="preserve">, because the pipeline reuses the latest row’s price features and changes only calendar fields, so the “14-day forecast” is not a 14-day forecast. (ii) </w:t>
      </w:r>
      <w:r>
        <w:rPr>
          <w:rFonts w:ascii="Times New Roman" w:cs="Times New Roman" w:eastAsia="Times New Roman" w:hAnsi="Times New Roman"/>
          <w:b/>
          <w:bCs/>
        </w:rPr>
        <w:t xml:space="preserve">The action and signal disagree for Tomato</w:t>
      </w:r>
      <w:r>
        <w:rPr>
          <w:rFonts w:ascii="Times New Roman" w:cs="Times New Roman" w:eastAsia="Times New Roman" w:hAnsi="Times New Roman"/>
        </w:rPr>
        <w:t xml:space="preserve">: the action says DELAY while the signal field says BUY, because the signal is defined from the buyer’s viewpoint of a falling price while the action uses procurement wording; a single vocabulary is needed. (iii) The field labelled “estimated savings per quintal” is |forecast change| × current price, which is not a saving.</w:t>
      </w:r>
    </w:p>
    <w:p>
      <w:pPr>
        <w:keepNext/>
        <w:spacing w:after="60" w:before="160"/>
        <w:jc w:val="center"/>
      </w:pPr>
      <w:r>
        <w:drawing>
          <wp:inline distT="0" distB="0" distL="0" distR="0">
            <wp:extent cx="4533900" cy="2933700"/>
            <wp:effectExtent t="0" r="0" b="0" l="0"/>
            <wp:docPr id="1" name="Figure 4.16" descr="Market Intelligence agent risk matrix (colour = risk level; size = forecast change)" title="Market Intelligence agent risk matrix (colour = risk level; size = forecast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33900" cy="29337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4.16: </w:t>
      </w:r>
      <w:r>
        <w:rPr>
          <w:rFonts w:ascii="Times New Roman" w:cs="Times New Roman" w:eastAsia="Times New Roman" w:hAnsi="Times New Roman"/>
          <w:sz w:val="22"/>
          <w:szCs w:val="22"/>
        </w:rPr>
        <w:t xml:space="preserve">Market Intelligence agent risk matrix (colour = risk level; size = forecast change)</w:t>
      </w:r>
    </w:p>
    <w:p>
      <w:pPr>
        <w:spacing w:after="220" w:line="240"/>
        <w:jc w:val="center"/>
      </w:pPr>
      <w:r>
        <w:rPr>
          <w:rFonts w:ascii="Times New Roman" w:cs="Times New Roman" w:eastAsia="Times New Roman" w:hAnsi="Times New Roman"/>
          <w:i/>
          <w:iCs/>
          <w:sz w:val="18"/>
          <w:szCs w:val="18"/>
        </w:rPr>
        <w:t xml:space="preserve">Source: Author’s analysis.</w:t>
      </w:r>
    </w:p>
    <w:p>
      <w:pPr>
        <w:pStyle w:val="Heading3"/>
        <w:keepNext/>
        <w:spacing w:after="120" w:before="240"/>
      </w:pPr>
      <w:r>
        <w:rPr>
          <w:rFonts w:ascii="Times New Roman" w:cs="Times New Roman" w:eastAsia="Times New Roman" w:hAnsi="Times New Roman"/>
          <w:b/>
          <w:bCs/>
          <w:sz w:val="24"/>
          <w:szCs w:val="24"/>
        </w:rPr>
        <w:t xml:space="preserve">4.12.2 Four-role pipeline with freshness gate</w:t>
      </w:r>
    </w:p>
    <w:p>
      <w:pPr>
        <w:pStyle w:val="TableCaption"/>
        <w:keepNext/>
        <w:spacing w:after="80" w:before="200" w:line="276"/>
        <w:jc w:val="center"/>
      </w:pPr>
      <w:r>
        <w:rPr>
          <w:rFonts w:ascii="Times New Roman" w:cs="Times New Roman" w:eastAsia="Times New Roman" w:hAnsi="Times New Roman"/>
          <w:b/>
          <w:bCs/>
          <w:sz w:val="22"/>
          <w:szCs w:val="22"/>
        </w:rPr>
        <w:t xml:space="preserve">Table 4.17: </w:t>
      </w:r>
      <w:r>
        <w:rPr>
          <w:rFonts w:ascii="Times New Roman" w:cs="Times New Roman" w:eastAsia="Times New Roman" w:hAnsi="Times New Roman"/>
          <w:sz w:val="22"/>
          <w:szCs w:val="22"/>
        </w:rPr>
        <w:t xml:space="preserve">AgriSight four-role brief, offline run (₹/quintal)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408"/>
        <w:gridCol w:w="1152"/>
        <w:gridCol w:w="1152"/>
        <w:gridCol w:w="1152"/>
        <w:gridCol w:w="1152"/>
        <w:gridCol w:w="2432"/>
      </w:tblGrid>
      <w:tr>
        <w:trPr>
          <w:cantSplit/>
          <w:tblHeader/>
        </w:trPr>
        <w:tc>
          <w:tcPr>
            <w:tcW w:type="dxa" w:w="14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Commodity</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Current</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7-day</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14-day</w:t>
            </w:r>
          </w:p>
        </w:tc>
        <w:tc>
          <w:tcPr>
            <w:tcW w:type="dxa" w:w="11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Change</w:t>
            </w:r>
          </w:p>
        </w:tc>
        <w:tc>
          <w:tcPr>
            <w:tcW w:type="dxa" w:w="243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Signal</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Beans</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7,600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7,333</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7,336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-3.5%</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Brinjal</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3,500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3,374</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3,373</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-3.6%</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Cabbage</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2,235</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2,236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-0.6%</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Carrot</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3,750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3,882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3,951</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+5.4%</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Drumstick</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3,750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3,835</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3,818</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+1.8%</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Onion</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2,500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2,492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2,486</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-0.5%</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Potato</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2,800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2,862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2,854</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+1.9%</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r>
        <w:trPr>
          <w:cantSplit/>
        </w:trPr>
        <w:tc>
          <w:tcPr>
            <w:tcW w:type="dxa" w:w="14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Tomato</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2,750</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2,602</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2,467</w:t>
            </w:r>
          </w:p>
        </w:tc>
        <w:tc>
          <w:tcPr>
            <w:tcW w:type="dxa" w:w="11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-10.3%</w:t>
            </w:r>
          </w:p>
        </w:tc>
        <w:tc>
          <w:tcPr>
            <w:tcW w:type="dxa" w:w="24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8"/>
                <w:szCs w:val="18"/>
              </w:rPr>
              <w:t xml:space="preserve">ABSTAIN_STALE_DATA</w:t>
            </w:r>
          </w:p>
        </w:tc>
      </w:tr>
    </w:tbl>
    <w:p>
      <w:pPr>
        <w:spacing w:after="200" w:before="60" w:line="240"/>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rPr>
        <w:t xml:space="preserve">The four-role pipeline corrects the first weakness by forecasting recursively day by day, so its 7- and 14-day values differ (for example, Tomato falls from ₹2,750 to ₹2,602 at 7 days and ₹2,467 at 14 days). Because the latest statewide price is from 20 April 2026, 181 days before the run, the freshness gate correctly marks </w:t>
      </w:r>
      <w:r>
        <w:rPr>
          <w:rFonts w:ascii="Times New Roman" w:cs="Times New Roman" w:eastAsia="Times New Roman" w:hAnsi="Times New Roman"/>
          <w:b/>
          <w:bCs/>
        </w:rPr>
        <w:t xml:space="preserve">every</w:t>
      </w:r>
      <w:r>
        <w:rPr>
          <w:rFonts w:ascii="Times New Roman" w:cs="Times New Roman" w:eastAsia="Times New Roman" w:hAnsi="Times New Roman"/>
        </w:rPr>
        <w:t xml:space="preserve"> commodity ABSTAIN_STALE_DATA instead of issuing advice on stale data.</w:t>
      </w:r>
    </w:p>
    <w:p>
      <w:pPr>
        <w:pStyle w:val="Heading3"/>
        <w:keepNext/>
        <w:spacing w:after="120" w:before="240"/>
      </w:pPr>
      <w:r>
        <w:rPr>
          <w:rFonts w:ascii="Times New Roman" w:cs="Times New Roman" w:eastAsia="Times New Roman" w:hAnsi="Times New Roman"/>
          <w:b/>
          <w:bCs/>
          <w:sz w:val="24"/>
          <w:szCs w:val="24"/>
        </w:rPr>
        <w:t xml:space="preserve">4.12.3 Live context and local language-model writer</w:t>
      </w:r>
    </w:p>
    <w:p>
      <w:pPr>
        <w:spacing w:after="120" w:before="0" w:line="360"/>
        <w:ind w:firstLine="1134"/>
        <w:jc w:val="both"/>
      </w:pPr>
      <w:r>
        <w:rPr>
          <w:rFonts w:ascii="Times New Roman" w:cs="Times New Roman" w:eastAsia="Times New Roman" w:hAnsi="Times New Roman"/>
        </w:rPr>
        <w:t xml:space="preserve">The four-role pipeline has two optional components. A </w:t>
      </w:r>
      <w:r>
        <w:rPr>
          <w:rFonts w:ascii="Times New Roman" w:cs="Times New Roman" w:eastAsia="Times New Roman" w:hAnsi="Times New Roman"/>
          <w:b/>
          <w:bCs/>
        </w:rPr>
        <w:t xml:space="preserve">live mode</w:t>
      </w:r>
      <w:r>
        <w:rPr>
          <w:rFonts w:ascii="Times New Roman" w:cs="Times New Roman" w:eastAsia="Times New Roman" w:hAnsi="Times New Roman"/>
        </w:rPr>
        <w:t xml:space="preserve"> adds a seven-day Chennai weather forecast (Open-Meteo) and official agriculture news from the Press Information Bureau RSS feed to the buyer brief; the forecast is summarised as total rainfall, wettest day, number of rainy days and maximum temperature, and news items are filtered for agriculture and price relevance. A </w:t>
      </w:r>
      <w:r>
        <w:rPr>
          <w:rFonts w:ascii="Times New Roman" w:cs="Times New Roman" w:eastAsia="Times New Roman" w:hAnsi="Times New Roman"/>
          <w:b/>
          <w:bCs/>
        </w:rPr>
        <w:t xml:space="preserve">language-model writer</w:t>
      </w:r>
      <w:r>
        <w:rPr>
          <w:rFonts w:ascii="Times New Roman" w:cs="Times New Roman" w:eastAsia="Times New Roman" w:hAnsi="Times New Roman"/>
        </w:rPr>
        <w:t xml:space="preserve"> rewrites the brief in plain prose using a model running on the buyer’s own computer. Two safeguards are built into the writer: it may only use a model on the buyer’s own computer, never an external service, and its rewrite is accepted only if every price, forecast, percentage change and weather figure in the original brief is reproduced exactly and no new figure appears; otherwise the unedited brief is used. If a weather or news service is unavailable, the pipeline records this in the brief and still delivers the price forecasts. Both components are implemented; their run against the live services is pending and is listed as a limitation in Section 5.5. Even when they are run, all signals will remain ABSTAIN_STALE_DATA until the statewide price data are refreshed, because weather and news do not update prices.</w:t>
      </w:r>
    </w:p>
    <w:p>
      <w:pPr>
        <w:pStyle w:val="Heading3"/>
        <w:keepNext/>
        <w:spacing w:after="120" w:before="240"/>
      </w:pPr>
      <w:r>
        <w:rPr>
          <w:rFonts w:ascii="Times New Roman" w:cs="Times New Roman" w:eastAsia="Times New Roman" w:hAnsi="Times New Roman"/>
          <w:b/>
          <w:bCs/>
          <w:sz w:val="24"/>
          <w:szCs w:val="24"/>
        </w:rPr>
        <w:t xml:space="preserve">4.12.4 Dashboard</w:t>
      </w:r>
    </w:p>
    <w:p>
      <w:pPr>
        <w:spacing w:after="120" w:before="0" w:line="360"/>
        <w:ind w:firstLine="1134"/>
        <w:jc w:val="both"/>
      </w:pPr>
      <w:r>
        <w:rPr>
          <w:rFonts w:ascii="Times New Roman" w:cs="Times New Roman" w:eastAsia="Times New Roman" w:hAnsi="Times New Roman"/>
        </w:rPr>
        <w:t xml:space="preserve">The Streamlit dashboard presents the outputs on nine pages: Agent Recommendations, Price Forecast, Model Trust, Price Movers, Market Trends and Seasonality, SHAP Explainability, Research and Scenario Validation, Dataset Snapshot and Data Quality. All nine pages were tested automatically and render without errors. Figures 4.17 and 4.18 show two pages; further screenshots are in Appendix 5.</w:t>
      </w:r>
    </w:p>
    <w:p>
      <w:pPr>
        <w:keepNext/>
        <w:spacing w:after="60" w:before="160"/>
        <w:jc w:val="center"/>
      </w:pPr>
      <w:r>
        <w:drawing>
          <wp:inline distT="0" distB="0" distL="0" distR="0">
            <wp:extent cx="5067300" cy="3619500"/>
            <wp:effectExtent t="0" r="0" b="0" l="0"/>
            <wp:docPr id="1" name="Figure 4.17" descr="Dashboard: Agent Recommendations page" title="Dashboard: Agen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67300" cy="36195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4.17: </w:t>
      </w:r>
      <w:r>
        <w:rPr>
          <w:rFonts w:ascii="Times New Roman" w:cs="Times New Roman" w:eastAsia="Times New Roman" w:hAnsi="Times New Roman"/>
          <w:sz w:val="22"/>
          <w:szCs w:val="22"/>
        </w:rPr>
        <w:t xml:space="preserve">Dashboard: Agent Recommendations page</w:t>
      </w:r>
    </w:p>
    <w:p>
      <w:pPr>
        <w:spacing w:after="220" w:line="240"/>
        <w:jc w:val="center"/>
      </w:pPr>
      <w:r>
        <w:rPr>
          <w:rFonts w:ascii="Times New Roman" w:cs="Times New Roman" w:eastAsia="Times New Roman" w:hAnsi="Times New Roman"/>
          <w:i/>
          <w:iCs/>
          <w:sz w:val="18"/>
          <w:szCs w:val="18"/>
        </w:rPr>
        <w:t xml:space="preserve">Source: Screenshot of the AgriSight dashboard.</w:t>
      </w:r>
    </w:p>
    <w:p>
      <w:pPr>
        <w:keepNext/>
        <w:spacing w:after="60" w:before="160"/>
        <w:jc w:val="center"/>
      </w:pPr>
      <w:r>
        <w:drawing>
          <wp:inline distT="0" distB="0" distL="0" distR="0">
            <wp:extent cx="5067300" cy="3619500"/>
            <wp:effectExtent t="0" r="0" b="0" l="0"/>
            <wp:docPr id="1" name="Figure 4.18" descr="Dashboard: Koyambedu Research and Procurement Backtest page" title="Dashboard: Koyambedu Research and Procurement Backte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67300" cy="36195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4.18: </w:t>
      </w:r>
      <w:r>
        <w:rPr>
          <w:rFonts w:ascii="Times New Roman" w:cs="Times New Roman" w:eastAsia="Times New Roman" w:hAnsi="Times New Roman"/>
          <w:sz w:val="22"/>
          <w:szCs w:val="22"/>
        </w:rPr>
        <w:t xml:space="preserve">Dashboard: Koyambedu Research and Procurement Backtest page</w:t>
      </w:r>
    </w:p>
    <w:p>
      <w:pPr>
        <w:spacing w:after="220" w:line="240"/>
        <w:jc w:val="center"/>
      </w:pPr>
      <w:r>
        <w:rPr>
          <w:rFonts w:ascii="Times New Roman" w:cs="Times New Roman" w:eastAsia="Times New Roman" w:hAnsi="Times New Roman"/>
          <w:i/>
          <w:iCs/>
          <w:sz w:val="18"/>
          <w:szCs w:val="18"/>
        </w:rPr>
        <w:t xml:space="preserve">Source: Screenshot of the AgriSight dashboard.</w:t>
      </w:r>
    </w:p>
    <w:p>
      <w:pPr>
        <w:pStyle w:val="Heading2"/>
        <w:keepNext/>
        <w:spacing w:after="240" w:before="360"/>
      </w:pPr>
      <w:r>
        <w:rPr>
          <w:rFonts w:ascii="Times New Roman" w:cs="Times New Roman" w:eastAsia="Times New Roman" w:hAnsi="Times New Roman"/>
          <w:b/>
          <w:bCs/>
          <w:sz w:val="24"/>
          <w:szCs w:val="24"/>
        </w:rPr>
        <w:t xml:space="preserve">4.13 PROCUREMENT ADVICE BACKTEST</w:t>
      </w:r>
    </w:p>
    <w:p>
      <w:pPr>
        <w:pStyle w:val="TableCaption"/>
        <w:keepNext/>
        <w:spacing w:after="80" w:before="200" w:line="276"/>
        <w:jc w:val="center"/>
      </w:pPr>
      <w:r>
        <w:rPr>
          <w:rFonts w:ascii="Times New Roman" w:cs="Times New Roman" w:eastAsia="Times New Roman" w:hAnsi="Times New Roman"/>
          <w:b/>
          <w:bCs/>
          <w:sz w:val="22"/>
          <w:szCs w:val="22"/>
        </w:rPr>
        <w:t xml:space="preserve">Table 4.18: </w:t>
      </w:r>
      <w:r>
        <w:rPr>
          <w:rFonts w:ascii="Times New Roman" w:cs="Times New Roman" w:eastAsia="Times New Roman" w:hAnsi="Times New Roman"/>
          <w:sz w:val="22"/>
          <w:szCs w:val="22"/>
        </w:rPr>
        <w:t xml:space="preserve">Procurement backtest: counterfactual result versus buying immediately (₹ per 100 kg lot)</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3204"/>
        <w:gridCol w:w="1165"/>
        <w:gridCol w:w="2039"/>
        <w:gridCol w:w="2040"/>
      </w:tblGrid>
      <w:tr>
        <w:trPr>
          <w:cantSplit/>
          <w:tblHeader/>
        </w:trPr>
        <w:tc>
          <w:tcPr>
            <w:tcW w:type="dxa" w:w="32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Advice action</w:t>
            </w:r>
          </w:p>
        </w:tc>
        <w:tc>
          <w:tcPr>
            <w:tcW w:type="dxa" w:w="116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Cases</w:t>
            </w:r>
          </w:p>
        </w:tc>
        <w:tc>
          <w:tcPr>
            <w:tcW w:type="dxa" w:w="20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Mean difference</w:t>
            </w:r>
          </w:p>
        </w:tc>
        <w:tc>
          <w:tcPr>
            <w:tcW w:type="dxa" w:w="2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Median difference</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DELAY PROCUREMENT</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₹278.57</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₹100.00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HEDGE</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10</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−₹5.00</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₹25.00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HOLD</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PARTIAL PROCUREMENT</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9</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−₹16.67</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r>
      <w:tr>
        <w:trPr>
          <w:cantSplit/>
        </w:trPr>
        <w:tc>
          <w:tcPr>
            <w:tcW w:type="dxa" w:w="32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PROCURE NOW</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14</w:t>
            </w:r>
          </w:p>
        </w:tc>
        <w:tc>
          <w:tcPr>
            <w:tcW w:type="dxa" w:w="20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c>
          <w:tcPr>
            <w:tcW w:type="dxa" w:w="204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9"/>
                <w:szCs w:val="19"/>
              </w:rPr>
              <w:t xml:space="preserve">₹0.00</w:t>
            </w:r>
          </w:p>
        </w:tc>
      </w:tr>
    </w:tbl>
    <w:p>
      <w:pPr>
        <w:spacing w:after="200" w:before="60" w:line="240"/>
      </w:pPr>
      <w:r>
        <w:rPr>
          <w:rFonts w:ascii="Times New Roman" w:cs="Times New Roman" w:eastAsia="Times New Roman" w:hAnsi="Times New Roman"/>
          <w:i/>
          <w:iCs/>
          <w:sz w:val="18"/>
          <w:szCs w:val="18"/>
        </w:rPr>
        <w:t xml:space="preserve">Source: Author’s analysis. Positive = advice cheaper than buying at the origin.</w:t>
      </w:r>
    </w:p>
    <w:p>
      <w:pPr>
        <w:keepNext/>
        <w:spacing w:after="60" w:before="160"/>
        <w:jc w:val="center"/>
      </w:pPr>
      <w:r>
        <w:drawing>
          <wp:inline distT="0" distB="0" distL="0" distR="0">
            <wp:extent cx="5334000" cy="2590800"/>
            <wp:effectExtent t="0" r="0" b="0" l="0"/>
            <wp:docPr id="1" name="Figure 4.19" descr="Mean counterfactual result by advice action" title="Mean counterfactual result by advic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908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4.19: </w:t>
      </w:r>
      <w:r>
        <w:rPr>
          <w:rFonts w:ascii="Times New Roman" w:cs="Times New Roman" w:eastAsia="Times New Roman" w:hAnsi="Times New Roman"/>
          <w:sz w:val="22"/>
          <w:szCs w:val="22"/>
        </w:rPr>
        <w:t xml:space="preserve">Mean counterfactual result by advice action</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Across 56 cases the advice was cheaper than buying immediately in </w:t>
      </w:r>
      <w:r>
        <w:rPr>
          <w:rFonts w:ascii="Times New Roman" w:cs="Times New Roman" w:eastAsia="Times New Roman" w:hAnsi="Times New Roman"/>
          <w:b/>
          <w:bCs/>
        </w:rPr>
        <w:t xml:space="preserve">30.4%</w:t>
      </w:r>
      <w:r>
        <w:rPr>
          <w:rFonts w:ascii="Times New Roman" w:cs="Times New Roman" w:eastAsia="Times New Roman" w:hAnsi="Times New Roman"/>
        </w:rPr>
        <w:t xml:space="preserve"> of cases, more expensive in 19.6%, and identical in the remaining 50% (PROCURE NOW and HOLD buy at the origin by definition). The mean result is ₹66.07 per 100 kg lot. Almost all of the gain comes from 14 DELAY decisions (mean ₹278.57, median ₹100), while HEDGE and PARTIAL PROCUREMENT were slightly loss-making. This is consistent with the mean reversion found in Section 4.11: delaying after a forecast fall has usually paid. However, the cases are not independent (they share origins), the lot convention evaluates DELAY at day 14 although the advice text says “reassess in 7 days”, and handling costs are excluded.</w:t>
      </w:r>
    </w:p>
    <w:p>
      <w:pPr>
        <w:spacing w:after="120" w:before="0" w:line="360"/>
        <w:ind w:firstLine="1134"/>
        <w:jc w:val="both"/>
      </w:pPr>
      <w:r>
        <w:rPr>
          <w:rFonts w:ascii="Times New Roman" w:cs="Times New Roman" w:eastAsia="Times New Roman" w:hAnsi="Times New Roman"/>
        </w:rPr>
        <w:t xml:space="preserve">A robustness check exposed a further weakness. Rerunning the identical pipeline with different library versions changed the stored XGBoost forecasts slightly, and </w:t>
      </w:r>
      <w:r>
        <w:rPr>
          <w:rFonts w:ascii="Times New Roman" w:cs="Times New Roman" w:eastAsia="Times New Roman" w:hAnsi="Times New Roman"/>
          <w:b/>
          <w:bCs/>
        </w:rPr>
        <w:t xml:space="preserve">8 of the 56 actions (14%) changed category</w:t>
      </w:r>
      <w:r>
        <w:rPr>
          <w:rFonts w:ascii="Times New Roman" w:cs="Times New Roman" w:eastAsia="Times New Roman" w:hAnsi="Times New Roman"/>
        </w:rPr>
        <w:t xml:space="preserve">: for example, Cabbage on 1 October 2025 moved from DELAY (−5.05% forecast change) to HEDGE (−3.66%). The headline rate moved from 28.6% to 30.4%. Hard ±3% and ±5% thresholds applied to forecasts whose typical error is 10–15% make the advice unstable. Thresholds should be expressed relative to forecast uncertainty.</w:t>
      </w:r>
    </w:p>
    <w:p>
      <w:pPr>
        <w:pStyle w:val="Heading2"/>
        <w:keepNext/>
        <w:spacing w:after="240" w:before="360"/>
      </w:pPr>
      <w:r>
        <w:rPr>
          <w:rFonts w:ascii="Times New Roman" w:cs="Times New Roman" w:eastAsia="Times New Roman" w:hAnsi="Times New Roman"/>
          <w:b/>
          <w:bCs/>
          <w:sz w:val="24"/>
          <w:szCs w:val="24"/>
        </w:rPr>
        <w:t xml:space="preserve">4.14 CASE STUDY: THE 2023 TOMATO PRICE EPISODE (OBJECTIVE S04)</w:t>
      </w:r>
    </w:p>
    <w:p>
      <w:pPr>
        <w:spacing w:after="120" w:before="0" w:line="360"/>
        <w:ind w:firstLine="1134"/>
        <w:jc w:val="both"/>
      </w:pPr>
      <w:r>
        <w:rPr>
          <w:rFonts w:ascii="Times New Roman" w:cs="Times New Roman" w:eastAsia="Times New Roman" w:hAnsi="Times New Roman"/>
        </w:rPr>
        <w:t xml:space="preserve">The rules were applied at 13 weekly origins from 1 April to 24 June 2023, before and at the start of the episode, with a 14-day XGBoost model retrained at each origin on data up to that date.</w:t>
      </w:r>
    </w:p>
    <w:p>
      <w:pPr>
        <w:pStyle w:val="TableCaption"/>
        <w:keepNext/>
        <w:spacing w:after="80" w:before="200" w:line="276"/>
        <w:jc w:val="center"/>
      </w:pPr>
      <w:r>
        <w:rPr>
          <w:rFonts w:ascii="Times New Roman" w:cs="Times New Roman" w:eastAsia="Times New Roman" w:hAnsi="Times New Roman"/>
          <w:b/>
          <w:bCs/>
          <w:sz w:val="22"/>
          <w:szCs w:val="22"/>
        </w:rPr>
        <w:t xml:space="preserve">Table 4.19: </w:t>
      </w:r>
      <w:r>
        <w:rPr>
          <w:rFonts w:ascii="Times New Roman" w:cs="Times New Roman" w:eastAsia="Times New Roman" w:hAnsi="Times New Roman"/>
          <w:sz w:val="22"/>
          <w:szCs w:val="22"/>
        </w:rPr>
        <w:t xml:space="preserve">Tomato 2023 retrospective scenario: advice at weekly origins (₹/kg; one-unit purchase)</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273"/>
        <w:gridCol w:w="1042"/>
        <w:gridCol w:w="1042"/>
        <w:gridCol w:w="1042"/>
        <w:gridCol w:w="1967"/>
        <w:gridCol w:w="926"/>
        <w:gridCol w:w="1156"/>
      </w:tblGrid>
      <w:tr>
        <w:trPr>
          <w:cantSplit/>
          <w:tblHeader/>
        </w:trPr>
        <w:tc>
          <w:tcPr>
            <w:tcW w:type="dxa" w:w="12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Origin</w:t>
            </w:r>
          </w:p>
        </w:tc>
        <w:tc>
          <w:tcPr>
            <w:tcW w:type="dxa" w:w="10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Price at origin</w:t>
            </w:r>
          </w:p>
        </w:tc>
        <w:tc>
          <w:tcPr>
            <w:tcW w:type="dxa" w:w="10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Forecast day 14</w:t>
            </w:r>
          </w:p>
        </w:tc>
        <w:tc>
          <w:tcPr>
            <w:tcW w:type="dxa" w:w="104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Actual day 14</w:t>
            </w:r>
          </w:p>
        </w:tc>
        <w:tc>
          <w:tcPr>
            <w:tcW w:type="dxa" w:w="19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Action</w:t>
            </w:r>
          </w:p>
        </w:tc>
        <w:tc>
          <w:tcPr>
            <w:tcW w:type="dxa" w:w="9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Risk</w:t>
            </w:r>
          </w:p>
        </w:tc>
        <w:tc>
          <w:tcPr>
            <w:tcW w:type="dxa" w:w="11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Result vs buy-now</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2023-04-01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19.52</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11.00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2023-04-08</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20.41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2023-04-15</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PROCURE NOW</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2023-04-22</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20.71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PROCURE NOW</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0.00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2023-04-29</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21.50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2023-05-06</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14.00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26.71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17.00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2023-05-13</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16.00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49.01</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2023-05-20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17.00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43.42</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-1.50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2023-05-27</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13.00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20.16</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PARTIAL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2023-06-03</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20.97</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38.00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HEDGE</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MEDIUM</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2023-06-10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24.59</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2023-06-17</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38.00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29.85</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80.00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-42.00</w:t>
            </w:r>
          </w:p>
        </w:tc>
      </w:tr>
      <w:tr>
        <w:trPr>
          <w:cantSplit/>
        </w:trPr>
        <w:tc>
          <w:tcPr>
            <w:tcW w:type="dxa" w:w="12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2023-06-24</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70.00</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43.84</w:t>
            </w:r>
          </w:p>
        </w:tc>
        <w:tc>
          <w:tcPr>
            <w:tcW w:type="dxa" w:w="104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97.00</w:t>
            </w:r>
          </w:p>
        </w:tc>
        <w:tc>
          <w:tcPr>
            <w:tcW w:type="dxa" w:w="1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DELAY PROCUREMENT</w:t>
            </w:r>
          </w:p>
        </w:tc>
        <w:tc>
          <w:tcPr>
            <w:tcW w:type="dxa" w:w="9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HIGH</w:t>
            </w:r>
          </w:p>
        </w:tc>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-27.00</w:t>
            </w:r>
          </w:p>
        </w:tc>
      </w:tr>
    </w:tbl>
    <w:p>
      <w:pPr>
        <w:spacing w:after="200" w:before="60" w:line="240"/>
      </w:pPr>
      <w:r>
        <w:rPr>
          <w:rFonts w:ascii="Times New Roman" w:cs="Times New Roman" w:eastAsia="Times New Roman" w:hAnsi="Times New Roman"/>
          <w:i/>
          <w:iCs/>
          <w:sz w:val="18"/>
          <w:szCs w:val="18"/>
        </w:rPr>
        <w:t xml:space="preserve">Source: Author’s analysis. Negative = advice more expensive than buying at the origin.</w:t>
      </w:r>
    </w:p>
    <w:p>
      <w:pPr>
        <w:keepNext/>
        <w:spacing w:after="60" w:before="160"/>
        <w:jc w:val="center"/>
      </w:pPr>
      <w:r>
        <w:drawing>
          <wp:inline distT="0" distB="0" distL="0" distR="0">
            <wp:extent cx="5334000" cy="2628900"/>
            <wp:effectExtent t="0" r="0" b="0" l="0"/>
            <wp:docPr id="1" name="Figure 4.20" descr="Tomato 2023: rule-based advice at weekly origins against observed Koyambedu prices" title="Tomato 2023: rule-based advice at weekly origins against observed Koyambedu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28900"/>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4.20: </w:t>
      </w:r>
      <w:r>
        <w:rPr>
          <w:rFonts w:ascii="Times New Roman" w:cs="Times New Roman" w:eastAsia="Times New Roman" w:hAnsi="Times New Roman"/>
          <w:sz w:val="22"/>
          <w:szCs w:val="22"/>
        </w:rPr>
        <w:t xml:space="preserve">Tomato 2023: rule-based advice at weekly origins against observed Koyambedu prices</w:t>
      </w:r>
    </w:p>
    <w:p>
      <w:pPr>
        <w:spacing w:after="220" w:line="240"/>
        <w:jc w:val="center"/>
      </w:pPr>
      <w:r>
        <w:rPr>
          <w:rFonts w:ascii="Times New Roman" w:cs="Times New Roman" w:eastAsia="Times New Roman" w:hAnsi="Times New Roman"/>
          <w:i/>
          <w:iCs/>
          <w:sz w:val="18"/>
          <w:szCs w:val="18"/>
        </w:rPr>
        <w:t xml:space="preserve">Source: Author’s analysis.</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This is the most consequential finding for procurement. From April to May, when prices were low, the advice made only small differences (between −₹7 and +₹11/kg per decision, mostly ±₹1.50). As the shock began, the model forecast </w:t>
      </w:r>
      <w:r>
        <w:rPr>
          <w:rFonts w:ascii="Times New Roman" w:cs="Times New Roman" w:eastAsia="Times New Roman" w:hAnsi="Times New Roman"/>
          <w:b/>
          <w:bCs/>
        </w:rPr>
        <w:t xml:space="preserve">falling</w:t>
      </w:r>
      <w:r>
        <w:rPr>
          <w:rFonts w:ascii="Times New Roman" w:cs="Times New Roman" w:eastAsia="Times New Roman" w:hAnsi="Times New Roman"/>
        </w:rPr>
        <w:t xml:space="preserve"> prices on 10, 17 and 24 June 2023 (₹24.59, ₹29.85 and ₹43.84 against origin prices of ₹27, ₹38 and ₹70) and advised DELAY three weeks in a row. Actual day-14 prices were ₹70, ₹80 and ₹97/kg, so the delays cost ₹43, ₹42 and ₹27/kg relative to buying immediately. Over the 13 origins the cumulative result is </w:t>
      </w:r>
      <w:r>
        <w:rPr>
          <w:rFonts w:ascii="Times New Roman" w:cs="Times New Roman" w:eastAsia="Times New Roman" w:hAnsi="Times New Roman"/>
          <w:b/>
          <w:bCs/>
        </w:rPr>
        <w:t xml:space="preserve">−₹120/kg</w:t>
      </w:r>
      <w:r>
        <w:rPr>
          <w:rFonts w:ascii="Times New Roman" w:cs="Times New Roman" w:eastAsia="Times New Roman" w:hAnsi="Times New Roman"/>
        </w:rPr>
        <w:t xml:space="preserve"> for a one-kilogram-per-week buyer: the advice would have increased cost.</w:t>
      </w:r>
    </w:p>
    <w:p>
      <w:pPr>
        <w:spacing w:after="120" w:before="0" w:line="360"/>
        <w:ind w:firstLine="1134"/>
        <w:jc w:val="both"/>
      </w:pPr>
      <w:r>
        <w:rPr>
          <w:rFonts w:ascii="Times New Roman" w:cs="Times New Roman" w:eastAsia="Times New Roman" w:hAnsi="Times New Roman"/>
        </w:rPr>
        <w:t xml:space="preserve">The mechanism is clear. Models trained on mean-reverting history forecast reversion after a rise, and that is usually correct (Section 4.11). In a sustained supply shock it is exactly wrong. The 14-day model did not anticipate the shock; Section 4.14.1 shows that the 30-day horizon specified in the proposal behaved differently.</w:t>
      </w:r>
    </w:p>
    <w:p>
      <w:pPr>
        <w:pStyle w:val="Heading3"/>
        <w:keepNext/>
        <w:spacing w:after="120" w:before="240"/>
      </w:pPr>
      <w:r>
        <w:rPr>
          <w:rFonts w:ascii="Times New Roman" w:cs="Times New Roman" w:eastAsia="Times New Roman" w:hAnsi="Times New Roman"/>
          <w:b/>
          <w:bCs/>
          <w:sz w:val="24"/>
          <w:szCs w:val="24"/>
        </w:rPr>
        <w:t xml:space="preserve">4.14.1 The 30-day forecast specified in the proposal</w:t>
      </w:r>
    </w:p>
    <w:p>
      <w:pPr>
        <w:spacing w:after="120" w:before="0" w:line="360"/>
        <w:ind w:firstLine="1134"/>
        <w:jc w:val="both"/>
      </w:pPr>
      <w:r>
        <w:rPr>
          <w:rFonts w:ascii="Times New Roman" w:cs="Times New Roman" w:eastAsia="Times New Roman" w:hAnsi="Times New Roman"/>
        </w:rPr>
        <w:t xml:space="preserve">The proposal asked for the economic value of the </w:t>
      </w:r>
      <w:r>
        <w:rPr>
          <w:rFonts w:ascii="Times New Roman" w:cs="Times New Roman" w:eastAsia="Times New Roman" w:hAnsi="Times New Roman"/>
          <w:b/>
          <w:bCs/>
        </w:rPr>
        <w:t xml:space="preserve">30-day</w:t>
      </w:r>
      <w:r>
        <w:rPr>
          <w:rFonts w:ascii="Times New Roman" w:cs="Times New Roman" w:eastAsia="Times New Roman" w:hAnsi="Times New Roman"/>
        </w:rPr>
        <w:t xml:space="preserve"> forecast in the three months before July 2023. The scenario was therefore rerun with a 30-day direct XGBoost model at the same 13 weekly origins (protocol C2), together with a 14-day model on the same feature set for comparison.</w:t>
      </w:r>
    </w:p>
    <w:p>
      <w:pPr>
        <w:pStyle w:val="TableCaption"/>
        <w:keepNext/>
        <w:spacing w:after="80" w:before="200" w:line="276"/>
        <w:jc w:val="center"/>
      </w:pPr>
      <w:r>
        <w:rPr>
          <w:rFonts w:ascii="Times New Roman" w:cs="Times New Roman" w:eastAsia="Times New Roman" w:hAnsi="Times New Roman"/>
          <w:b/>
          <w:bCs/>
          <w:sz w:val="22"/>
          <w:szCs w:val="22"/>
        </w:rPr>
        <w:t xml:space="preserve">Table 4.20: </w:t>
      </w:r>
      <w:r>
        <w:rPr>
          <w:rFonts w:ascii="Times New Roman" w:cs="Times New Roman" w:eastAsia="Times New Roman" w:hAnsi="Times New Roman"/>
          <w:sz w:val="22"/>
          <w:szCs w:val="22"/>
        </w:rPr>
        <w:t xml:space="preserve">Tomato 2023: advice from 30-day forecasts at weekly origins (₹/kg)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1097"/>
        <w:gridCol w:w="768"/>
        <w:gridCol w:w="987"/>
        <w:gridCol w:w="987"/>
        <w:gridCol w:w="987"/>
        <w:gridCol w:w="878"/>
        <w:gridCol w:w="1755"/>
        <w:gridCol w:w="989"/>
      </w:tblGrid>
      <w:tr>
        <w:trPr>
          <w:cantSplit/>
          <w:tblHeader/>
        </w:trPr>
        <w:tc>
          <w:tcPr>
            <w:tcW w:type="dxa" w:w="109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Origin</w:t>
            </w:r>
          </w:p>
        </w:tc>
        <w:tc>
          <w:tcPr>
            <w:tcW w:type="dxa" w:w="7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Price</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Forecast day 30</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Actual day 30</w:t>
            </w:r>
          </w:p>
        </w:tc>
        <w:tc>
          <w:tcPr>
            <w:tcW w:type="dxa" w:w="98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Forecast change</w:t>
            </w:r>
          </w:p>
        </w:tc>
        <w:tc>
          <w:tcPr>
            <w:tcW w:type="dxa" w:w="87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Risk</w:t>
            </w:r>
          </w:p>
        </w:tc>
        <w:tc>
          <w:tcPr>
            <w:tcW w:type="dxa" w:w="175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Action</w:t>
            </w:r>
          </w:p>
        </w:tc>
        <w:tc>
          <w:tcPr>
            <w:tcW w:type="dxa" w:w="98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Result vs buy-now</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2023-04-01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21.12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-22%</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2023-04-08</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18.52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HOLD</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2023-04-15</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20.12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+26%</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2023-04-22</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19.60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+9%</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MEDIUM</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PROCURE NOW</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2023-04-29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+108%</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2023-05-06</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14.00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60.57</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34.00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+333%</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2023-05-13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16.00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72.84</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+355%</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-5.50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2023-05-20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40.52</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+138%</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2023-05-27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13.00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68.06</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85.00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+424%</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-36.00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2023-06-03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20.00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51.19</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80.00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+156%</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-30.00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2023-06-10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36.25</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102.00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+34%</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PARTIAL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-37.50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2023-06-17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38.00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31.23</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114.00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-18%</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-76.00</w:t>
            </w:r>
          </w:p>
        </w:tc>
      </w:tr>
      <w:tr>
        <w:trPr>
          <w:cantSplit/>
        </w:trPr>
        <w:tc>
          <w:tcPr>
            <w:tcW w:type="dxa" w:w="109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2023-06-24</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70.00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43.87</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97.00</w:t>
            </w:r>
          </w:p>
        </w:tc>
        <w:tc>
          <w:tcPr>
            <w:tcW w:type="dxa" w:w="9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-37%</w:t>
            </w:r>
          </w:p>
        </w:tc>
        <w:tc>
          <w:tcPr>
            <w:tcW w:type="dxa" w:w="8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HIGH</w:t>
            </w:r>
          </w:p>
        </w:tc>
        <w:tc>
          <w:tcPr>
            <w:tcW w:type="dxa" w:w="17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DELAY PROCUREMENT</w:t>
            </w:r>
          </w:p>
        </w:tc>
        <w:tc>
          <w:tcPr>
            <w:tcW w:type="dxa" w:w="98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r>
    </w:tbl>
    <w:p>
      <w:pPr>
        <w:spacing w:after="200" w:before="60" w:line="240"/>
      </w:pPr>
      <w:r>
        <w:rPr>
          <w:rFonts w:ascii="Times New Roman" w:cs="Times New Roman" w:eastAsia="Times New Roman" w:hAnsi="Times New Roman"/>
          <w:i/>
          <w:iCs/>
          <w:sz w:val="18"/>
          <w:szCs w:val="18"/>
        </w:rPr>
        <w:t xml:space="preserve">Source: Author’s analysis (protocol C2). Negative = advice more expensive than buying at the origin.</w:t>
      </w:r>
    </w:p>
    <w:p>
      <w:pPr>
        <w:keepNext/>
        <w:spacing w:after="60" w:before="160"/>
        <w:jc w:val="center"/>
      </w:pPr>
      <w:r>
        <w:drawing>
          <wp:inline distT="0" distB="0" distL="0" distR="0">
            <wp:extent cx="5334000" cy="2676525"/>
            <wp:effectExtent t="0" r="0" b="0" l="0"/>
            <wp:docPr id="1" name="Figure 4.21" descr="Tomato 2023: advice from 30-day forecasts at weekly origins" title="Tomato 2023: advice from 30-day forecasts at weekly ori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676525"/>
                    </a:xfrm>
                    <a:prstGeom prst="rect">
                      <a:avLst/>
                    </a:prstGeom>
                  </pic:spPr>
                </pic:pic>
              </a:graphicData>
            </a:graphic>
          </wp:inline>
        </w:drawing>
      </w:r>
    </w:p>
    <w:p>
      <w:pPr>
        <w:pStyle w:val="FigureCaption"/>
        <w:spacing w:after="40" w:line="276"/>
        <w:jc w:val="center"/>
      </w:pPr>
      <w:r>
        <w:rPr>
          <w:rFonts w:ascii="Times New Roman" w:cs="Times New Roman" w:eastAsia="Times New Roman" w:hAnsi="Times New Roman"/>
          <w:b/>
          <w:bCs/>
          <w:sz w:val="22"/>
          <w:szCs w:val="22"/>
        </w:rPr>
        <w:t xml:space="preserve">Figure 4.21: </w:t>
      </w:r>
      <w:r>
        <w:rPr>
          <w:rFonts w:ascii="Times New Roman" w:cs="Times New Roman" w:eastAsia="Times New Roman" w:hAnsi="Times New Roman"/>
          <w:sz w:val="22"/>
          <w:szCs w:val="22"/>
        </w:rPr>
        <w:t xml:space="preserve">Tomato 2023: advice from 30-day forecasts at weekly origins</w:t>
      </w:r>
    </w:p>
    <w:p>
      <w:pPr>
        <w:spacing w:after="220" w:line="240"/>
        <w:jc w:val="center"/>
      </w:pPr>
      <w:r>
        <w:rPr>
          <w:rFonts w:ascii="Times New Roman" w:cs="Times New Roman" w:eastAsia="Times New Roman" w:hAnsi="Times New Roman"/>
          <w:i/>
          <w:iCs/>
          <w:sz w:val="18"/>
          <w:szCs w:val="18"/>
        </w:rPr>
        <w:t xml:space="preserve">Source: Author’s analysis.</w:t>
      </w:r>
    </w:p>
    <w:p>
      <w:pPr>
        <w:pStyle w:val="TableCaption"/>
        <w:keepNext/>
        <w:spacing w:after="80" w:before="200" w:line="276"/>
        <w:jc w:val="center"/>
      </w:pPr>
      <w:r>
        <w:rPr>
          <w:rFonts w:ascii="Times New Roman" w:cs="Times New Roman" w:eastAsia="Times New Roman" w:hAnsi="Times New Roman"/>
          <w:b/>
          <w:bCs/>
          <w:sz w:val="22"/>
          <w:szCs w:val="22"/>
        </w:rPr>
        <w:t xml:space="preserve">Table 4.21: </w:t>
      </w:r>
      <w:r>
        <w:rPr>
          <w:rFonts w:ascii="Times New Roman" w:cs="Times New Roman" w:eastAsia="Times New Roman" w:hAnsi="Times New Roman"/>
          <w:sz w:val="22"/>
          <w:szCs w:val="22"/>
        </w:rPr>
        <w:t xml:space="preserve">Economic value of the forecast signal in the three months before July 2023 (₹/kg, one unit per signal)</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939"/>
        <w:gridCol w:w="1056"/>
        <w:gridCol w:w="1173"/>
        <w:gridCol w:w="1056"/>
        <w:gridCol w:w="1056"/>
        <w:gridCol w:w="1056"/>
        <w:gridCol w:w="1056"/>
        <w:gridCol w:w="1056"/>
      </w:tblGrid>
      <w:tr>
        <w:trPr>
          <w:cantSplit/>
          <w:tblHeader/>
        </w:trPr>
        <w:tc>
          <w:tcPr>
            <w:tcW w:type="dxa" w:w="93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Horizon</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Rise signals correct</w:t>
            </w:r>
          </w:p>
        </w:tc>
        <w:tc>
          <w:tcPr>
            <w:tcW w:type="dxa" w:w="11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Forward-buying value</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Fall signals correct</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Deferral value</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Net signal value</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Rules as designed</w:t>
            </w:r>
          </w:p>
        </w:tc>
        <w:tc>
          <w:tcPr>
            <w:tcW w:type="dxa" w:w="10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6"/>
                <w:szCs w:val="16"/>
              </w:rPr>
              <w:t xml:space="preserve">Direction-only rule</w:t>
            </w:r>
          </w:p>
        </w:tc>
      </w:tr>
      <w:tr>
        <w:trPr>
          <w:cantSplit/>
        </w:trPr>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14 days</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 of 9</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₹31.00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 of 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−₹58.00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−₹27.00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−₹88.00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−₹58.00</w:t>
            </w:r>
          </w:p>
        </w:tc>
      </w:tr>
      <w:tr>
        <w:trPr>
          <w:cantSplit/>
        </w:trPr>
        <w:tc>
          <w:tcPr>
            <w:tcW w:type="dxa" w:w="93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6"/>
                <w:szCs w:val="16"/>
              </w:rPr>
              <w:t xml:space="preserve">30 days</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7 of 9</w:t>
            </w:r>
          </w:p>
        </w:tc>
        <w:tc>
          <w:tcPr>
            <w:tcW w:type="dxa" w:w="11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₹259.00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 of 3</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−₹89.00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₹170.00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−₹219.00</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6"/>
                <w:szCs w:val="16"/>
              </w:rPr>
              <w:t xml:space="preserve">−₹89.00</w:t>
            </w:r>
          </w:p>
        </w:tc>
      </w:tr>
    </w:tbl>
    <w:p>
      <w:pPr>
        <w:spacing w:after="200" w:before="60" w:line="240"/>
      </w:pPr>
      <w:r>
        <w:rPr>
          <w:rFonts w:ascii="Times New Roman" w:cs="Times New Roman" w:eastAsia="Times New Roman" w:hAnsi="Times New Roman"/>
          <w:i/>
          <w:iCs/>
          <w:sz w:val="18"/>
          <w:szCs w:val="18"/>
        </w:rPr>
        <w:t xml:space="preserve">Source: Author’s analysis. Forward-buying value = price at the target date minus price at the origin when a rise above 5% is forecast; deferral value = price at the origin minus price at the target date when a fall below −5% is forecast. Rule results are relative to buying immediately.</w:t>
      </w:r>
    </w:p>
    <w:p>
      <w:pPr>
        <w:spacing w:after="120" w:before="0" w:line="360"/>
        <w:ind w:firstLine="1134"/>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The 30-day forecast </w:t>
      </w:r>
      <w:r>
        <w:rPr>
          <w:rFonts w:ascii="Times New Roman" w:cs="Times New Roman" w:eastAsia="Times New Roman" w:hAnsi="Times New Roman"/>
          <w:b/>
          <w:bCs/>
        </w:rPr>
        <w:t xml:space="preserve">did carry an early warning</w:t>
      </w:r>
      <w:r>
        <w:rPr>
          <w:rFonts w:ascii="Times New Roman" w:cs="Times New Roman" w:eastAsia="Times New Roman" w:hAnsi="Times New Roman"/>
        </w:rPr>
        <w:t xml:space="preserve">. From 29 April 2023 it forecast rises of more than 100%, two months before the crisis, and 7 of its 9 rise signals were correct. A buyer who used each rise signal to lock in the next month’s price, for example through a supplier contract (tomatoes cannot be stored for 30 days), would have avoided about ₹259/kg of cost over the period; net of the two wrong late-June fall signals, the signal was worth about </w:t>
      </w:r>
      <w:r>
        <w:rPr>
          <w:rFonts w:ascii="Times New Roman" w:cs="Times New Roman" w:eastAsia="Times New Roman" w:hAnsi="Times New Roman"/>
          <w:b/>
          <w:bCs/>
        </w:rPr>
        <w:t xml:space="preserve">₹170/kg</w:t>
      </w:r>
      <w:r>
        <w:rPr>
          <w:rFonts w:ascii="Times New Roman" w:cs="Times New Roman" w:eastAsia="Times New Roman" w:hAnsi="Times New Roman"/>
        </w:rPr>
        <w:t xml:space="preserve">. The 14-day signal had no net value (−₹27/kg). The model learned the seasonal mid-year rise from the 2022 history, which explains why the longer horizon saw it.</w:t>
      </w:r>
    </w:p>
    <w:p>
      <w:pPr>
        <w:spacing w:after="120" w:before="0" w:line="360"/>
        <w:ind w:firstLine="1134"/>
        <w:jc w:val="both"/>
      </w:pPr>
      <w:r>
        <w:rPr>
          <w:rFonts w:ascii="Times New Roman" w:cs="Times New Roman" w:eastAsia="Times New Roman" w:hAnsi="Times New Roman"/>
        </w:rPr>
        <w:t xml:space="preserve">The decision rules, however, destroyed this value. Because the risk score adds 1.2 × the forecast change, every large forecast rise produced a HIGH risk rating, and the rules then chose PARTIAL PROCUREMENT instead of PROCURE NOW; two late-June fall forecasts then triggered DELAY just before the peak. The result was −₹219/kg relative to buying immediately. A rule that simply bought on any forecast rise and deferred only on a forecast fall would have reduced the loss to −₹89/kg. </w:t>
      </w:r>
      <w:r>
        <w:rPr>
          <w:rFonts w:ascii="Times New Roman" w:cs="Times New Roman" w:eastAsia="Times New Roman" w:hAnsi="Times New Roman"/>
          <w:b/>
          <w:bCs/>
        </w:rPr>
        <w:t xml:space="preserve">Objective S04 is therefore answered with a qualified result</w:t>
      </w:r>
      <w:r>
        <w:rPr>
          <w:rFonts w:ascii="Times New Roman" w:cs="Times New Roman" w:eastAsia="Times New Roman" w:hAnsi="Times New Roman"/>
        </w:rPr>
        <w:t xml:space="preserve">: the 30-day forecast had economic value as an early-warning signal in this episode, but the rule design turned it into a loss. The decision layer must separate forecast direction from risk and add a shock override (for example, never delay when price has risen for two consecutive weeks). This is one episode, and forward-contract costs are not included, so the value is indicative rather than a savings estimate.</w:t>
      </w:r>
    </w:p>
    <w:p>
      <w:pPr>
        <w:pStyle w:val="Heading2"/>
        <w:keepNext/>
        <w:spacing w:after="240" w:before="360"/>
      </w:pPr>
      <w:r>
        <w:rPr>
          <w:rFonts w:ascii="Times New Roman" w:cs="Times New Roman" w:eastAsia="Times New Roman" w:hAnsi="Times New Roman"/>
          <w:b/>
          <w:bCs/>
          <w:sz w:val="24"/>
          <w:szCs w:val="24"/>
        </w:rPr>
        <w:t xml:space="preserve">4.15 SUMMARY OF HYPOTHESIS TESTING</w:t>
      </w:r>
    </w:p>
    <w:p>
      <w:pPr>
        <w:pStyle w:val="TableCaption"/>
        <w:keepNext/>
        <w:spacing w:after="80" w:before="200" w:line="276"/>
        <w:jc w:val="center"/>
      </w:pPr>
      <w:r>
        <w:rPr>
          <w:rFonts w:ascii="Times New Roman" w:cs="Times New Roman" w:eastAsia="Times New Roman" w:hAnsi="Times New Roman"/>
          <w:b/>
          <w:bCs/>
          <w:sz w:val="22"/>
          <w:szCs w:val="22"/>
        </w:rPr>
        <w:t xml:space="preserve">Table 4.22: </w:t>
      </w:r>
      <w:r>
        <w:rPr>
          <w:rFonts w:ascii="Times New Roman" w:cs="Times New Roman" w:eastAsia="Times New Roman" w:hAnsi="Times New Roman"/>
          <w:sz w:val="22"/>
          <w:szCs w:val="22"/>
        </w:rPr>
        <w:t xml:space="preserve">Results of hypothesis testing</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694"/>
        <w:gridCol w:w="4163"/>
        <w:gridCol w:w="1591"/>
      </w:tblGrid>
      <w:tr>
        <w:trPr>
          <w:cantSplit/>
          <w:tblHeader/>
        </w:trPr>
        <w:tc>
          <w:tcPr>
            <w:tcW w:type="dxa" w:w="26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Hypothesis</w:t>
            </w:r>
          </w:p>
        </w:tc>
        <w:tc>
          <w:tcPr>
            <w:tcW w:type="dxa" w:w="416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Evidence</w:t>
            </w:r>
          </w:p>
        </w:tc>
        <w:tc>
          <w:tcPr>
            <w:tcW w:type="dxa" w:w="159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Result</w:t>
            </w:r>
          </w:p>
        </w:tc>
      </w:tr>
      <w:tr>
        <w:trPr>
          <w:cantSplit/>
        </w:trPr>
        <w:tc>
          <w:tcPr>
            <w:tcW w:type="dxa" w:w="26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H1: RF or XGBoost has lower walk-forward error than SARIMA</w:t>
            </w:r>
          </w:p>
        </w:tc>
        <w:tc>
          <w:tcPr>
            <w:tcW w:type="dxa" w:w="4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 SARIMA 7-day WF 10.46% vs RF 11.32% and XGBoost 13.98% (RF better for 4 of 8). Koyambedu: SARIMA WAPE 12.28% vs XGBoost 15.36% and RF 16.63%</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supported</w:t>
            </w:r>
          </w:p>
        </w:tc>
      </w:tr>
      <w:tr>
        <w:trPr>
          <w:cantSplit/>
        </w:trPr>
        <w:tc>
          <w:tcPr>
            <w:tcW w:type="dxa" w:w="26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H2: NE Monsoon rainfall anomaly significantly predicts price movement</w:t>
            </w:r>
          </w:p>
        </w:tc>
        <w:tc>
          <w:tcPr>
            <w:tcW w:type="dxa" w:w="4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 β₁ significant (p = 0.262–0.921); SHAP rank of the NE Monsoon deviation index 12th–15th of 16; weather context gives no significant gain (DM p = 0.10–0.98)</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supported (short weather record)</w:t>
            </w:r>
          </w:p>
        </w:tc>
      </w:tr>
      <w:tr>
        <w:trPr>
          <w:cantSplit/>
        </w:trPr>
        <w:tc>
          <w:tcPr>
            <w:tcW w:type="dxa" w:w="26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H0: No model beats the last observed price</w:t>
            </w:r>
          </w:p>
        </w:tc>
        <w:tc>
          <w:tcPr>
            <w:tcW w:type="dxa" w:w="41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 naive 4.20% vs best model 11.32%; Koyambedu naive WAPE 11.88% lowest; B2 naive lowest at all horizons</w:t>
            </w:r>
          </w:p>
        </w:tc>
        <w:tc>
          <w:tcPr>
            <w:tcW w:type="dxa" w:w="1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rejected</w:t>
            </w:r>
          </w:p>
        </w:tc>
      </w:tr>
    </w:tbl>
    <w:p>
      <w:pPr>
        <w:spacing w:after="200" w:before="60" w:line="240"/>
      </w:pPr>
      <w:r>
        <w:rPr>
          <w:rFonts w:ascii="Times New Roman" w:cs="Times New Roman" w:eastAsia="Times New Roman" w:hAnsi="Times New Roman"/>
          <w:i/>
          <w:iCs/>
          <w:sz w:val="18"/>
          <w:szCs w:val="18"/>
        </w:rPr>
        <w:t xml:space="preserve">Source: Sections 4.5–4.11.</w:t>
      </w:r>
    </w:p>
    <w:p>
      <w:pPr>
        <w:pStyle w:val="Heading2"/>
        <w:keepNext/>
        <w:spacing w:after="240" w:before="360"/>
      </w:pPr>
      <w:r>
        <w:rPr>
          <w:rFonts w:ascii="Times New Roman" w:cs="Times New Roman" w:eastAsia="Times New Roman" w:hAnsi="Times New Roman"/>
          <w:b/>
          <w:bCs/>
          <w:sz w:val="24"/>
          <w:szCs w:val="24"/>
        </w:rPr>
        <w:t xml:space="preserve">4.16 STATUS OF STUDY OBJECTIVES</w:t>
      </w:r>
    </w:p>
    <w:p>
      <w:pPr>
        <w:pStyle w:val="TableCaption"/>
        <w:keepNext/>
        <w:spacing w:after="80" w:before="200" w:line="276"/>
        <w:jc w:val="center"/>
      </w:pPr>
      <w:r>
        <w:rPr>
          <w:rFonts w:ascii="Times New Roman" w:cs="Times New Roman" w:eastAsia="Times New Roman" w:hAnsi="Times New Roman"/>
          <w:b/>
          <w:bCs/>
          <w:sz w:val="22"/>
          <w:szCs w:val="22"/>
        </w:rPr>
        <w:t xml:space="preserve">Table 4.23: </w:t>
      </w:r>
      <w:r>
        <w:rPr>
          <w:rFonts w:ascii="Times New Roman" w:cs="Times New Roman" w:eastAsia="Times New Roman" w:hAnsi="Times New Roman"/>
          <w:sz w:val="22"/>
          <w:szCs w:val="22"/>
        </w:rPr>
        <w:t xml:space="preserve">Objective-by-objective status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360"/>
        <w:gridCol w:w="4100"/>
        <w:gridCol w:w="1988"/>
      </w:tblGrid>
      <w:tr>
        <w:trPr>
          <w:cantSplit/>
          <w:tblHeader/>
        </w:trPr>
        <w:tc>
          <w:tcPr>
            <w:tcW w:type="dxa" w:w="23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Objective</w:t>
            </w:r>
          </w:p>
        </w:tc>
        <w:tc>
          <w:tcPr>
            <w:tcW w:type="dxa" w:w="4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What was done</w:t>
            </w:r>
          </w:p>
        </w:tc>
        <w:tc>
          <w:tcPr>
            <w:tcW w:type="dxa" w:w="19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Status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S01 Model comparison at 7/14/30 days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Protocols B1 (7 origins) and B2 (4 origins) on Koyambedu with naive benchmarks; statewide holdout plus horizon check</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result negative for complex models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S02 NE Monsoon significance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HAC regressions for 8 series; SHAP ranking of the NE Monsoon deviation index with beeswarm and dependence plots</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effect not detected</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S03 Four-agent AgriSight pipeline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Deterministic agent pipeline and four-role pipeline with freshness gate; nine-page dashboard; live news, weather and local language-model writer implemented</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as prototype; live run pending</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S04 2023 tomato procurement case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13-origin scenario with the 30-day forecast specified in the proposal, and a 14-day comparison</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30-day signal worth ₹170/kg net, but the rules turned it into a ₹219/kg loss</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Deliverable: delta-accuracy test</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XGBoost with vs without weather context, six-month holdout, DM tests</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Achieved; no significant gain</w:t>
            </w:r>
          </w:p>
        </w:tc>
      </w:tr>
      <w:tr>
        <w:trPr>
          <w:cantSplit/>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Primary: useful procurement decision support</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Backtest: 30.4% of cases better than buy-now; unstable thresholds; no shock override</w:t>
            </w:r>
          </w:p>
        </w:tc>
        <w:tc>
          <w:tcPr>
            <w:tcW w:type="dxa" w:w="19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Not yet established</w:t>
            </w:r>
          </w:p>
        </w:tc>
      </w:tr>
    </w:tbl>
    <w:p>
      <w:pPr>
        <w:spacing w:after="200" w:before="60" w:line="240"/>
      </w:pPr>
      <w:r>
        <w:rPr>
          <w:rFonts w:ascii="Times New Roman" w:cs="Times New Roman" w:eastAsia="Times New Roman" w:hAnsi="Times New Roman"/>
          <w:i/>
          <w:iCs/>
          <w:sz w:val="18"/>
          <w:szCs w:val="18"/>
        </w:rPr>
        <w:t xml:space="preserve">Source: Chapter 4.</w:t>
      </w:r>
    </w:p>
    <w:p>
      <w:pPr>
        <w:pageBreakBefore/>
        <w:spacing w:after="0" w:before="1020"/>
        <w:jc w:val="center"/>
      </w:pPr>
      <w:r>
        <w:rPr>
          <w:rFonts w:ascii="Times New Roman" w:cs="Times New Roman" w:eastAsia="Times New Roman" w:hAnsi="Times New Roman"/>
          <w:b/>
          <w:bCs/>
          <w:sz w:val="28"/>
          <w:szCs w:val="28"/>
        </w:rPr>
        <w:t xml:space="preserve">CHAPTER 5</w:t>
      </w:r>
    </w:p>
    <w:p>
      <w:pPr>
        <w:pStyle w:val="Heading1"/>
        <w:spacing w:after="720" w:before="480"/>
        <w:jc w:val="center"/>
      </w:pPr>
      <w:r>
        <w:rPr>
          <w:rFonts w:ascii="Times New Roman" w:cs="Times New Roman" w:eastAsia="Times New Roman" w:hAnsi="Times New Roman"/>
          <w:b/>
          <w:bCs/>
          <w:sz w:val="28"/>
          <w:szCs w:val="28"/>
        </w:rPr>
        <w:t xml:space="preserve">CONCLUSIONS</w:t>
      </w:r>
    </w:p>
    <w:p>
      <w:pPr>
        <w:pStyle w:val="Heading2"/>
        <w:keepNext/>
        <w:spacing w:after="240" w:before="360"/>
      </w:pPr>
      <w:r>
        <w:rPr>
          <w:rFonts w:ascii="Times New Roman" w:cs="Times New Roman" w:eastAsia="Times New Roman" w:hAnsi="Times New Roman"/>
          <w:b/>
          <w:bCs/>
          <w:sz w:val="24"/>
          <w:szCs w:val="24"/>
        </w:rPr>
        <w:t xml:space="preserve">5.1 SUMMARY OF FINDINGS</w:t>
      </w:r>
    </w:p>
    <w:p>
      <w:pPr>
        <w:pStyle w:val="Heading3"/>
        <w:keepNext/>
        <w:spacing w:after="120" w:before="240"/>
      </w:pPr>
      <w:r>
        <w:rPr>
          <w:rFonts w:ascii="Times New Roman" w:cs="Times New Roman" w:eastAsia="Times New Roman" w:hAnsi="Times New Roman"/>
          <w:b/>
          <w:bCs/>
          <w:sz w:val="24"/>
          <w:szCs w:val="24"/>
        </w:rPr>
        <w:t xml:space="preserve">5.1.1 Data and price behaviour</w:t>
      </w:r>
    </w:p>
    <w:p>
      <w:pPr>
        <w:pStyle w:val="ListParagraph"/>
        <w:numPr>
          <w:ilvl w:val="0"/>
          <w:numId w:val="4"/>
        </w:numPr>
        <w:spacing w:after="60" w:line="360"/>
        <w:jc w:val="both"/>
      </w:pPr>
      <w:r>
        <w:rPr>
          <w:rFonts w:ascii="Times New Roman" w:cs="Times New Roman" w:eastAsia="Times New Roman" w:hAnsi="Times New Roman"/>
        </w:rPr>
        <w:t xml:space="preserve">The statewide extract (414,388 records, 451 markets) is complete but dominated by Uzhavar Sandhai (90.7% of records), so its daily median approximates a farmers’-market price rather than a bulk wholesale price.</w:t>
      </w:r>
    </w:p>
    <w:p>
      <w:pPr>
        <w:pStyle w:val="ListParagraph"/>
        <w:numPr>
          <w:ilvl w:val="0"/>
          <w:numId w:val="4"/>
        </w:numPr>
        <w:spacing w:after="60" w:line="360"/>
        <w:jc w:val="both"/>
      </w:pPr>
      <w:r>
        <w:rPr>
          <w:rFonts w:ascii="Times New Roman" w:cs="Times New Roman" w:eastAsia="Times New Roman" w:hAnsi="Times New Roman"/>
        </w:rPr>
        <w:t xml:space="preserve">About 2.7% of statewide records, concentrated in June–July 2024, carry values below ₹300 per quintal that are consistent with per-kg entry; three extreme records above ₹100,000 were removed.</w:t>
      </w:r>
    </w:p>
    <w:p>
      <w:pPr>
        <w:pStyle w:val="ListParagraph"/>
        <w:numPr>
          <w:ilvl w:val="0"/>
          <w:numId w:val="4"/>
        </w:numPr>
        <w:spacing w:after="60" w:line="360"/>
        <w:jc w:val="both"/>
      </w:pPr>
      <w:r>
        <w:rPr>
          <w:rFonts w:ascii="Times New Roman" w:cs="Times New Roman" w:eastAsia="Times New Roman" w:hAnsi="Times New Roman"/>
        </w:rPr>
        <w:t xml:space="preserve">Drumstick and Tomato are the most volatile vegetables in both sources (statewide CV 62% and 48%; Koyambedu CV 51% and 59%). Prices are generally lowest in March–May and highest from August to January.</w:t>
      </w:r>
    </w:p>
    <w:p>
      <w:pPr>
        <w:pStyle w:val="ListParagraph"/>
        <w:numPr>
          <w:ilvl w:val="0"/>
          <w:numId w:val="4"/>
        </w:numPr>
        <w:spacing w:after="60" w:line="360"/>
        <w:jc w:val="both"/>
      </w:pPr>
      <w:r>
        <w:rPr>
          <w:rFonts w:ascii="Times New Roman" w:cs="Times New Roman" w:eastAsia="Times New Roman" w:hAnsi="Times New Roman"/>
        </w:rPr>
        <w:t xml:space="preserve">All eight statewide series are stationary (ADF p &lt; 0.002), and Brinjal, Cabbage, Carrot and Potato move closely together (r = 0.90–0.93).</w:t>
      </w:r>
    </w:p>
    <w:p>
      <w:pPr>
        <w:pStyle w:val="Heading3"/>
        <w:keepNext/>
        <w:spacing w:after="120" w:before="240"/>
      </w:pPr>
      <w:r>
        <w:rPr>
          <w:rFonts w:ascii="Times New Roman" w:cs="Times New Roman" w:eastAsia="Times New Roman" w:hAnsi="Times New Roman"/>
          <w:b/>
          <w:bCs/>
          <w:sz w:val="24"/>
          <w:szCs w:val="24"/>
        </w:rPr>
        <w:t xml:space="preserve">5.1.2 Forecasting</w:t>
      </w:r>
    </w:p>
    <w:p>
      <w:pPr>
        <w:pStyle w:val="ListParagraph"/>
        <w:numPr>
          <w:ilvl w:val="0"/>
          <w:numId w:val="4"/>
        </w:numPr>
        <w:spacing w:after="60" w:line="360"/>
        <w:jc w:val="both"/>
      </w:pPr>
      <w:r>
        <w:rPr>
          <w:rFonts w:ascii="Times New Roman" w:cs="Times New Roman" w:eastAsia="Times New Roman" w:hAnsi="Times New Roman"/>
        </w:rPr>
        <w:t xml:space="preserve">Statewide 90-day holdout: SARIMA refitted weekly 10.46% MAPE; Random Forest 11.32%; XGBoost 13.98%; Prophet 19.33%; static SARIMA 32.60%.</w:t>
      </w:r>
    </w:p>
    <w:p>
      <w:pPr>
        <w:pStyle w:val="ListParagraph"/>
        <w:numPr>
          <w:ilvl w:val="0"/>
          <w:numId w:val="4"/>
        </w:numPr>
        <w:spacing w:after="60" w:line="360"/>
        <w:jc w:val="both"/>
      </w:pPr>
      <w:r>
        <w:rPr>
          <w:rFonts w:ascii="Times New Roman" w:cs="Times New Roman" w:eastAsia="Times New Roman" w:hAnsi="Times New Roman"/>
        </w:rPr>
        <w:t xml:space="preserve">Those model scores are next-day scores. On the same test window, yesterday’s price alone gives 4.20% MAPE and beats every model for every commodity; a genuine seven-day-ahead XGBoost gives 27.09%.</w:t>
      </w:r>
    </w:p>
    <w:p>
      <w:pPr>
        <w:pStyle w:val="ListParagraph"/>
        <w:numPr>
          <w:ilvl w:val="0"/>
          <w:numId w:val="4"/>
        </w:numPr>
        <w:spacing w:after="60" w:line="360"/>
        <w:jc w:val="both"/>
      </w:pPr>
      <w:r>
        <w:rPr>
          <w:rFonts w:ascii="Times New Roman" w:cs="Times New Roman" w:eastAsia="Times New Roman" w:hAnsi="Times New Roman"/>
        </w:rPr>
        <w:t xml:space="preserve">SHAP shows that the fitted models rely mainly on recent price level: the 52-week position and each model’s own previous-day price. Weather and festival features contribute little.</w:t>
      </w:r>
    </w:p>
    <w:p>
      <w:pPr>
        <w:pStyle w:val="ListParagraph"/>
        <w:numPr>
          <w:ilvl w:val="0"/>
          <w:numId w:val="4"/>
        </w:numPr>
        <w:spacing w:after="60" w:line="360"/>
        <w:jc w:val="both"/>
      </w:pPr>
      <w:r>
        <w:rPr>
          <w:rFonts w:ascii="Times New Roman" w:cs="Times New Roman" w:eastAsia="Times New Roman" w:hAnsi="Times New Roman"/>
        </w:rPr>
        <w:t xml:space="preserve">Koyambedu, seven origins, 7–30 days: the last observed price has the lowest WAPE (11.88%), then SARIMA (12.28%); XGBoost (15.36%), Random Forest (16.63%) and Prophet (23.82%) are worse. A second four-origin evaluation gives the same ranking.</w:t>
      </w:r>
    </w:p>
    <w:p>
      <w:pPr>
        <w:pStyle w:val="ListParagraph"/>
        <w:numPr>
          <w:ilvl w:val="0"/>
          <w:numId w:val="4"/>
        </w:numPr>
        <w:spacing w:after="60" w:line="360"/>
        <w:jc w:val="both"/>
      </w:pPr>
      <w:r>
        <w:rPr>
          <w:rFonts w:ascii="Times New Roman" w:cs="Times New Roman" w:eastAsia="Times New Roman" w:hAnsi="Times New Roman"/>
        </w:rPr>
        <w:t xml:space="preserve">The tree-model error presented at the second review (6.28%) came from an earlier feature build, could not be reproduced and is superseded.</w:t>
      </w:r>
    </w:p>
    <w:p>
      <w:pPr>
        <w:pStyle w:val="Heading3"/>
        <w:keepNext/>
        <w:spacing w:after="120" w:before="240"/>
      </w:pPr>
      <w:r>
        <w:rPr>
          <w:rFonts w:ascii="Times New Roman" w:cs="Times New Roman" w:eastAsia="Times New Roman" w:hAnsi="Times New Roman"/>
          <w:b/>
          <w:bCs/>
          <w:sz w:val="24"/>
          <w:szCs w:val="24"/>
        </w:rPr>
        <w:t xml:space="preserve">5.1.3 Monsoon, decision layer and procurement</w:t>
      </w:r>
    </w:p>
    <w:p>
      <w:pPr>
        <w:pStyle w:val="ListParagraph"/>
        <w:numPr>
          <w:ilvl w:val="0"/>
          <w:numId w:val="4"/>
        </w:numPr>
        <w:spacing w:after="60" w:line="360"/>
        <w:jc w:val="both"/>
      </w:pPr>
      <w:r>
        <w:rPr>
          <w:rFonts w:ascii="Times New Roman" w:cs="Times New Roman" w:eastAsia="Times New Roman" w:hAnsi="Times New Roman"/>
        </w:rPr>
        <w:t xml:space="preserve">No Northeast Monsoon rainfall-anomaly effect was detected (p = 0.26–0.92). Prior seven-day momentum is significantly negative for all eight vegetables, indicating short-run mean reversion.</w:t>
      </w:r>
    </w:p>
    <w:p>
      <w:pPr>
        <w:pStyle w:val="ListParagraph"/>
        <w:numPr>
          <w:ilvl w:val="0"/>
          <w:numId w:val="4"/>
        </w:numPr>
        <w:spacing w:after="60" w:line="360"/>
        <w:jc w:val="both"/>
      </w:pPr>
      <w:r>
        <w:rPr>
          <w:rFonts w:ascii="Times New Roman" w:cs="Times New Roman" w:eastAsia="Times New Roman" w:hAnsi="Times New Roman"/>
        </w:rPr>
        <w:t xml:space="preserve">The four-agent pipeline works end to end and the freshness gate correctly abstained on 181-day-old statewide data. The deterministic agent pipeline was found to produce identical 7- and 14-day forecasts and contradictory action and signal labels. The live weather and news components and the local language-model writer, with a safeguard against altered prices, are implemented; their live run is pending.</w:t>
      </w:r>
    </w:p>
    <w:p>
      <w:pPr>
        <w:pStyle w:val="ListParagraph"/>
        <w:numPr>
          <w:ilvl w:val="0"/>
          <w:numId w:val="4"/>
        </w:numPr>
        <w:spacing w:after="60" w:line="360"/>
        <w:jc w:val="both"/>
      </w:pPr>
      <w:r>
        <w:rPr>
          <w:rFonts w:ascii="Times New Roman" w:cs="Times New Roman" w:eastAsia="Times New Roman" w:hAnsi="Times New Roman"/>
        </w:rPr>
        <w:t xml:space="preserve">In 56 backtest cases the advice beat buying immediately in 30.4% of cases, with a mean gain of ₹66 per 100 kg lot, almost entirely from DELAY decisions. 14% of actions changed under a library-version change.</w:t>
      </w:r>
    </w:p>
    <w:p>
      <w:pPr>
        <w:pStyle w:val="ListParagraph"/>
        <w:numPr>
          <w:ilvl w:val="0"/>
          <w:numId w:val="4"/>
        </w:numPr>
        <w:spacing w:after="60" w:line="360"/>
        <w:jc w:val="both"/>
      </w:pPr>
      <w:r>
        <w:rPr>
          <w:rFonts w:ascii="Times New Roman" w:cs="Times New Roman" w:eastAsia="Times New Roman" w:hAnsi="Times New Roman"/>
        </w:rPr>
        <w:t xml:space="preserve">In the 2023 tomato episode the 14-day advice recommended delay on 10, 17 and 24 June, just before prices rose to ₹70–97/kg (cumulative −₹120/kg against buying immediately).</w:t>
      </w:r>
    </w:p>
    <w:p>
      <w:pPr>
        <w:pStyle w:val="ListParagraph"/>
        <w:numPr>
          <w:ilvl w:val="0"/>
          <w:numId w:val="4"/>
        </w:numPr>
        <w:spacing w:after="60" w:line="360"/>
        <w:jc w:val="both"/>
      </w:pPr>
      <w:r>
        <w:rPr>
          <w:rFonts w:ascii="Times New Roman" w:cs="Times New Roman" w:eastAsia="Times New Roman" w:hAnsi="Times New Roman"/>
        </w:rPr>
        <w:t xml:space="preserve">The 30-day forecast specified in the proposal gave an early warning: it signalled a rise of more than 100% from 29 April 2023 and was right at 7 of 9 rise signals, a signal worth about ₹170/kg net to a forward buyer. The rules rated these large rises as high-risk, downgraded them to partial purchases and then delayed in late June, turning the signal into a −₹219/kg result.</w:t>
      </w:r>
    </w:p>
    <w:p>
      <w:pPr>
        <w:pStyle w:val="ListParagraph"/>
        <w:numPr>
          <w:ilvl w:val="0"/>
          <w:numId w:val="4"/>
        </w:numPr>
        <w:spacing w:after="60" w:line="360"/>
        <w:jc w:val="both"/>
      </w:pPr>
      <w:r>
        <w:rPr>
          <w:rFonts w:ascii="Times New Roman" w:cs="Times New Roman" w:eastAsia="Times New Roman" w:hAnsi="Times New Roman"/>
        </w:rPr>
        <w:t xml:space="preserve">SHAP ranked the Northeast Monsoon deviation index 12th to 15th of 16 features, far behind the price at the forecast origin (23–51% of attribution), and adding weather context to XGBoost gave no significant gain on a six-month holdout (DM p = 0.10–0.98).</w:t>
      </w:r>
    </w:p>
    <w:p>
      <w:pPr>
        <w:pStyle w:val="Heading2"/>
        <w:keepNext/>
        <w:spacing w:after="240" w:before="360"/>
      </w:pPr>
      <w:r>
        <w:rPr>
          <w:rFonts w:ascii="Times New Roman" w:cs="Times New Roman" w:eastAsia="Times New Roman" w:hAnsi="Times New Roman"/>
          <w:b/>
          <w:bCs/>
          <w:sz w:val="24"/>
          <w:szCs w:val="24"/>
        </w:rPr>
        <w:t xml:space="preserve">5.2 RESULTS AT A GLANCE AND CONTRIBUTIONS OF THE STUDY</w:t>
      </w:r>
    </w:p>
    <w:p>
      <w:pPr>
        <w:spacing w:after="120" w:before="0" w:line="360"/>
        <w:ind w:firstLine="1134"/>
        <w:jc w:val="both"/>
      </w:pPr>
      <w:r>
        <w:rPr>
          <w:rFonts w:ascii="Times New Roman" w:cs="Times New Roman" w:eastAsia="Times New Roman" w:hAnsi="Times New Roman"/>
        </w:rPr>
        <w:t xml:space="preserve">A negative result means that the evidence did not support a hypothesis. It is not a failure of the study. Each objective was tested with a defined, reproducible procedure, and each produced a clear answer. Table 5.1 summarises what was expected, what was found and what the finding means for a procurement buyer.</w:t>
      </w:r>
    </w:p>
    <w:p>
      <w:pPr>
        <w:pStyle w:val="TableCaption"/>
        <w:keepNext/>
        <w:spacing w:after="80" w:before="200" w:line="276"/>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Results at a glance: expectation, finding and implication</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72"/>
        <w:gridCol w:w="965"/>
        <w:gridCol w:w="2896"/>
        <w:gridCol w:w="2415"/>
      </w:tblGrid>
      <w:tr>
        <w:trPr>
          <w:cantSplit/>
          <w:tblHeader/>
        </w:trPr>
        <w:tc>
          <w:tcPr>
            <w:tcW w:type="dxa" w:w="217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Objective / hypothesis</w:t>
            </w:r>
          </w:p>
        </w:tc>
        <w:tc>
          <w:tcPr>
            <w:tcW w:type="dxa" w:w="96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Expected</w:t>
            </w:r>
          </w:p>
        </w:tc>
        <w:tc>
          <w:tcPr>
            <w:tcW w:type="dxa" w:w="28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Finding</w:t>
            </w:r>
          </w:p>
        </w:tc>
        <w:tc>
          <w:tcPr>
            <w:tcW w:type="dxa" w:w="241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Implication for buyers</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S01 / H1: ML models beat SARIMA and naive forecasts</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Yes</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 Yesterday’s price (4.20% statewide) and the last observed price (11.88% WAPE, Koyambedu) were best</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Use the naive forecast as the benchmark any tool must beat</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S02 / H2: NE Monsoon rainfall predicts price movement</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Yes</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 significant effect (p = 0.26–0.92); SHAP rank 12th–15th of 16; no gain from weather context; short-run mean reversion significant for all 8 vegetables</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Expect partial reversal after sharp weekly moves, except in supply shocks</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S03: four-agent AgriSight pipeline</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Working prototype</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Achieved: end-to-end pipeline, freshness gate, 9-page dashboard, safeguards on the AI writer</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A transparent monitoring and evaluation platform</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S04: value of the 30-day forecast before July 2023</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Savings</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Qualified. The 30-day signal warned from 29 April and was worth about ₹170/kg net, but the rules turned it into a −₹219/kg loss</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Use the 30-day forecast as an early warning; redesign the rules before acting on it</w:t>
            </w:r>
          </w:p>
        </w:tc>
      </w:tr>
      <w:tr>
        <w:trPr>
          <w:cantSplit/>
        </w:trPr>
        <w:tc>
          <w:tcPr>
            <w:tcW w:type="dxa" w:w="21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Benchmark hypothesis H0: no model beats the last price</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sz w:val="17"/>
                <w:szCs w:val="17"/>
              </w:rPr>
              <w:t xml:space="preserve">(Implicit)</w:t>
            </w:r>
          </w:p>
        </w:tc>
        <w:tc>
          <w:tcPr>
            <w:tcW w:type="dxa" w:w="28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Not rejected on either dataset or any horizon</w:t>
            </w:r>
          </w:p>
        </w:tc>
        <w:tc>
          <w:tcPr>
            <w:tcW w:type="dxa" w:w="24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Invest in supply data and decision rules, not more complex price-only models</w:t>
            </w:r>
          </w:p>
        </w:tc>
      </w:tr>
    </w:tbl>
    <w:p>
      <w:pPr>
        <w:spacing w:after="200" w:before="60" w:line="240"/>
      </w:pPr>
      <w:r>
        <w:rPr>
          <w:rFonts w:ascii="Times New Roman" w:cs="Times New Roman" w:eastAsia="Times New Roman" w:hAnsi="Times New Roman"/>
          <w:i/>
          <w:iCs/>
          <w:sz w:val="18"/>
          <w:szCs w:val="18"/>
        </w:rPr>
        <w:t xml:space="preserve">Source: Chapter 4.</w:t>
      </w:r>
    </w:p>
    <w:p>
      <w:pPr>
        <w:spacing w:after="120" w:before="0" w:line="360"/>
        <w:ind w:firstLine="1134"/>
        <w:jc w:val="both"/>
      </w:pPr>
      <w:r>
        <w:rPr>
          <w:rFonts w:ascii="Times New Roman" w:cs="Times New Roman" w:eastAsia="Times New Roman" w:hAnsi="Times New Roman"/>
        </w:rPr>
        <w:t xml:space="preserve">The study makes six contributions:</w:t>
      </w:r>
    </w:p>
    <w:p>
      <w:pPr>
        <w:pStyle w:val="ListParagraph"/>
        <w:numPr>
          <w:ilvl w:val="0"/>
          <w:numId w:val="5"/>
        </w:numPr>
        <w:spacing w:after="60" w:line="360"/>
        <w:jc w:val="both"/>
      </w:pPr>
      <w:r>
        <w:rPr>
          <w:rFonts w:ascii="Times New Roman" w:cs="Times New Roman" w:eastAsia="Times New Roman" w:hAnsi="Times New Roman"/>
          <w:b/>
          <w:bCs/>
        </w:rPr>
        <w:t xml:space="preserve">A rigorous benchmark comparison.</w:t>
      </w:r>
      <w:r>
        <w:rPr>
          <w:rFonts w:ascii="Times New Roman" w:cs="Times New Roman" w:eastAsia="Times New Roman" w:hAnsi="Times New Roman"/>
        </w:rPr>
        <w:t xml:space="preserve"> Four model families were compared with naive baselines on two independent price sources, at matched origins and 7-, 14- and 30-day horizons, which is the comparison objective S01 required and which much of the applied literature omits.</w:t>
      </w:r>
    </w:p>
    <w:p>
      <w:pPr>
        <w:pStyle w:val="ListParagraph"/>
        <w:numPr>
          <w:ilvl w:val="0"/>
          <w:numId w:val="5"/>
        </w:numPr>
        <w:spacing w:after="60" w:line="360"/>
        <w:jc w:val="both"/>
      </w:pPr>
      <w:r>
        <w:rPr>
          <w:rFonts w:ascii="Times New Roman" w:cs="Times New Roman" w:eastAsia="Times New Roman" w:hAnsi="Times New Roman"/>
          <w:b/>
          <w:bCs/>
        </w:rPr>
        <w:t xml:space="preserve">Detection of a common evaluation pitfall.</w:t>
      </w:r>
      <w:r>
        <w:rPr>
          <w:rFonts w:ascii="Times New Roman" w:cs="Times New Roman" w:eastAsia="Times New Roman" w:hAnsi="Times New Roman"/>
        </w:rPr>
        <w:t xml:space="preserve"> The horizon-sensitivity check (protocol A3) showed that apparently good machine-learning accuracy was next-day persistence: a genuine seven-day-ahead model was three times worse than the naive benchmark. The same check can be applied to any vendor or published forecast.</w:t>
      </w:r>
    </w:p>
    <w:p>
      <w:pPr>
        <w:pStyle w:val="ListParagraph"/>
        <w:numPr>
          <w:ilvl w:val="0"/>
          <w:numId w:val="5"/>
        </w:numPr>
        <w:spacing w:after="60" w:line="360"/>
        <w:jc w:val="both"/>
      </w:pPr>
      <w:r>
        <w:rPr>
          <w:rFonts w:ascii="Times New Roman" w:cs="Times New Roman" w:eastAsia="Times New Roman" w:hAnsi="Times New Roman"/>
          <w:b/>
          <w:bCs/>
        </w:rPr>
        <w:t xml:space="preserve">A usable market regularity.</w:t>
      </w:r>
      <w:r>
        <w:rPr>
          <w:rFonts w:ascii="Times New Roman" w:cs="Times New Roman" w:eastAsia="Times New Roman" w:hAnsi="Times New Roman"/>
        </w:rPr>
        <w:t xml:space="preserve"> Weekly price moves partly reverse (negative momentum, all eight vegetables, p &lt; 0.03), which explains when delaying a purchase has paid and when it has not.</w:t>
      </w:r>
    </w:p>
    <w:p>
      <w:pPr>
        <w:pStyle w:val="ListParagraph"/>
        <w:numPr>
          <w:ilvl w:val="0"/>
          <w:numId w:val="5"/>
        </w:numPr>
        <w:spacing w:after="60" w:line="360"/>
        <w:jc w:val="both"/>
      </w:pPr>
      <w:r>
        <w:rPr>
          <w:rFonts w:ascii="Times New Roman" w:cs="Times New Roman" w:eastAsia="Times New Roman" w:hAnsi="Times New Roman"/>
          <w:b/>
          <w:bCs/>
        </w:rPr>
        <w:t xml:space="preserve">Evidence of when automated advice fails, and why.</w:t>
      </w:r>
      <w:r>
        <w:rPr>
          <w:rFonts w:ascii="Times New Roman" w:cs="Times New Roman" w:eastAsia="Times New Roman" w:hAnsi="Times New Roman"/>
        </w:rPr>
        <w:t xml:space="preserve"> The 2023 tomato case shows that the 30-day forecast contained a genuine early warning, but that a risk score built partly from the size of the forecast change suppressed exactly the strongest buy signals. This identifies a specific, fixable design flaw rather than a general failure of forecasting.</w:t>
      </w:r>
    </w:p>
    <w:p>
      <w:pPr>
        <w:pStyle w:val="ListParagraph"/>
        <w:numPr>
          <w:ilvl w:val="0"/>
          <w:numId w:val="5"/>
        </w:numPr>
        <w:spacing w:after="60" w:line="360"/>
        <w:jc w:val="both"/>
      </w:pPr>
      <w:r>
        <w:rPr>
          <w:rFonts w:ascii="Times New Roman" w:cs="Times New Roman" w:eastAsia="Times New Roman" w:hAnsi="Times New Roman"/>
          <w:b/>
          <w:bCs/>
        </w:rPr>
        <w:t xml:space="preserve">A working, reproducible system.</w:t>
      </w:r>
      <w:r>
        <w:rPr>
          <w:rFonts w:ascii="Times New Roman" w:cs="Times New Roman" w:eastAsia="Times New Roman" w:hAnsi="Times New Roman"/>
        </w:rPr>
        <w:t xml:space="preserve"> The AgriSight pipeline runs end to end from raw data to dashboard, with a freshness gate, documented code corrections, automated checks, and a safeguard designed to reject any AI-written brief that alters a price.</w:t>
      </w:r>
    </w:p>
    <w:p>
      <w:pPr>
        <w:pStyle w:val="ListParagraph"/>
        <w:numPr>
          <w:ilvl w:val="0"/>
          <w:numId w:val="5"/>
        </w:numPr>
        <w:spacing w:after="60" w:line="360"/>
        <w:jc w:val="both"/>
      </w:pPr>
      <w:r>
        <w:rPr>
          <w:rFonts w:ascii="Times New Roman" w:cs="Times New Roman" w:eastAsia="Times New Roman" w:hAnsi="Times New Roman"/>
          <w:b/>
          <w:bCs/>
        </w:rPr>
        <w:t xml:space="preserve">Data-quality findings with practical value.</w:t>
      </w:r>
      <w:r>
        <w:rPr>
          <w:rFonts w:ascii="Times New Roman" w:cs="Times New Roman" w:eastAsia="Times New Roman" w:hAnsi="Times New Roman"/>
        </w:rPr>
        <w:t xml:space="preserve"> The statewide Agmarknet extract is 90.7% farmers’-market records and contains apparent per-kg entries in per-quintal fields, which any user of this dataset needs to know.</w:t>
      </w:r>
    </w:p>
    <w:p>
      <w:pPr>
        <w:pStyle w:val="Heading2"/>
        <w:keepNext/>
        <w:spacing w:after="240" w:before="360"/>
      </w:pPr>
      <w:r>
        <w:rPr>
          <w:rFonts w:ascii="Times New Roman" w:cs="Times New Roman" w:eastAsia="Times New Roman" w:hAnsi="Times New Roman"/>
          <w:b/>
          <w:bCs/>
          <w:sz w:val="24"/>
          <w:szCs w:val="24"/>
        </w:rPr>
        <w:t xml:space="preserve">5.3 SUGGESTIONS AND RECOMMENDATIONS</w:t>
      </w:r>
    </w:p>
    <w:p>
      <w:pPr>
        <w:spacing w:after="120" w:before="0" w:line="360"/>
        <w:ind w:firstLine="1134"/>
        <w:jc w:val="both"/>
      </w:pPr>
      <w:r>
        <w:rPr>
          <w:rFonts w:ascii="Times New Roman" w:cs="Times New Roman" w:eastAsia="Times New Roman" w:hAnsi="Times New Roman"/>
        </w:rPr>
        <w:t xml:space="preserve">The following recommendations are addressed to procurement managers considering forecast-based purchasing and to anyone extending the AgriSight pipeline.</w:t>
      </w:r>
    </w:p>
    <w:p>
      <w:pPr>
        <w:pStyle w:val="ListParagraph"/>
        <w:numPr>
          <w:ilvl w:val="0"/>
          <w:numId w:val="6"/>
        </w:numPr>
        <w:spacing w:after="60" w:line="360"/>
        <w:jc w:val="both"/>
      </w:pPr>
      <w:r>
        <w:rPr>
          <w:rFonts w:ascii="Times New Roman" w:cs="Times New Roman" w:eastAsia="Times New Roman" w:hAnsi="Times New Roman"/>
          <w:b/>
          <w:bCs/>
        </w:rPr>
        <w:t xml:space="preserve">Adopt the naive forecast as the procurement benchmark.</w:t>
      </w:r>
      <w:r>
        <w:rPr>
          <w:rFonts w:ascii="Times New Roman" w:cs="Times New Roman" w:eastAsia="Times New Roman" w:hAnsi="Times New Roman"/>
        </w:rPr>
        <w:t xml:space="preserve"> Any forecast offered to buyers, whether in-house or from a vendor, should be reported alongside the last-observed-price forecast at the same horizon. A model that does not beat it should not drive purchase timing.</w:t>
      </w:r>
    </w:p>
    <w:p>
      <w:pPr>
        <w:pStyle w:val="ListParagraph"/>
        <w:numPr>
          <w:ilvl w:val="0"/>
          <w:numId w:val="6"/>
        </w:numPr>
        <w:spacing w:after="60" w:line="360"/>
        <w:jc w:val="both"/>
      </w:pPr>
      <w:r>
        <w:rPr>
          <w:rFonts w:ascii="Times New Roman" w:cs="Times New Roman" w:eastAsia="Times New Roman" w:hAnsi="Times New Roman"/>
          <w:b/>
          <w:bCs/>
        </w:rPr>
        <w:t xml:space="preserve">Use SARIMA refitted weekly as the default statistical model</w:t>
      </w:r>
      <w:r>
        <w:rPr>
          <w:rFonts w:ascii="Times New Roman" w:cs="Times New Roman" w:eastAsia="Times New Roman" w:hAnsi="Times New Roman"/>
        </w:rPr>
        <w:t xml:space="preserve"> where a model is needed, for example to produce intervals. It was consistently second to the naive forecast and far cheaper to maintain than the tree models.</w:t>
      </w:r>
    </w:p>
    <w:p>
      <w:pPr>
        <w:pStyle w:val="ListParagraph"/>
        <w:numPr>
          <w:ilvl w:val="0"/>
          <w:numId w:val="6"/>
        </w:numPr>
        <w:spacing w:after="60" w:line="360"/>
        <w:jc w:val="both"/>
      </w:pPr>
      <w:r>
        <w:rPr>
          <w:rFonts w:ascii="Times New Roman" w:cs="Times New Roman" w:eastAsia="Times New Roman" w:hAnsi="Times New Roman"/>
          <w:b/>
          <w:bCs/>
        </w:rPr>
        <w:t xml:space="preserve">Exploit short-run mean reversion cautiously.</w:t>
      </w:r>
      <w:r>
        <w:rPr>
          <w:rFonts w:ascii="Times New Roman" w:cs="Times New Roman" w:eastAsia="Times New Roman" w:hAnsi="Times New Roman"/>
        </w:rPr>
        <w:t xml:space="preserve"> After a sharp weekly price rise, deferring discretionary volume has on average paid. This rule must carry a shock override (Recommendation 4).</w:t>
      </w:r>
    </w:p>
    <w:p>
      <w:pPr>
        <w:pStyle w:val="ListParagraph"/>
        <w:numPr>
          <w:ilvl w:val="0"/>
          <w:numId w:val="6"/>
        </w:numPr>
        <w:spacing w:after="60" w:line="360"/>
        <w:jc w:val="both"/>
      </w:pPr>
      <w:r>
        <w:rPr>
          <w:rFonts w:ascii="Times New Roman" w:cs="Times New Roman" w:eastAsia="Times New Roman" w:hAnsi="Times New Roman"/>
          <w:b/>
          <w:bCs/>
        </w:rPr>
        <w:t xml:space="preserve">Separate forecast direction from risk in the decision rules.</w:t>
      </w:r>
      <w:r>
        <w:rPr>
          <w:rFonts w:ascii="Times New Roman" w:cs="Times New Roman" w:eastAsia="Times New Roman" w:hAnsi="Times New Roman"/>
        </w:rPr>
        <w:t xml:space="preserve"> The risk score should measure uncertainty, for example forecast error or recent volatility, and must not rise with the size of the forecast change; otherwise the strongest buy signals are downgraded, as happened in the 2023 tomato case.</w:t>
      </w:r>
    </w:p>
    <w:p>
      <w:pPr>
        <w:pStyle w:val="ListParagraph"/>
        <w:numPr>
          <w:ilvl w:val="0"/>
          <w:numId w:val="6"/>
        </w:numPr>
        <w:spacing w:after="60" w:line="360"/>
        <w:jc w:val="both"/>
      </w:pPr>
      <w:r>
        <w:rPr>
          <w:rFonts w:ascii="Times New Roman" w:cs="Times New Roman" w:eastAsia="Times New Roman" w:hAnsi="Times New Roman"/>
          <w:b/>
          <w:bCs/>
        </w:rPr>
        <w:t xml:space="preserve">Use the 30-day forecast as an early-warning signal.</w:t>
      </w:r>
      <w:r>
        <w:rPr>
          <w:rFonts w:ascii="Times New Roman" w:cs="Times New Roman" w:eastAsia="Times New Roman" w:hAnsi="Times New Roman"/>
        </w:rPr>
        <w:t xml:space="preserve"> In the 2023 episode it flagged the rise two months ahead. Buyers can use such a signal to negotiate forward prices or secure supply, rather than to time individual purchases.</w:t>
      </w:r>
    </w:p>
    <w:p>
      <w:pPr>
        <w:pStyle w:val="ListParagraph"/>
        <w:numPr>
          <w:ilvl w:val="0"/>
          <w:numId w:val="6"/>
        </w:numPr>
        <w:spacing w:after="60" w:line="360"/>
        <w:jc w:val="both"/>
      </w:pPr>
      <w:r>
        <w:rPr>
          <w:rFonts w:ascii="Times New Roman" w:cs="Times New Roman" w:eastAsia="Times New Roman" w:hAnsi="Times New Roman"/>
          <w:b/>
          <w:bCs/>
        </w:rPr>
        <w:t xml:space="preserve">Add a supply-shock override to the decision rules.</w:t>
      </w:r>
      <w:r>
        <w:rPr>
          <w:rFonts w:ascii="Times New Roman" w:cs="Times New Roman" w:eastAsia="Times New Roman" w:hAnsi="Times New Roman"/>
        </w:rPr>
        <w:t xml:space="preserve"> Never advise DELAY when price has risen for two or more consecutive weeks, or when arrivals fall below their seasonal norm. In the 2023 tomato case this rule would have converted three loss-making delays into purchases.</w:t>
      </w:r>
    </w:p>
    <w:p>
      <w:pPr>
        <w:pStyle w:val="ListParagraph"/>
        <w:numPr>
          <w:ilvl w:val="0"/>
          <w:numId w:val="6"/>
        </w:numPr>
        <w:spacing w:after="60" w:line="360"/>
        <w:jc w:val="both"/>
      </w:pPr>
      <w:r>
        <w:rPr>
          <w:rFonts w:ascii="Times New Roman" w:cs="Times New Roman" w:eastAsia="Times New Roman" w:hAnsi="Times New Roman"/>
          <w:b/>
          <w:bCs/>
        </w:rPr>
        <w:t xml:space="preserve">Replace hard thresholds with uncertainty-scaled thresholds.</w:t>
      </w:r>
      <w:r>
        <w:rPr>
          <w:rFonts w:ascii="Times New Roman" w:cs="Times New Roman" w:eastAsia="Times New Roman" w:hAnsi="Times New Roman"/>
        </w:rPr>
        <w:t xml:space="preserve"> Act only when the forecast change exceeds, for example, one forecast standard error, and abstain otherwise. This removes the instability that changed 14% of backtest actions between library versions.</w:t>
      </w:r>
    </w:p>
    <w:p>
      <w:pPr>
        <w:pStyle w:val="ListParagraph"/>
        <w:numPr>
          <w:ilvl w:val="0"/>
          <w:numId w:val="6"/>
        </w:numPr>
        <w:spacing w:after="60" w:line="360"/>
        <w:jc w:val="both"/>
      </w:pPr>
      <w:r>
        <w:rPr>
          <w:rFonts w:ascii="Times New Roman" w:cs="Times New Roman" w:eastAsia="Times New Roman" w:hAnsi="Times New Roman"/>
          <w:b/>
          <w:bCs/>
        </w:rPr>
        <w:t xml:space="preserve">Correct the identified design weaknesses before further use:</w:t>
      </w:r>
      <w:r>
        <w:rPr>
          <w:rFonts w:ascii="Times New Roman" w:cs="Times New Roman" w:eastAsia="Times New Roman" w:hAnsi="Times New Roman"/>
        </w:rPr>
        <w:t xml:space="preserve"> true multi-step forecasts in the deterministic agent pipeline, one action vocabulary instead of separate action and signal fields, removal of the misleading “savings” field, and exclusion of each model’s own previous-day price when a horizon longer than one day is intended.</w:t>
      </w:r>
    </w:p>
    <w:p>
      <w:pPr>
        <w:pStyle w:val="ListParagraph"/>
        <w:numPr>
          <w:ilvl w:val="0"/>
          <w:numId w:val="6"/>
        </w:numPr>
        <w:spacing w:after="60" w:line="360"/>
        <w:jc w:val="both"/>
      </w:pPr>
      <w:r>
        <w:rPr>
          <w:rFonts w:ascii="Times New Roman" w:cs="Times New Roman" w:eastAsia="Times New Roman" w:hAnsi="Times New Roman"/>
          <w:b/>
          <w:bCs/>
        </w:rPr>
        <w:t xml:space="preserve">Clean and segment the statewide data.</w:t>
      </w:r>
      <w:r>
        <w:rPr>
          <w:rFonts w:ascii="Times New Roman" w:cs="Times New Roman" w:eastAsia="Times New Roman" w:hAnsi="Times New Roman"/>
        </w:rPr>
        <w:t xml:space="preserve"> Correct or exclude the per-kg entries in per-quintal fields, and model Uzhavar Sandhai (retail-like) and regulated wholesale markets separately, so that buyers see a price relevant to bulk purchase.</w:t>
      </w:r>
    </w:p>
    <w:p>
      <w:pPr>
        <w:pStyle w:val="ListParagraph"/>
        <w:numPr>
          <w:ilvl w:val="0"/>
          <w:numId w:val="6"/>
        </w:numPr>
        <w:spacing w:after="60" w:line="360"/>
        <w:jc w:val="both"/>
      </w:pPr>
      <w:r>
        <w:rPr>
          <w:rFonts w:ascii="Times New Roman" w:cs="Times New Roman" w:eastAsia="Times New Roman" w:hAnsi="Times New Roman"/>
          <w:b/>
          <w:bCs/>
        </w:rPr>
        <w:t xml:space="preserve">Acquire market-arrival volumes and producer-region weather.</w:t>
      </w:r>
      <w:r>
        <w:rPr>
          <w:rFonts w:ascii="Times New Roman" w:cs="Times New Roman" w:eastAsia="Times New Roman" w:hAnsi="Times New Roman"/>
        </w:rPr>
        <w:t xml:space="preserve"> The literature (Roy et al., 2024) and this study’s null monsoon result both point to supply volume as the missing predictor. Agmarknet arrival data for Koyambedu and rainfall for Kolar, Krishnagiri and Anantapur are the first candidates.</w:t>
      </w:r>
    </w:p>
    <w:p>
      <w:pPr>
        <w:pStyle w:val="ListParagraph"/>
        <w:numPr>
          <w:ilvl w:val="0"/>
          <w:numId w:val="6"/>
        </w:numPr>
        <w:spacing w:after="60" w:line="360"/>
        <w:jc w:val="both"/>
      </w:pPr>
      <w:r>
        <w:rPr>
          <w:rFonts w:ascii="Times New Roman" w:cs="Times New Roman" w:eastAsia="Times New Roman" w:hAnsi="Times New Roman"/>
          <w:b/>
          <w:bCs/>
        </w:rPr>
        <w:t xml:space="preserve">Validate the Koyambedu price basis.</w:t>
      </w:r>
      <w:r>
        <w:rPr>
          <w:rFonts w:ascii="Times New Roman" w:cs="Times New Roman" w:eastAsia="Times New Roman" w:hAnsi="Times New Roman"/>
        </w:rPr>
        <w:t xml:space="preserve"> Obtain documentation from the Koyambedu Vegetable Merchants’ Council on grade, quote type (wholesale or retail) and collection time, and compare prospectively with invoices.</w:t>
      </w:r>
    </w:p>
    <w:p>
      <w:pPr>
        <w:pStyle w:val="ListParagraph"/>
        <w:numPr>
          <w:ilvl w:val="0"/>
          <w:numId w:val="6"/>
        </w:numPr>
        <w:spacing w:after="60" w:line="360"/>
        <w:jc w:val="both"/>
      </w:pPr>
      <w:r>
        <w:rPr>
          <w:rFonts w:ascii="Times New Roman" w:cs="Times New Roman" w:eastAsia="Times New Roman" w:hAnsi="Times New Roman"/>
          <w:b/>
          <w:bCs/>
        </w:rPr>
        <w:t xml:space="preserve">Run a prospective buyer pilot before claiming savings.</w:t>
      </w:r>
      <w:r>
        <w:rPr>
          <w:rFonts w:ascii="Times New Roman" w:cs="Times New Roman" w:eastAsia="Times New Roman" w:hAnsi="Times New Roman"/>
        </w:rPr>
        <w:t xml:space="preserve"> Record purchase date, quantity, grade, invoice price, spoilage and stockouts for a defined comparison period, with a pre-registered baseline, and evaluate delivered cost per usable kilogram.</w:t>
      </w:r>
    </w:p>
    <w:p>
      <w:pPr>
        <w:pStyle w:val="Heading2"/>
        <w:keepNext/>
        <w:spacing w:after="240" w:before="360"/>
      </w:pPr>
      <w:r>
        <w:rPr>
          <w:rFonts w:ascii="Times New Roman" w:cs="Times New Roman" w:eastAsia="Times New Roman" w:hAnsi="Times New Roman"/>
          <w:b/>
          <w:bCs/>
          <w:sz w:val="24"/>
          <w:szCs w:val="24"/>
        </w:rPr>
        <w:t xml:space="preserve">5.4 MANAGERIAL IMPLICATIONS</w:t>
      </w:r>
    </w:p>
    <w:p>
      <w:pPr>
        <w:spacing w:after="120" w:before="0" w:line="360"/>
        <w:ind w:firstLine="1134"/>
        <w:jc w:val="both"/>
      </w:pPr>
      <w:r>
        <w:rPr>
          <w:rFonts w:ascii="Times New Roman" w:cs="Times New Roman" w:eastAsia="Times New Roman" w:hAnsi="Times New Roman"/>
        </w:rPr>
        <w:t xml:space="preserve">For a procurement manager, the study’s message is reassuring as much as cautionary. The best available short-term forecast of a Tamil Nadu vegetable price is close to what an experienced buyer already watches: today’s price, adjusted for the tendency of sharp weekly moves to partly reverse. Sophisticated models did not improve on this, and an automated rule that trusted them would have delayed purchases at the worst moment of the 2023 tomato shock. Investment is therefore better directed at </w:t>
      </w:r>
      <w:r>
        <w:rPr>
          <w:rFonts w:ascii="Times New Roman" w:cs="Times New Roman" w:eastAsia="Times New Roman" w:hAnsi="Times New Roman"/>
          <w:b/>
          <w:bCs/>
        </w:rPr>
        <w:t xml:space="preserve">information the market does not yet reflect</w:t>
      </w:r>
      <w:r>
        <w:rPr>
          <w:rFonts w:ascii="Times New Roman" w:cs="Times New Roman" w:eastAsia="Times New Roman" w:hAnsi="Times New Roman"/>
        </w:rPr>
        <w:t xml:space="preserve">, such as arrival volumes, producer-region weather and supply news, and at </w:t>
      </w:r>
      <w:r>
        <w:rPr>
          <w:rFonts w:ascii="Times New Roman" w:cs="Times New Roman" w:eastAsia="Times New Roman" w:hAnsi="Times New Roman"/>
          <w:b/>
          <w:bCs/>
        </w:rPr>
        <w:t xml:space="preserve">decision discipline</w:t>
      </w:r>
      <w:r>
        <w:rPr>
          <w:rFonts w:ascii="Times New Roman" w:cs="Times New Roman" w:eastAsia="Times New Roman" w:hAnsi="Times New Roman"/>
        </w:rPr>
        <w:t xml:space="preserve"> (uncertainty-aware thresholds, shock overrides and abstention when data are stale) than at more complex price-only models. The AgriSight pipeline is valuable as a monitoring and evaluation platform: it makes these comparisons repeatable and visible on a dashboard.</w:t>
      </w:r>
    </w:p>
    <w:p>
      <w:pPr>
        <w:pStyle w:val="Heading2"/>
        <w:keepNext/>
        <w:spacing w:after="240" w:before="360"/>
      </w:pPr>
      <w:r>
        <w:rPr>
          <w:rFonts w:ascii="Times New Roman" w:cs="Times New Roman" w:eastAsia="Times New Roman" w:hAnsi="Times New Roman"/>
          <w:b/>
          <w:bCs/>
          <w:sz w:val="24"/>
          <w:szCs w:val="24"/>
        </w:rPr>
        <w:t xml:space="preserve">5.5 LIMITATIONS OF THE STUDY</w:t>
      </w:r>
    </w:p>
    <w:p>
      <w:pPr>
        <w:pStyle w:val="ListParagraph"/>
        <w:numPr>
          <w:ilvl w:val="0"/>
          <w:numId w:val="4"/>
        </w:numPr>
        <w:spacing w:after="60" w:line="360"/>
        <w:jc w:val="both"/>
      </w:pPr>
      <w:r>
        <w:rPr>
          <w:rFonts w:ascii="Times New Roman" w:cs="Times New Roman" w:eastAsia="Times New Roman" w:hAnsi="Times New Roman"/>
          <w:b/>
          <w:bCs/>
        </w:rPr>
        <w:t xml:space="preserve">Secondary data.</w:t>
      </w:r>
      <w:r>
        <w:rPr>
          <w:rFonts w:ascii="Times New Roman" w:cs="Times New Roman" w:eastAsia="Times New Roman" w:hAnsi="Times New Roman"/>
        </w:rPr>
        <w:t xml:space="preserve"> Neither price source was audited at origin. The statewide median mixes farmers’ and wholesale markets, and the Koyambedu API does not state whether quotes are wholesale or retail.</w:t>
      </w:r>
    </w:p>
    <w:p>
      <w:pPr>
        <w:pStyle w:val="ListParagraph"/>
        <w:numPr>
          <w:ilvl w:val="0"/>
          <w:numId w:val="4"/>
        </w:numPr>
        <w:spacing w:after="60" w:line="360"/>
        <w:jc w:val="both"/>
      </w:pPr>
      <w:r>
        <w:rPr>
          <w:rFonts w:ascii="Times New Roman" w:cs="Times New Roman" w:eastAsia="Times New Roman" w:hAnsi="Times New Roman"/>
          <w:b/>
          <w:bCs/>
        </w:rPr>
        <w:t xml:space="preserve">Short statewide history.</w:t>
      </w:r>
      <w:r>
        <w:rPr>
          <w:rFonts w:ascii="Times New Roman" w:cs="Times New Roman" w:eastAsia="Times New Roman" w:hAnsi="Times New Roman"/>
        </w:rPr>
        <w:t xml:space="preserve"> About 27 months of statewide data, with 90-day holdouts, limit seasonal estimation and give few test periods.</w:t>
      </w:r>
    </w:p>
    <w:p>
      <w:pPr>
        <w:pStyle w:val="ListParagraph"/>
        <w:numPr>
          <w:ilvl w:val="0"/>
          <w:numId w:val="4"/>
        </w:numPr>
        <w:spacing w:after="60" w:line="360"/>
        <w:jc w:val="both"/>
      </w:pPr>
      <w:r>
        <w:rPr>
          <w:rFonts w:ascii="Times New Roman" w:cs="Times New Roman" w:eastAsia="Times New Roman" w:hAnsi="Times New Roman"/>
          <w:b/>
          <w:bCs/>
        </w:rPr>
        <w:t xml:space="preserve">Limited evaluation origins.</w:t>
      </w:r>
      <w:r>
        <w:rPr>
          <w:rFonts w:ascii="Times New Roman" w:cs="Times New Roman" w:eastAsia="Times New Roman" w:hAnsi="Times New Roman"/>
        </w:rPr>
        <w:t xml:space="preserve"> Protocols B1 and B2 use 7 and 4 origins; differences between close methods were not tested for significance (for example with the Diebold–Mariano test).</w:t>
      </w:r>
    </w:p>
    <w:p>
      <w:pPr>
        <w:pStyle w:val="ListParagraph"/>
        <w:numPr>
          <w:ilvl w:val="0"/>
          <w:numId w:val="4"/>
        </w:numPr>
        <w:spacing w:after="60" w:line="360"/>
        <w:jc w:val="both"/>
      </w:pPr>
      <w:r>
        <w:rPr>
          <w:rFonts w:ascii="Times New Roman" w:cs="Times New Roman" w:eastAsia="Times New Roman" w:hAnsi="Times New Roman"/>
          <w:b/>
          <w:bCs/>
        </w:rPr>
        <w:t xml:space="preserve">Weather proxy.</w:t>
      </w:r>
      <w:r>
        <w:rPr>
          <w:rFonts w:ascii="Times New Roman" w:cs="Times New Roman" w:eastAsia="Times New Roman" w:hAnsi="Times New Roman"/>
        </w:rPr>
        <w:t xml:space="preserve"> Rainfall is measured at Chennai, not in producing districts, and spans just two full monsoon seasons; market-arrival volumes could not be obtained.</w:t>
      </w:r>
    </w:p>
    <w:p>
      <w:pPr>
        <w:pStyle w:val="ListParagraph"/>
        <w:numPr>
          <w:ilvl w:val="0"/>
          <w:numId w:val="4"/>
        </w:numPr>
        <w:spacing w:after="60" w:line="360"/>
        <w:jc w:val="both"/>
      </w:pPr>
      <w:r>
        <w:rPr>
          <w:rFonts w:ascii="Times New Roman" w:cs="Times New Roman" w:eastAsia="Times New Roman" w:hAnsi="Times New Roman"/>
          <w:b/>
          <w:bCs/>
        </w:rPr>
        <w:t xml:space="preserve">Counterfactual procurement.</w:t>
      </w:r>
      <w:r>
        <w:rPr>
          <w:rFonts w:ascii="Times New Roman" w:cs="Times New Roman" w:eastAsia="Times New Roman" w:hAnsi="Times New Roman"/>
        </w:rPr>
        <w:t xml:space="preserve"> Backtests exclude storage, transport, spoilage, quality and stockout costs, use a fixed-lot convention, and cases are not independent. No realized savings are measured.</w:t>
      </w:r>
    </w:p>
    <w:p>
      <w:pPr>
        <w:pStyle w:val="ListParagraph"/>
        <w:numPr>
          <w:ilvl w:val="0"/>
          <w:numId w:val="4"/>
        </w:numPr>
        <w:spacing w:after="60" w:line="360"/>
        <w:jc w:val="both"/>
      </w:pPr>
      <w:r>
        <w:rPr>
          <w:rFonts w:ascii="Times New Roman" w:cs="Times New Roman" w:eastAsia="Times New Roman" w:hAnsi="Times New Roman"/>
          <w:b/>
          <w:bCs/>
        </w:rPr>
        <w:t xml:space="preserve">Deviations from the proposal.</w:t>
      </w:r>
      <w:r>
        <w:rPr>
          <w:rFonts w:ascii="Times New Roman" w:cs="Times New Roman" w:eastAsia="Times New Roman" w:hAnsi="Times New Roman"/>
        </w:rPr>
        <w:t xml:space="preserve"> The data period, validation design and some inputs differ from the approved proposal because data could not be obtained; Table 3.6 lists each change and its reason.</w:t>
      </w:r>
    </w:p>
    <w:p>
      <w:pPr>
        <w:pStyle w:val="ListParagraph"/>
        <w:numPr>
          <w:ilvl w:val="0"/>
          <w:numId w:val="4"/>
        </w:numPr>
        <w:spacing w:after="60" w:line="360"/>
        <w:jc w:val="both"/>
      </w:pPr>
      <w:r>
        <w:rPr>
          <w:rFonts w:ascii="Times New Roman" w:cs="Times New Roman" w:eastAsia="Times New Roman" w:hAnsi="Times New Roman"/>
          <w:b/>
          <w:bCs/>
        </w:rPr>
        <w:t xml:space="preserve">Mapping choices.</w:t>
      </w:r>
      <w:r>
        <w:rPr>
          <w:rFonts w:ascii="Times New Roman" w:cs="Times New Roman" w:eastAsia="Times New Roman" w:hAnsi="Times New Roman"/>
        </w:rPr>
        <w:t xml:space="preserve"> French Beans proxies Beans, and Big Onion proxies Onion, at Koyambedu.</w:t>
      </w:r>
    </w:p>
    <w:p>
      <w:pPr>
        <w:pStyle w:val="ListParagraph"/>
        <w:numPr>
          <w:ilvl w:val="0"/>
          <w:numId w:val="4"/>
        </w:numPr>
        <w:spacing w:after="60" w:line="360"/>
        <w:jc w:val="both"/>
      </w:pPr>
      <w:r>
        <w:rPr>
          <w:rFonts w:ascii="Times New Roman" w:cs="Times New Roman" w:eastAsia="Times New Roman" w:hAnsi="Times New Roman"/>
          <w:b/>
          <w:bCs/>
        </w:rPr>
        <w:t xml:space="preserve">Software sensitivity.</w:t>
      </w:r>
      <w:r>
        <w:rPr>
          <w:rFonts w:ascii="Times New Roman" w:cs="Times New Roman" w:eastAsia="Times New Roman" w:hAnsi="Times New Roman"/>
        </w:rPr>
        <w:t xml:space="preserve"> Tree-model forecasts, and hence some advice actions, change with library versions; package versions should be pinned.</w:t>
      </w:r>
    </w:p>
    <w:p>
      <w:pPr>
        <w:pStyle w:val="ListParagraph"/>
        <w:numPr>
          <w:ilvl w:val="0"/>
          <w:numId w:val="4"/>
        </w:numPr>
        <w:spacing w:after="60" w:line="360"/>
        <w:jc w:val="both"/>
      </w:pPr>
      <w:r>
        <w:rPr>
          <w:rFonts w:ascii="Times New Roman" w:cs="Times New Roman" w:eastAsia="Times New Roman" w:hAnsi="Times New Roman"/>
          <w:b/>
          <w:bCs/>
        </w:rPr>
        <w:t xml:space="preserve">Live components not yet run.</w:t>
      </w:r>
      <w:r>
        <w:rPr>
          <w:rFonts w:ascii="Times New Roman" w:cs="Times New Roman" w:eastAsia="Times New Roman" w:hAnsi="Times New Roman"/>
        </w:rPr>
        <w:t xml:space="preserve"> The live weather, news and local language-model components are implemented, but their run against the live services remains to be done.</w:t>
      </w:r>
    </w:p>
    <w:p>
      <w:pPr>
        <w:pStyle w:val="Heading2"/>
        <w:keepNext/>
        <w:spacing w:after="240" w:before="360"/>
      </w:pPr>
      <w:r>
        <w:rPr>
          <w:rFonts w:ascii="Times New Roman" w:cs="Times New Roman" w:eastAsia="Times New Roman" w:hAnsi="Times New Roman"/>
          <w:b/>
          <w:bCs/>
          <w:sz w:val="24"/>
          <w:szCs w:val="24"/>
        </w:rPr>
        <w:t xml:space="preserve">5.6 SCOPE FOR FUTURE RESEARCH</w:t>
      </w:r>
    </w:p>
    <w:p>
      <w:pPr>
        <w:spacing w:after="120" w:before="0" w:line="360"/>
        <w:ind w:firstLine="1134"/>
        <w:jc w:val="both"/>
      </w:pPr>
      <w:r>
        <w:rPr>
          <w:rFonts w:ascii="Times New Roman" w:cs="Times New Roman" w:eastAsia="Times New Roman" w:hAnsi="Times New Roman"/>
        </w:rPr>
        <w:t xml:space="preserve">Future work should (i) add Agmarknet arrival volumes and producer-region rainfall to test the supply channel directly; (ii) extend the statewide series back to 2015 or earlier so that seasonal models and rare shocks can be estimated; (iii) replace the fixed thresholds with probabilistic forecasts and expected-cost decision rules; (iv) evaluate forecast combinations, which won the M4 competition, against the naive benchmark; (v) test the News Reader agent’s ability to flag supply shocks earlier than prices do; and (vi) run a prospective, pre-registered buyer pilot to measure delivered cost per usable kilogram.</w:t>
      </w:r>
    </w:p>
    <w:p>
      <w:pPr>
        <w:pStyle w:val="Heading2"/>
        <w:keepNext/>
        <w:spacing w:after="240" w:before="360"/>
      </w:pPr>
      <w:r>
        <w:rPr>
          <w:rFonts w:ascii="Times New Roman" w:cs="Times New Roman" w:eastAsia="Times New Roman" w:hAnsi="Times New Roman"/>
          <w:b/>
          <w:bCs/>
          <w:sz w:val="24"/>
          <w:szCs w:val="24"/>
        </w:rPr>
        <w:t xml:space="preserve">5.7 CONCLUSION</w:t>
      </w:r>
    </w:p>
    <w:p>
      <w:pPr>
        <w:spacing w:after="120" w:before="0" w:line="360"/>
        <w:ind w:firstLine="1134"/>
        <w:jc w:val="both"/>
      </w:pPr>
      <w:r>
        <w:rPr>
          <w:rFonts w:ascii="Times New Roman" w:cs="Times New Roman" w:eastAsia="Times New Roman" w:hAnsi="Times New Roman"/>
        </w:rPr>
        <w:t xml:space="preserve">This study set out to show whether machine learning and a multi-agent decision layer could improve short-term vegetable procurement in Tamil Nadu. A complete, reproducible pipeline was built and run end to end: data acquisition and cleaning, feature engineering, four forecasting model families, SHAP explanation, a monsoon significance test, a four-role agent pipeline with a dashboard, and procurement backtests including the 2023 tomato shock.</w:t>
      </w:r>
    </w:p>
    <w:p>
      <w:pPr>
        <w:spacing w:after="120" w:before="0" w:line="360"/>
        <w:ind w:firstLine="1134"/>
        <w:jc w:val="both"/>
      </w:pPr>
      <w:r>
        <w:rPr>
          <w:rFonts w:ascii="Times New Roman" w:cs="Times New Roman" w:eastAsia="Times New Roman" w:hAnsi="Times New Roman"/>
        </w:rPr>
        <w:t xml:space="preserve">The answer is clear and, for an analytics project, valuable. Every objective was tested and answered, and the central finding is that </w:t>
      </w:r>
      <w:r>
        <w:rPr>
          <w:rFonts w:ascii="Times New Roman" w:cs="Times New Roman" w:eastAsia="Times New Roman" w:hAnsi="Times New Roman"/>
          <w:b/>
          <w:bCs/>
        </w:rPr>
        <w:t xml:space="preserve">on these data and horizons, simple benchmarks were not beaten.</w:t>
      </w:r>
      <w:r>
        <w:rPr>
          <w:rFonts w:ascii="Times New Roman" w:cs="Times New Roman" w:eastAsia="Times New Roman" w:hAnsi="Times New Roman"/>
        </w:rPr>
        <w:t xml:space="preserve"> Yesterday’s price outperformed every statewide model, the last observed price was the best Koyambedu forecast at 7 to 30 days, no monsoon effect was detected, weather context did not improve accuracy, and the rule-based advice would have raised costs during the one major shock in the record, even though the 30-day forecast had warned of it two months in advance. Apparent machine-learning accuracy was shown to be next-day persistence, a pitfall that the horizon-sensitivity check developed here can expose in other settings.</w:t>
      </w:r>
    </w:p>
    <w:p>
      <w:pPr>
        <w:spacing w:after="120" w:before="0" w:line="360"/>
        <w:ind w:firstLine="1134"/>
        <w:jc w:val="both"/>
      </w:pPr>
      <w:r>
        <w:rPr>
          <w:rFonts w:ascii="Times New Roman" w:cs="Times New Roman" w:eastAsia="Times New Roman" w:hAnsi="Times New Roman"/>
        </w:rPr>
        <w:t xml:space="preserve">AgriSight is therefore best positioned not as an autonomous buying system but as a transparent </w:t>
      </w:r>
      <w:r>
        <w:rPr>
          <w:rFonts w:ascii="Times New Roman" w:cs="Times New Roman" w:eastAsia="Times New Roman" w:hAnsi="Times New Roman"/>
          <w:b/>
          <w:bCs/>
        </w:rPr>
        <w:t xml:space="preserve">evaluation and monitoring platform</w:t>
      </w:r>
      <w:r>
        <w:rPr>
          <w:rFonts w:ascii="Times New Roman" w:cs="Times New Roman" w:eastAsia="Times New Roman" w:hAnsi="Times New Roman"/>
        </w:rPr>
        <w:t xml:space="preserve">: one that tells a buyer what the market is doing, how much any forecast can be trusted relative to a naive benchmark, and when the data are too stale or uncertain to act on. The next steps are better supply-side information, uncertainty-aware rules with shock overrides, and a prospective buyer pilot. Only after those can procurement savings be claimed. In that sense the study has done what applied analytics should do: it has replaced an appealing assumption with tested evidence, and shown buyers where real gains are likely to come from.</w:t>
      </w:r>
    </w:p>
    <w:p>
      <w:pPr>
        <w:pStyle w:val="Heading1"/>
        <w:pageBreakBefore/>
        <w:spacing w:after="720" w:before="1020"/>
        <w:jc w:val="center"/>
      </w:pPr>
      <w:r>
        <w:rPr>
          <w:rFonts w:ascii="Times New Roman" w:cs="Times New Roman" w:eastAsia="Times New Roman" w:hAnsi="Times New Roman"/>
          <w:b/>
          <w:bCs/>
          <w:sz w:val="28"/>
          <w:szCs w:val="28"/>
        </w:rPr>
        <w:t xml:space="preserve">APPENDIX 1 DATA DICTIONARY</w:t>
      </w:r>
    </w:p>
    <w:p>
      <w:pPr>
        <w:pStyle w:val="TableCaption"/>
        <w:keepNext/>
        <w:spacing w:after="80" w:before="200" w:line="276"/>
        <w:jc w:val="center"/>
      </w:pPr>
      <w:r>
        <w:rPr>
          <w:rFonts w:ascii="Times New Roman" w:cs="Times New Roman" w:eastAsia="Times New Roman" w:hAnsi="Times New Roman"/>
          <w:b/>
          <w:bCs/>
          <w:sz w:val="22"/>
          <w:szCs w:val="22"/>
        </w:rPr>
        <w:t xml:space="preserve">Table A 1.1: </w:t>
      </w:r>
      <w:r>
        <w:rPr>
          <w:rFonts w:ascii="Times New Roman" w:cs="Times New Roman" w:eastAsia="Times New Roman" w:hAnsi="Times New Roman"/>
          <w:sz w:val="22"/>
          <w:szCs w:val="22"/>
        </w:rPr>
        <w:t xml:space="preserve">Fields of the processed price data</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017"/>
        <w:gridCol w:w="1135"/>
        <w:gridCol w:w="2774"/>
        <w:gridCol w:w="2522"/>
      </w:tblGrid>
      <w:tr>
        <w:trPr>
          <w:cantSplit/>
          <w:tblHeader/>
        </w:trPr>
        <w:tc>
          <w:tcPr>
            <w:tcW w:type="dxa" w:w="201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Field</w:t>
            </w:r>
          </w:p>
        </w:tc>
        <w:tc>
          <w:tcPr>
            <w:tcW w:type="dxa" w:w="11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Source</w:t>
            </w:r>
          </w:p>
        </w:tc>
        <w:tc>
          <w:tcPr>
            <w:tcW w:type="dxa" w:w="277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Meaning</w:t>
            </w:r>
          </w:p>
        </w:tc>
        <w:tc>
          <w:tcPr>
            <w:tcW w:type="dxa" w:w="252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8"/>
                <w:szCs w:val="18"/>
              </w:rPr>
              <w:t xml:space="preserve">Caution</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arrival_date</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Reported trading date</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Daily calendar; missing days forward-filled up to 3</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market / district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Reporting market and district (451 / 36)</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90.7% Uzhavar Sandhai</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commodity</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Both</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One of 8 study vegetables</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Variety names mapped (Appendix 2)</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min / max / modal_price</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Reported prices, ₹/quintal</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~2.7% values look per-kg</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market_count</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Statewide</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Markets reporting the commodity on the previous day</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Breadth, not arrival volume</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observed_price_inr_per_kg</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Koyambedu</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API yValue, copied unchanged</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Wholesale/retail basis not stated</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veg_id / mapping_note</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Koyambedu</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Source series and mapping rule</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French Beans, Big Onion proxies</w:t>
            </w:r>
          </w:p>
        </w:tc>
      </w:tr>
      <w:tr>
        <w:trPr>
          <w:cantSplit/>
        </w:trPr>
        <w:tc>
          <w:tcPr>
            <w:tcW w:type="dxa" w:w="20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precipitation, temp_max, temp_avg</w:t>
            </w:r>
          </w:p>
        </w:tc>
        <w:tc>
          <w:tcPr>
            <w:tcW w:type="dxa" w:w="11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Weather</w:t>
            </w:r>
          </w:p>
        </w:tc>
        <w:tc>
          <w:tcPr>
            <w:tcW w:type="dxa" w:w="277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Daily Chennai observations</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8"/>
                <w:szCs w:val="18"/>
              </w:rPr>
              <w:t xml:space="preserve">Point location; lagged 1 day in features</w:t>
            </w:r>
          </w:p>
        </w:tc>
      </w:tr>
    </w:tbl>
    <w:p>
      <w:pPr>
        <w:spacing w:after="200" w:before="60" w:line="240"/>
      </w:pPr>
      <w:r>
        <w:rPr>
          <w:rFonts w:ascii="Times New Roman" w:cs="Times New Roman" w:eastAsia="Times New Roman" w:hAnsi="Times New Roman"/>
          <w:i/>
          <w:iCs/>
          <w:sz w:val="18"/>
          <w:szCs w:val="18"/>
        </w:rPr>
        <w:t xml:space="preserve">Source: Project data files.</w:t>
      </w:r>
    </w:p>
    <w:p>
      <w:pPr>
        <w:pStyle w:val="Heading1"/>
        <w:pageBreakBefore/>
        <w:spacing w:after="720" w:before="1020"/>
        <w:jc w:val="center"/>
      </w:pPr>
      <w:r>
        <w:rPr>
          <w:rFonts w:ascii="Times New Roman" w:cs="Times New Roman" w:eastAsia="Times New Roman" w:hAnsi="Times New Roman"/>
          <w:b/>
          <w:bCs/>
          <w:sz w:val="28"/>
          <w:szCs w:val="28"/>
        </w:rPr>
        <w:t xml:space="preserve">APPENDIX 2 MODEL FEATURES AND SETTINGS</w:t>
      </w:r>
    </w:p>
    <w:p>
      <w:pPr>
        <w:spacing w:after="120" w:before="0" w:line="360"/>
        <w:ind w:firstLine="1134"/>
        <w:jc w:val="both"/>
      </w:pPr>
      <w:r>
        <w:rPr>
          <w:rFonts w:ascii="Times New Roman" w:cs="Times New Roman" w:eastAsia="Times New Roman" w:hAnsi="Times New Roman"/>
          <w:b/>
          <w:bCs/>
        </w:rPr>
        <w:t xml:space="preserve">Features used by the statewide tree models (38):</w:t>
      </w:r>
      <w:r>
        <w:rPr>
          <w:rFonts w:ascii="Times New Roman" w:cs="Times New Roman" w:eastAsia="Times New Roman" w:hAnsi="Times New Roman"/>
        </w:rPr>
        <w:t xml:space="preserve"> lag_7, lag_14, lag_21, lag_30; rolling_mean_7, rolling_mean_14; rolling_std_7, rolling_std_14; rolling_min_7, rolling_max_7; ema_7, ema_14; momentum_7, momentum_14, momentum_30; price_acceleration; position_52w; month, week_of_year, day_of_week; sw_monsoon, ne_monsoon; pongal, tamil_new_year, diwali, navratri; market_count; rain_7d_sum, rain_30d_sum, temp_max; and cross_&lt;commodity&gt;_lag1 for each of the eight vegetables (including the model’s own commodity).</w:t>
      </w:r>
    </w:p>
    <w:p>
      <w:pPr>
        <w:pStyle w:val="TableCaption"/>
        <w:keepNext/>
        <w:spacing w:after="80" w:before="200" w:line="276"/>
        <w:jc w:val="center"/>
      </w:pPr>
      <w:r>
        <w:rPr>
          <w:rFonts w:ascii="Times New Roman" w:cs="Times New Roman" w:eastAsia="Times New Roman" w:hAnsi="Times New Roman"/>
          <w:b/>
          <w:bCs/>
          <w:sz w:val="22"/>
          <w:szCs w:val="22"/>
        </w:rPr>
        <w:t xml:space="preserve">Table A 2.1: </w:t>
      </w:r>
      <w:r>
        <w:rPr>
          <w:rFonts w:ascii="Times New Roman" w:cs="Times New Roman" w:eastAsia="Times New Roman" w:hAnsi="Times New Roman"/>
          <w:sz w:val="22"/>
          <w:szCs w:val="22"/>
        </w:rPr>
        <w:t xml:space="preserve">Commodity name mappings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011"/>
        <w:gridCol w:w="3486"/>
        <w:gridCol w:w="2951"/>
      </w:tblGrid>
      <w:tr>
        <w:trPr>
          <w:cantSplit/>
          <w:tblHeader/>
        </w:trPr>
        <w:tc>
          <w:tcPr>
            <w:tcW w:type="dxa" w:w="20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Study commodity</w:t>
            </w:r>
          </w:p>
        </w:tc>
        <w:tc>
          <w:tcPr>
            <w:tcW w:type="dxa" w:w="34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Statewide names mapped</w:t>
            </w:r>
          </w:p>
        </w:tc>
        <w:tc>
          <w:tcPr>
            <w:tcW w:type="dxa" w:w="29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Koyambedu series</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Beans</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Beans, French Beans, Indian Beans (Seam), Seam</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French Beans (provisional)</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 Eggplant</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Brinjal (not Big Brinjal)</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Onion</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Onion</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Big Onion (not small or green)</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Drumsticks</w:t>
            </w:r>
          </w:p>
        </w:tc>
      </w:tr>
      <w:tr>
        <w:trPr>
          <w:cantSplit/>
        </w:trPr>
        <w:tc>
          <w:tcPr>
            <w:tcW w:type="dxa" w:w="20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Tomato, Potato, Cabbage, Carrot</w:t>
            </w:r>
          </w:p>
        </w:tc>
        <w:tc>
          <w:tcPr>
            <w:tcW w:type="dxa" w:w="34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Same name</w:t>
            </w:r>
          </w:p>
        </w:tc>
        <w:tc>
          <w:tcPr>
            <w:tcW w:type="dxa" w:w="29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Same name</w:t>
            </w:r>
          </w:p>
        </w:tc>
      </w:tr>
    </w:tbl>
    <w:p>
      <w:pPr>
        <w:spacing w:after="200" w:before="60" w:line="240"/>
      </w:pPr>
      <w:r>
        <w:rPr>
          <w:rFonts w:ascii="Times New Roman" w:cs="Times New Roman" w:eastAsia="Times New Roman" w:hAnsi="Times New Roman"/>
          <w:i/>
          <w:iCs/>
          <w:sz w:val="18"/>
          <w:szCs w:val="18"/>
        </w:rPr>
        <w:t xml:space="preserve">Source: Author’s analysis.</w:t>
      </w:r>
    </w:p>
    <w:p>
      <w:pPr>
        <w:pStyle w:val="TableCaption"/>
        <w:keepNext/>
        <w:spacing w:after="80" w:before="200" w:line="276"/>
        <w:jc w:val="center"/>
      </w:pPr>
      <w:r>
        <w:rPr>
          <w:rFonts w:ascii="Times New Roman" w:cs="Times New Roman" w:eastAsia="Times New Roman" w:hAnsi="Times New Roman"/>
          <w:b/>
          <w:bCs/>
          <w:sz w:val="22"/>
          <w:szCs w:val="22"/>
        </w:rPr>
        <w:t xml:space="preserve">Table A 2.2: </w:t>
      </w:r>
      <w:r>
        <w:rPr>
          <w:rFonts w:ascii="Times New Roman" w:cs="Times New Roman" w:eastAsia="Times New Roman" w:hAnsi="Times New Roman"/>
          <w:sz w:val="22"/>
          <w:szCs w:val="22"/>
        </w:rPr>
        <w:t xml:space="preserve">Festival and season flags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12"/>
        <w:gridCol w:w="6336"/>
      </w:tblGrid>
      <w:tr>
        <w:trPr>
          <w:cantSplit/>
          <w:tblHeader/>
        </w:trPr>
        <w:tc>
          <w:tcPr>
            <w:tcW w:type="dxa" w:w="211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Flag</w:t>
            </w:r>
          </w:p>
        </w:tc>
        <w:tc>
          <w:tcPr>
            <w:tcW w:type="dxa" w:w="63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Definition</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Pongal</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13–17 January</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Tamil New Year</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13–15 April</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Diwali</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October–November, ISO weeks 40–46 (broad; about 7 weeks)</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Navratri</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September–October, ISO weeks 38–42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SW monsoon</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June–September</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NE monsoon</w:t>
            </w:r>
          </w:p>
        </w:tc>
        <w:tc>
          <w:tcPr>
            <w:tcW w:type="dxa" w:w="63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October–December</w:t>
            </w:r>
          </w:p>
        </w:tc>
      </w:tr>
    </w:tbl>
    <w:p>
      <w:pPr>
        <w:spacing w:after="200" w:before="60" w:line="240"/>
      </w:pPr>
      <w:r>
        <w:rPr>
          <w:rFonts w:ascii="Times New Roman" w:cs="Times New Roman" w:eastAsia="Times New Roman" w:hAnsi="Times New Roman"/>
          <w:i/>
          <w:iCs/>
          <w:sz w:val="18"/>
          <w:szCs w:val="18"/>
        </w:rPr>
        <w:t xml:space="preserve">Source: Author’s analysis. Prophet uses exact dated holidays for 2024–2026.</w:t>
      </w:r>
    </w:p>
    <w:p>
      <w:pPr>
        <w:pStyle w:val="Heading1"/>
        <w:pageBreakBefore/>
        <w:spacing w:after="720" w:before="1020"/>
        <w:jc w:val="center"/>
      </w:pPr>
      <w:r>
        <w:rPr>
          <w:rFonts w:ascii="Times New Roman" w:cs="Times New Roman" w:eastAsia="Times New Roman" w:hAnsi="Times New Roman"/>
          <w:b/>
          <w:bCs/>
          <w:sz w:val="28"/>
          <w:szCs w:val="28"/>
        </w:rPr>
        <w:t xml:space="preserve">APPENDIX 3 PIPELINE STAGES AND REPORT MAPPING</w:t>
      </w:r>
    </w:p>
    <w:p>
      <w:pPr>
        <w:spacing w:after="120" w:before="0" w:line="360"/>
        <w:ind w:firstLine="1134"/>
        <w:jc w:val="both"/>
      </w:pPr>
      <w:r>
        <w:rPr>
          <w:rFonts w:ascii="Times New Roman" w:cs="Times New Roman" w:eastAsia="Times New Roman" w:hAnsi="Times New Roman"/>
        </w:rPr>
        <w:t xml:space="preserve">The analysis is implemented as numbered Python scripts in the project repository. Table A 3.1 maps each stage to the results it produces in this report.</w:t>
      </w:r>
    </w:p>
    <w:p>
      <w:pPr>
        <w:pStyle w:val="TableCaption"/>
        <w:keepNext/>
        <w:spacing w:after="80" w:before="200" w:line="276"/>
        <w:jc w:val="center"/>
      </w:pPr>
      <w:r>
        <w:rPr>
          <w:rFonts w:ascii="Times New Roman" w:cs="Times New Roman" w:eastAsia="Times New Roman" w:hAnsi="Times New Roman"/>
          <w:b/>
          <w:bCs/>
          <w:sz w:val="22"/>
          <w:szCs w:val="22"/>
        </w:rPr>
        <w:t xml:space="preserve">Table A 3.1: </w:t>
      </w:r>
      <w:r>
        <w:rPr>
          <w:rFonts w:ascii="Times New Roman" w:cs="Times New Roman" w:eastAsia="Times New Roman" w:hAnsi="Times New Roman"/>
          <w:sz w:val="22"/>
          <w:szCs w:val="22"/>
        </w:rPr>
        <w:t xml:space="preserve">Pipeline stages and where their results appear</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244"/>
        <w:gridCol w:w="3696"/>
        <w:gridCol w:w="2508"/>
      </w:tblGrid>
      <w:tr>
        <w:trPr>
          <w:cantSplit/>
          <w:tblHeader/>
        </w:trPr>
        <w:tc>
          <w:tcPr>
            <w:tcW w:type="dxa" w:w="224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Stage (scripts)</w:t>
            </w:r>
          </w:p>
        </w:tc>
        <w:tc>
          <w:tcPr>
            <w:tcW w:type="dxa" w:w="369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Purpose</w:t>
            </w:r>
          </w:p>
        </w:tc>
        <w:tc>
          <w:tcPr>
            <w:tcW w:type="dxa" w:w="25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7"/>
                <w:szCs w:val="17"/>
              </w:rPr>
              <w:t xml:space="preserve">Results in this report</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Data acquisition (00, 01, 11)</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Download weather, statewide prices and Koyambedu series</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3.1, 4.1, 4.8</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Cleaning and EDA (02, 03)</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Normalise records; descriptive statistics, anomalies, ADF tests</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4.2, 4.3; Figures 4.1–4.5</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Feature engineering (04)</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Daily statewide median and 62-column feature table</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3.2; Appendix 2</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Forecasting (05, 06, 07)</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SARIMA, Prophet, Random Forest, XGBoost (protocols A1, A2)</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4.4, 4.5; Figure 4.6</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Horizon check (16)</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Naive benchmarks and strict seven-day models (protocol A3)</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4.6; Figures 4.7, 4.8</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Explanation (08)</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SHAP attribution</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4.7; Figure 4.9</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Koyambedu evaluation (12, 14)</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Protocols B1 and B2; monsoon regressions; 2023 tomato scenario</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4.9–4.13, 4.19; Figures 4.10–4.12, 4.20</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Decision layer (09, 15)</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Deterministic agent pipeline; four-role pipeline with freshness gate</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4.16, 4.17; Figure 4.16</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Proposal alignment (18)</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SHAP monsoon ranking; delta-accuracy test; 30-day tomato scenario</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Tables 4.14, 4.15, 4.20, 4.21; Figures 4.13–4.15, 4.21</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Procurement backtest (13)</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Fixed-lot counterfactual of advice actions</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Table 4.18; Figure 4.19</w:t>
            </w:r>
          </w:p>
        </w:tc>
      </w:tr>
      <w:tr>
        <w:trPr>
          <w:cantSplit/>
        </w:trPr>
        <w:tc>
          <w:tcPr>
            <w:tcW w:type="dxa" w:w="22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Dashboard (10)</w:t>
            </w:r>
          </w:p>
        </w:tc>
        <w:tc>
          <w:tcPr>
            <w:tcW w:type="dxa" w:w="36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Nine-page Streamlit application</w:t>
            </w:r>
          </w:p>
        </w:tc>
        <w:tc>
          <w:tcPr>
            <w:tcW w:type="dxa" w:w="25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7"/>
                <w:szCs w:val="17"/>
              </w:rPr>
              <w:t xml:space="preserve">Figures 4.17, 4.18; Appendix 5</w:t>
            </w:r>
          </w:p>
        </w:tc>
      </w:tr>
    </w:tbl>
    <w:p>
      <w:pPr>
        <w:spacing w:after="200" w:before="60" w:line="240"/>
      </w:pPr>
      <w:r>
        <w:rPr>
          <w:rFonts w:ascii="Times New Roman" w:cs="Times New Roman" w:eastAsia="Times New Roman" w:hAnsi="Times New Roman"/>
          <w:i/>
          <w:iCs/>
          <w:sz w:val="18"/>
          <w:szCs w:val="18"/>
        </w:rPr>
        <w:t xml:space="preserve">Source: Project repository.</w:t>
      </w:r>
    </w:p>
    <w:p>
      <w:pPr>
        <w:pStyle w:val="Heading1"/>
        <w:pageBreakBefore/>
        <w:spacing w:after="720" w:before="1020"/>
        <w:jc w:val="center"/>
      </w:pPr>
      <w:r>
        <w:rPr>
          <w:rFonts w:ascii="Times New Roman" w:cs="Times New Roman" w:eastAsia="Times New Roman" w:hAnsi="Times New Roman"/>
          <w:b/>
          <w:bCs/>
          <w:sz w:val="28"/>
          <w:szCs w:val="28"/>
        </w:rPr>
        <w:t xml:space="preserve">APPENDIX 4 REPRODUCIBILITY RECORD</w:t>
      </w:r>
    </w:p>
    <w:p>
      <w:pPr>
        <w:spacing w:after="120" w:before="0" w:line="360"/>
        <w:ind w:firstLine="1134"/>
        <w:jc w:val="both"/>
      </w:pPr>
      <w:r>
        <w:rPr>
          <w:rFonts w:ascii="Times New Roman" w:cs="Times New Roman" w:eastAsia="Times New Roman" w:hAnsi="Times New Roman"/>
          <w:b/>
          <w:bCs/>
        </w:rPr>
        <w:t xml:space="preserve">Environment.</w:t>
      </w:r>
      <w:r>
        <w:rPr>
          <w:rFonts w:ascii="Times New Roman" w:cs="Times New Roman" w:eastAsia="Times New Roman" w:hAnsi="Times New Roman"/>
        </w:rPr>
        <w:t xml:space="preserve"> Python 3.12.3 with pandas 3.0.2, NumPy 2.4.4, statsmodels 0.15.0, Prophet 1.5.0, scikit-learn 1.8.0, XGBoost 3.4.1, SHAP 0.54.1, Matplotlib 3.10.8 and Streamlit 1.66.0. Random seeds are fixed at 42 for all tree models.</w:t>
      </w:r>
    </w:p>
    <w:p>
      <w:pPr>
        <w:spacing w:after="120" w:before="0" w:line="360"/>
        <w:ind w:firstLine="1134"/>
        <w:jc w:val="both"/>
      </w:pPr>
      <w:r>
        <w:rPr>
          <w:rFonts w:ascii="Times New Roman" w:cs="Times New Roman" w:eastAsia="Times New Roman" w:hAnsi="Times New Roman"/>
          <w:b/>
          <w:bCs/>
        </w:rPr>
        <w:t xml:space="preserve">Run.</w:t>
      </w:r>
      <w:r>
        <w:rPr>
          <w:rFonts w:ascii="Times New Roman" w:cs="Times New Roman" w:eastAsia="Times New Roman" w:hAnsi="Times New Roman"/>
        </w:rPr>
        <w:t xml:space="preserve"> All results in this report come from a single end-to-end run of the pipeline on 18 October 2026, in the order shown in Table A 3.1, using the data files listed in Table 3.1. The source data, code, intermediate outputs and figures are retained in the project repository so that every table and figure can be regenerated.</w:t>
      </w:r>
    </w:p>
    <w:p>
      <w:pPr>
        <w:spacing w:after="120" w:before="0" w:line="360"/>
        <w:ind w:firstLine="1134"/>
        <w:jc w:val="both"/>
      </w:pPr>
      <w:r>
        <w:rPr>
          <w:rFonts w:ascii="Times New Roman" w:cs="Times New Roman" w:eastAsia="Times New Roman" w:hAnsi="Times New Roman"/>
          <w:b/>
          <w:bCs/>
        </w:rPr>
        <w:t xml:space="preserve">Quality checks.</w:t>
      </w:r>
      <w:r>
        <w:rPr>
          <w:rFonts w:ascii="Times New Roman" w:cs="Times New Roman" w:eastAsia="Times New Roman" w:hAnsi="Times New Roman"/>
        </w:rPr>
        <w:t xml:space="preserve"> Every stage was rerun from the processed data; the nine dashboard pages were tested automatically; and the Koyambedu results were confirmed by rerunning the evaluation, which reproduced the model rankings exactly.</w:t>
      </w:r>
    </w:p>
    <w:p>
      <w:pPr>
        <w:spacing w:after="120" w:before="0" w:line="360"/>
        <w:ind w:firstLine="1134"/>
        <w:jc w:val="both"/>
      </w:pPr>
      <w:r>
        <w:rPr>
          <w:rFonts w:ascii="Times New Roman" w:cs="Times New Roman" w:eastAsia="Times New Roman" w:hAnsi="Times New Roman"/>
          <w:b/>
          <w:bCs/>
        </w:rPr>
        <w:t xml:space="preserve">Sensitivity to software versions.</w:t>
      </w:r>
      <w:r>
        <w:rPr>
          <w:rFonts w:ascii="Times New Roman" w:cs="Times New Roman" w:eastAsia="Times New Roman" w:hAnsi="Times New Roman"/>
        </w:rPr>
        <w:t xml:space="preserve"> Tree-model forecasts, and therefore some advice actions, changed slightly between library versions (Section 4.13). Library versions should be fixed in the project’s requirements file for any future rerun. Design weaknesses that affect interpretation are discussed in Sections 4.5–4.7 and 4.12, and their recommended corrections in Section 5.3.</w:t>
      </w:r>
    </w:p>
    <w:p>
      <w:pPr>
        <w:pStyle w:val="Heading1"/>
        <w:pageBreakBefore/>
        <w:spacing w:after="720" w:before="1020"/>
        <w:jc w:val="center"/>
      </w:pPr>
      <w:r>
        <w:rPr>
          <w:rFonts w:ascii="Times New Roman" w:cs="Times New Roman" w:eastAsia="Times New Roman" w:hAnsi="Times New Roman"/>
          <w:b/>
          <w:bCs/>
          <w:sz w:val="28"/>
          <w:szCs w:val="28"/>
        </w:rPr>
        <w:t xml:space="preserve">APPENDIX 5 DASHBOARD PAGES</w:t>
      </w:r>
    </w:p>
    <w:p>
      <w:pPr>
        <w:spacing w:after="120" w:before="0" w:line="360"/>
        <w:ind w:firstLine="1134"/>
        <w:jc w:val="both"/>
      </w:pPr>
      <w:r>
        <w:rPr>
          <w:rFonts w:ascii="Times New Roman" w:cs="Times New Roman" w:eastAsia="Times New Roman" w:hAnsi="Times New Roman"/>
        </w:rPr>
        <w:t xml:space="preserve">Navigation is grouped into Core Decisions (Agent Recommendations, Price Forecast, Model Trust), More Insights (Price Movers, Market Trends and Seasonality, SHAP Explainability, Research and Scenario Validation) and Diagnostics (Dataset Snapshot, Data Quality).</w:t>
      </w:r>
    </w:p>
    <w:p>
      <w:pPr>
        <w:keepNext/>
        <w:spacing w:after="60" w:before="160"/>
        <w:jc w:val="center"/>
      </w:pPr>
      <w:r>
        <w:drawing>
          <wp:inline distT="0" distB="0" distL="0" distR="0">
            <wp:extent cx="5067300" cy="3619500"/>
            <wp:effectExtent t="0" r="0" b="0" l="0"/>
            <wp:docPr id="1" name="Figure A 5.1" descr="Dashboard: Price Forecast page" title="Dashboard: Price Foreca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67300" cy="3619500"/>
                    </a:xfrm>
                    <a:prstGeom prst="rect">
                      <a:avLst/>
                    </a:prstGeom>
                  </pic:spPr>
                </pic:pic>
              </a:graphicData>
            </a:graphic>
          </wp:inline>
        </w:drawing>
      </w:r>
    </w:p>
    <w:p>
      <w:pPr>
        <w:pStyle w:val="FigureCaption"/>
        <w:spacing w:after="220" w:line="276"/>
        <w:jc w:val="center"/>
      </w:pPr>
      <w:r>
        <w:rPr>
          <w:rFonts w:ascii="Times New Roman" w:cs="Times New Roman" w:eastAsia="Times New Roman" w:hAnsi="Times New Roman"/>
          <w:b/>
          <w:bCs/>
          <w:sz w:val="22"/>
          <w:szCs w:val="22"/>
        </w:rPr>
        <w:t xml:space="preserve">Figure A 5.1: </w:t>
      </w:r>
      <w:r>
        <w:rPr>
          <w:rFonts w:ascii="Times New Roman" w:cs="Times New Roman" w:eastAsia="Times New Roman" w:hAnsi="Times New Roman"/>
          <w:sz w:val="22"/>
          <w:szCs w:val="22"/>
        </w:rPr>
        <w:t xml:space="preserve">Dashboard: Price Forecast page</w:t>
      </w:r>
    </w:p>
    <w:p>
      <w:pPr>
        <w:keepNext/>
        <w:spacing w:after="60" w:before="160"/>
        <w:jc w:val="center"/>
      </w:pPr>
      <w:r>
        <w:drawing>
          <wp:inline distT="0" distB="0" distL="0" distR="0">
            <wp:extent cx="5067300" cy="3619500"/>
            <wp:effectExtent t="0" r="0" b="0" l="0"/>
            <wp:docPr id="1" name="Figure A 5.2" descr="Dashboard: Model Trust page" title="Dashboard: Model Trus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67300" cy="3619500"/>
                    </a:xfrm>
                    <a:prstGeom prst="rect">
                      <a:avLst/>
                    </a:prstGeom>
                  </pic:spPr>
                </pic:pic>
              </a:graphicData>
            </a:graphic>
          </wp:inline>
        </w:drawing>
      </w:r>
    </w:p>
    <w:p>
      <w:pPr>
        <w:pStyle w:val="FigureCaption"/>
        <w:spacing w:after="220" w:line="276"/>
        <w:jc w:val="center"/>
      </w:pPr>
      <w:r>
        <w:rPr>
          <w:rFonts w:ascii="Times New Roman" w:cs="Times New Roman" w:eastAsia="Times New Roman" w:hAnsi="Times New Roman"/>
          <w:b/>
          <w:bCs/>
          <w:sz w:val="22"/>
          <w:szCs w:val="22"/>
        </w:rPr>
        <w:t xml:space="preserve">Figure A 5.2: </w:t>
      </w:r>
      <w:r>
        <w:rPr>
          <w:rFonts w:ascii="Times New Roman" w:cs="Times New Roman" w:eastAsia="Times New Roman" w:hAnsi="Times New Roman"/>
          <w:sz w:val="22"/>
          <w:szCs w:val="22"/>
        </w:rPr>
        <w:t xml:space="preserve">Dashboard: Model Trust page</w:t>
      </w:r>
    </w:p>
    <w:p>
      <w:pPr>
        <w:pStyle w:val="Heading1"/>
        <w:pageBreakBefore/>
        <w:spacing w:after="720" w:before="1020"/>
        <w:jc w:val="center"/>
      </w:pPr>
      <w:r>
        <w:rPr>
          <w:rFonts w:ascii="Times New Roman" w:cs="Times New Roman" w:eastAsia="Times New Roman" w:hAnsi="Times New Roman"/>
          <w:b/>
          <w:bCs/>
          <w:sz w:val="28"/>
          <w:szCs w:val="28"/>
        </w:rPr>
        <w:t xml:space="preserve">APPENDIX 6 PROSPECTIVE BUYER PILOT DESIGN</w:t>
      </w:r>
    </w:p>
    <w:p>
      <w:pPr>
        <w:spacing w:after="120" w:before="0" w:line="360"/>
        <w:ind w:firstLine="1134"/>
        <w:jc w:val="both"/>
      </w:pPr>
      <w:r>
        <w:rPr>
          <w:rFonts w:ascii="Times New Roman" w:cs="Times New Roman" w:eastAsia="Times New Roman" w:hAnsi="Times New Roman"/>
        </w:rPr>
        <w:t xml:space="preserve">To establish whether forecast-informed purchasing reduces cost, a prospective pilot should be designed before any savings are estimated. The essential elements are as follows.</w:t>
      </w:r>
    </w:p>
    <w:p>
      <w:pPr>
        <w:pStyle w:val="TableCaption"/>
        <w:keepNext/>
        <w:spacing w:after="80" w:before="200" w:line="276"/>
        <w:jc w:val="center"/>
      </w:pPr>
      <w:r>
        <w:rPr>
          <w:rFonts w:ascii="Times New Roman" w:cs="Times New Roman" w:eastAsia="Times New Roman" w:hAnsi="Times New Roman"/>
          <w:b/>
          <w:bCs/>
          <w:sz w:val="22"/>
          <w:szCs w:val="22"/>
        </w:rPr>
        <w:t xml:space="preserve">Table A 6.1: </w:t>
      </w:r>
      <w:r>
        <w:rPr>
          <w:rFonts w:ascii="Times New Roman" w:cs="Times New Roman" w:eastAsia="Times New Roman" w:hAnsi="Times New Roman"/>
          <w:sz w:val="22"/>
          <w:szCs w:val="22"/>
        </w:rPr>
        <w:t xml:space="preserve">Pilot design elements</w:t>
      </w:r>
    </w:p>
    <w:tbl>
      <w:tblPr>
        <w:tblW w:type="dxa" w:w="8448"/>
        <w:tblBorders>
          <w:top w:val="single" w:color="auto" w:sz="4"/>
          <w:left w:val="single" w:color="auto" w:sz="4"/>
          <w:bottom w:val="single" w:color="auto" w:sz="4"/>
          <w:right w:val="single" w:color="auto" w:sz="4"/>
          <w:insideH w:val="single" w:color="auto" w:sz="4"/>
          <w:insideV w:val="single" w:color="auto" w:sz="4"/>
        </w:tblBorders>
      </w:tblPr>
      <w:tblGrid>
        <w:gridCol w:w="2180"/>
        <w:gridCol w:w="6268"/>
      </w:tblGrid>
      <w:tr>
        <w:trPr>
          <w:cantSplit/>
          <w:tblHeader/>
        </w:trPr>
        <w:tc>
          <w:tcPr>
            <w:tcW w:type="dxa" w:w="21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Element</w:t>
            </w:r>
          </w:p>
        </w:tc>
        <w:tc>
          <w:tcPr>
            <w:tcW w:type="dxa" w:w="62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Specification</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Participants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One or more institutional buyers purchasing at Koyambedu at least weekly</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Commodities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Tomato, Onion and Potato first (highest volume and volatility)</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Comparator</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Pre-registered: buyer’s usual timing, or alternating weeks with and without advice</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Records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Date, quantity, grade, supplier, invoice price, transport, rejected and spoiled quantity, stockouts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Primary outcome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Delivered cost per usable kilogram</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Secondary outcomes</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Forecast error vs naive; advice acceptance and override reasons; service level</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Duration</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At least one full year, to include a monsoon season and price shocks</w:t>
            </w:r>
          </w:p>
        </w:tc>
      </w:tr>
      <w:tr>
        <w:trPr>
          <w:cantSplit/>
        </w:trPr>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Governance</w:t>
            </w:r>
          </w:p>
        </w:tc>
        <w:tc>
          <w:tcPr>
            <w:tcW w:type="dxa" w:w="6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sz w:val="19"/>
                <w:szCs w:val="19"/>
              </w:rPr>
              <w:t xml:space="preserve">Consent, anonymised identifiers, restricted access to commercial data; buyer retains decision authority</w:t>
            </w:r>
          </w:p>
        </w:tc>
      </w:tr>
    </w:tbl>
    <w:p>
      <w:pPr>
        <w:spacing w:after="200" w:before="60" w:line="240"/>
      </w:pPr>
      <w:r>
        <w:rPr>
          <w:rFonts w:ascii="Times New Roman" w:cs="Times New Roman" w:eastAsia="Times New Roman" w:hAnsi="Times New Roman"/>
          <w:i/>
          <w:iCs/>
          <w:sz w:val="18"/>
          <w:szCs w:val="18"/>
        </w:rPr>
        <w:t xml:space="preserve">Source: Author’s design.</w:t>
      </w:r>
    </w:p>
    <w:p>
      <w:pPr>
        <w:pStyle w:val="Heading1"/>
        <w:pageBreakBefore/>
        <w:spacing w:after="720" w:before="1020"/>
        <w:jc w:val="center"/>
      </w:pPr>
      <w:r>
        <w:rPr>
          <w:rFonts w:ascii="Times New Roman" w:cs="Times New Roman" w:eastAsia="Times New Roman" w:hAnsi="Times New Roman"/>
          <w:b/>
          <w:bCs/>
          <w:sz w:val="28"/>
          <w:szCs w:val="28"/>
        </w:rPr>
        <w:t xml:space="preserve">REFERENCES</w:t>
      </w:r>
    </w:p>
    <w:p>
      <w:pPr>
        <w:spacing w:after="160" w:before="0" w:line="240"/>
        <w:ind w:left="567" w:hanging="567"/>
        <w:jc w:val="left"/>
      </w:pPr>
      <w:r>
        <w:rPr>
          <w:rFonts w:ascii="Times New Roman" w:cs="Times New Roman" w:eastAsia="Times New Roman" w:hAnsi="Times New Roman"/>
        </w:rPr>
        <w:t xml:space="preserve">Ajmal, S., Rohith, S., Unniravisankar, P., &amp; Nabay, O. (2024). Price dynamics of tomato, onion and potato (TOP) in India. </w:t>
      </w:r>
      <w:r>
        <w:rPr>
          <w:rFonts w:ascii="Times New Roman" w:cs="Times New Roman" w:eastAsia="Times New Roman" w:hAnsi="Times New Roman"/>
          <w:i/>
          <w:iCs/>
        </w:rPr>
        <w:t xml:space="preserve">Asian Journal of Agricultural Extension, Economics &amp; Sociology</w:t>
      </w:r>
      <w:r>
        <w:rPr>
          <w:rFonts w:ascii="Times New Roman" w:cs="Times New Roman" w:eastAsia="Times New Roman" w:hAnsi="Times New Roman"/>
        </w:rPr>
        <w:t xml:space="preserve">, 42(3). https://ideas.repec.org/a/ags/ajaees/367914.html</w:t>
      </w:r>
    </w:p>
    <w:p>
      <w:pPr>
        <w:spacing w:after="160" w:before="0" w:line="240"/>
        <w:ind w:left="567" w:hanging="567"/>
        <w:jc w:val="left"/>
      </w:pPr>
      <w:r>
        <w:rPr>
          <w:rFonts w:ascii="Times New Roman" w:cs="Times New Roman" w:eastAsia="Times New Roman" w:hAnsi="Times New Roman"/>
        </w:rPr>
        <w:t xml:space="preserve">Bergmeir, C., &amp; Benítez, J. M. (2012). On the use of cross-validation for time series predictor evaluation. </w:t>
      </w:r>
      <w:r>
        <w:rPr>
          <w:rFonts w:ascii="Times New Roman" w:cs="Times New Roman" w:eastAsia="Times New Roman" w:hAnsi="Times New Roman"/>
          <w:i/>
          <w:iCs/>
        </w:rPr>
        <w:t xml:space="preserve">Information Sciences</w:t>
      </w:r>
      <w:r>
        <w:rPr>
          <w:rFonts w:ascii="Times New Roman" w:cs="Times New Roman" w:eastAsia="Times New Roman" w:hAnsi="Times New Roman"/>
        </w:rPr>
        <w:t xml:space="preserve">, 191, 192–213. https://doi.org/10.1016/j.ins.2011.12.028</w:t>
      </w:r>
    </w:p>
    <w:p>
      <w:pPr>
        <w:spacing w:after="160" w:before="0" w:line="240"/>
        <w:ind w:left="567" w:hanging="567"/>
        <w:jc w:val="left"/>
      </w:pPr>
      <w:r>
        <w:rPr>
          <w:rFonts w:ascii="Times New Roman" w:cs="Times New Roman" w:eastAsia="Times New Roman" w:hAnsi="Times New Roman"/>
        </w:rPr>
        <w:t xml:space="preserve">Birthal, P. S., Negi, A., &amp; Joshi, P. K. (2019). Understanding causes of volatility in onion prices in India. </w:t>
      </w:r>
      <w:r>
        <w:rPr>
          <w:rFonts w:ascii="Times New Roman" w:cs="Times New Roman" w:eastAsia="Times New Roman" w:hAnsi="Times New Roman"/>
          <w:i/>
          <w:iCs/>
        </w:rPr>
        <w:t xml:space="preserve">Journal of Agribusiness in Developing and Emerging Economies</w:t>
      </w:r>
      <w:r>
        <w:rPr>
          <w:rFonts w:ascii="Times New Roman" w:cs="Times New Roman" w:eastAsia="Times New Roman" w:hAnsi="Times New Roman"/>
        </w:rPr>
        <w:t xml:space="preserve">, 9(3). https://doi.org/10.1108/JADEE-06-2018-0068</w:t>
      </w:r>
    </w:p>
    <w:p>
      <w:pPr>
        <w:spacing w:after="160" w:before="0" w:line="240"/>
        <w:ind w:left="567" w:hanging="567"/>
        <w:jc w:val="left"/>
      </w:pPr>
      <w:r>
        <w:rPr>
          <w:rFonts w:ascii="Times New Roman" w:cs="Times New Roman" w:eastAsia="Times New Roman" w:hAnsi="Times New Roman"/>
        </w:rPr>
        <w:t xml:space="preserve">Box, G. E. P., Jenkins, G. M., Reinsel, G. C., &amp; Ljung, G. M. (2015). </w:t>
      </w:r>
      <w:r>
        <w:rPr>
          <w:rFonts w:ascii="Times New Roman" w:cs="Times New Roman" w:eastAsia="Times New Roman" w:hAnsi="Times New Roman"/>
          <w:i/>
          <w:iCs/>
        </w:rPr>
        <w:t xml:space="preserve">Time series analysis: Forecasting and control</w:t>
      </w:r>
      <w:r>
        <w:rPr>
          <w:rFonts w:ascii="Times New Roman" w:cs="Times New Roman" w:eastAsia="Times New Roman" w:hAnsi="Times New Roman"/>
        </w:rPr>
        <w:t xml:space="preserve"> (5th ed.). Wiley.</w:t>
      </w:r>
    </w:p>
    <w:p>
      <w:pPr>
        <w:spacing w:after="160" w:before="0" w:line="240"/>
        <w:ind w:left="567" w:hanging="567"/>
        <w:jc w:val="left"/>
      </w:pPr>
      <w:r>
        <w:rPr>
          <w:rFonts w:ascii="Times New Roman" w:cs="Times New Roman" w:eastAsia="Times New Roman" w:hAnsi="Times New Roman"/>
        </w:rPr>
        <w:t xml:space="preserve">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45, 5–32. https://doi.org/10.1023/A:1010933404324</w:t>
      </w:r>
    </w:p>
    <w:p>
      <w:pPr>
        <w:spacing w:after="160" w:before="0" w:line="240"/>
        <w:ind w:left="567" w:hanging="567"/>
        <w:jc w:val="left"/>
      </w:pPr>
      <w:r>
        <w:rPr>
          <w:rFonts w:ascii="Times New Roman" w:cs="Times New Roman" w:eastAsia="Times New Roman" w:hAnsi="Times New Roman"/>
        </w:rPr>
        <w:t xml:space="preserve">Chand, R. (2010). Understanding the nature and causes of food inflation. </w:t>
      </w:r>
      <w:r>
        <w:rPr>
          <w:rFonts w:ascii="Times New Roman" w:cs="Times New Roman" w:eastAsia="Times New Roman" w:hAnsi="Times New Roman"/>
          <w:i/>
          <w:iCs/>
        </w:rPr>
        <w:t xml:space="preserve">Economic and Political Weekly</w:t>
      </w:r>
      <w:r>
        <w:rPr>
          <w:rFonts w:ascii="Times New Roman" w:cs="Times New Roman" w:eastAsia="Times New Roman" w:hAnsi="Times New Roman"/>
        </w:rPr>
        <w:t xml:space="preserve">, 45(9), 10–13.</w:t>
      </w:r>
    </w:p>
    <w:p>
      <w:pPr>
        <w:spacing w:after="160" w:before="0" w:line="240"/>
        <w:ind w:left="567" w:hanging="567"/>
        <w:jc w:val="left"/>
      </w:pPr>
      <w:r>
        <w:rPr>
          <w:rFonts w:ascii="Times New Roman" w:cs="Times New Roman" w:eastAsia="Times New Roman" w:hAnsi="Times New Roman"/>
        </w:rPr>
        <w:t xml:space="preserve">Chen, T., &amp; Guestrin, C. (2016). XGBoost: A scalable tree boosting system. In </w:t>
      </w:r>
      <w:r>
        <w:rPr>
          <w:rFonts w:ascii="Times New Roman" w:cs="Times New Roman" w:eastAsia="Times New Roman" w:hAnsi="Times New Roman"/>
          <w:i/>
          <w:iCs/>
        </w:rPr>
        <w:t xml:space="preserve">Proceedings of the 22nd ACM SIGKDD International Conference on Knowledge Discovery and Data Mining</w:t>
      </w:r>
      <w:r>
        <w:rPr>
          <w:rFonts w:ascii="Times New Roman" w:cs="Times New Roman" w:eastAsia="Times New Roman" w:hAnsi="Times New Roman"/>
        </w:rPr>
        <w:t xml:space="preserve"> (pp. 785–794). https://doi.org/10.1145/2939672.2939785</w:t>
      </w:r>
    </w:p>
    <w:p>
      <w:pPr>
        <w:spacing w:after="160" w:before="0" w:line="240"/>
        <w:ind w:left="567" w:hanging="567"/>
        <w:jc w:val="left"/>
      </w:pPr>
      <w:r>
        <w:rPr>
          <w:rFonts w:ascii="Times New Roman" w:cs="Times New Roman" w:eastAsia="Times New Roman" w:hAnsi="Times New Roman"/>
        </w:rPr>
        <w:t xml:space="preserve">Chopra, S., &amp; Meindl, P. (2016). </w:t>
      </w:r>
      <w:r>
        <w:rPr>
          <w:rFonts w:ascii="Times New Roman" w:cs="Times New Roman" w:eastAsia="Times New Roman" w:hAnsi="Times New Roman"/>
          <w:i/>
          <w:iCs/>
        </w:rPr>
        <w:t xml:space="preserve">Supply chain management: Strategy, planning, and operation</w:t>
      </w:r>
      <w:r>
        <w:rPr>
          <w:rFonts w:ascii="Times New Roman" w:cs="Times New Roman" w:eastAsia="Times New Roman" w:hAnsi="Times New Roman"/>
        </w:rPr>
        <w:t xml:space="preserve"> (6th ed.). Pearson.</w:t>
      </w:r>
    </w:p>
    <w:p>
      <w:pPr>
        <w:spacing w:after="160" w:before="0" w:line="240"/>
        <w:ind w:left="567" w:hanging="567"/>
        <w:jc w:val="left"/>
      </w:pPr>
      <w:r>
        <w:rPr>
          <w:rFonts w:ascii="Times New Roman" w:cs="Times New Roman" w:eastAsia="Times New Roman" w:hAnsi="Times New Roman"/>
        </w:rPr>
        <w:t xml:space="preserve">Dickey, D. A., &amp; Fuller, W. A. (1979). Distribution of the estimators for autoregressive time series with a unit root. </w:t>
      </w:r>
      <w:r>
        <w:rPr>
          <w:rFonts w:ascii="Times New Roman" w:cs="Times New Roman" w:eastAsia="Times New Roman" w:hAnsi="Times New Roman"/>
          <w:i/>
          <w:iCs/>
        </w:rPr>
        <w:t xml:space="preserve">Journal of the American Statistical Association</w:t>
      </w:r>
      <w:r>
        <w:rPr>
          <w:rFonts w:ascii="Times New Roman" w:cs="Times New Roman" w:eastAsia="Times New Roman" w:hAnsi="Times New Roman"/>
        </w:rPr>
        <w:t xml:space="preserve">, 74(366), 427–431. https://doi.org/10.2307/2286348</w:t>
      </w:r>
    </w:p>
    <w:p>
      <w:pPr>
        <w:spacing w:after="160" w:before="0" w:line="240"/>
        <w:ind w:left="567" w:hanging="567"/>
        <w:jc w:val="left"/>
      </w:pPr>
      <w:r>
        <w:rPr>
          <w:rFonts w:ascii="Times New Roman" w:cs="Times New Roman" w:eastAsia="Times New Roman" w:hAnsi="Times New Roman"/>
        </w:rPr>
        <w:t xml:space="preserve">Diebold, F. X., &amp; Mariano, R. S. (1995). Comparing predictive accuracy. </w:t>
      </w:r>
      <w:r>
        <w:rPr>
          <w:rFonts w:ascii="Times New Roman" w:cs="Times New Roman" w:eastAsia="Times New Roman" w:hAnsi="Times New Roman"/>
          <w:i/>
          <w:iCs/>
        </w:rPr>
        <w:t xml:space="preserve">Journal of Business &amp; Economic Statistics</w:t>
      </w:r>
      <w:r>
        <w:rPr>
          <w:rFonts w:ascii="Times New Roman" w:cs="Times New Roman" w:eastAsia="Times New Roman" w:hAnsi="Times New Roman"/>
        </w:rPr>
        <w:t xml:space="preserve">, 13(3), 253–263. https://doi.org/10.1080/07350015.1995.10524599</w:t>
      </w:r>
    </w:p>
    <w:p>
      <w:pPr>
        <w:spacing w:after="160" w:before="0" w:line="240"/>
        <w:ind w:left="567" w:hanging="567"/>
        <w:jc w:val="left"/>
      </w:pPr>
      <w:r>
        <w:rPr>
          <w:rFonts w:ascii="Times New Roman" w:cs="Times New Roman" w:eastAsia="Times New Roman" w:hAnsi="Times New Roman"/>
        </w:rPr>
        <w:t xml:space="preserve">Fagbohun, O., Yashwanth, S., Akintola, A. S., Wurola, I., Shittu, L., Inyang, A., Odubola, O., Offia, U., Olanrewaju, S., Toluwaleke, O., Abutu, I., &amp; Akinbolaji, T. (2025). GreenIQ: A deep search platform for comprehensive carbon market analysis and automated report generation. </w:t>
      </w:r>
      <w:r>
        <w:rPr>
          <w:rFonts w:ascii="Times New Roman" w:cs="Times New Roman" w:eastAsia="Times New Roman" w:hAnsi="Times New Roman"/>
          <w:i/>
          <w:iCs/>
        </w:rPr>
        <w:t xml:space="preserve">arXiv:2503.16041</w:t>
      </w:r>
      <w:r>
        <w:rPr>
          <w:rFonts w:ascii="Times New Roman" w:cs="Times New Roman" w:eastAsia="Times New Roman" w:hAnsi="Times New Roman"/>
        </w:rPr>
        <w:t xml:space="preserve">. https://doi.org/10.48550/arXiv.2503.16041</w:t>
      </w:r>
    </w:p>
    <w:p>
      <w:pPr>
        <w:spacing w:after="160" w:before="0" w:line="240"/>
        <w:ind w:left="567" w:hanging="567"/>
        <w:jc w:val="left"/>
      </w:pPr>
      <w:r>
        <w:rPr>
          <w:rFonts w:ascii="Times New Roman" w:cs="Times New Roman" w:eastAsia="Times New Roman" w:hAnsi="Times New Roman"/>
        </w:rPr>
        <w:t xml:space="preserve">Hyndman, R. J., &amp; Athanasopoulos, G. (2021). </w:t>
      </w:r>
      <w:r>
        <w:rPr>
          <w:rFonts w:ascii="Times New Roman" w:cs="Times New Roman" w:eastAsia="Times New Roman" w:hAnsi="Times New Roman"/>
          <w:i/>
          <w:iCs/>
        </w:rPr>
        <w:t xml:space="preserve">Forecasting: Principles and practice</w:t>
      </w:r>
      <w:r>
        <w:rPr>
          <w:rFonts w:ascii="Times New Roman" w:cs="Times New Roman" w:eastAsia="Times New Roman" w:hAnsi="Times New Roman"/>
        </w:rPr>
        <w:t xml:space="preserve"> (3rd ed.). OTexts. https://otexts.com/fpp3/</w:t>
      </w:r>
    </w:p>
    <w:p>
      <w:pPr>
        <w:spacing w:after="160" w:before="0" w:line="240"/>
        <w:ind w:left="567" w:hanging="567"/>
        <w:jc w:val="left"/>
      </w:pPr>
      <w:r>
        <w:rPr>
          <w:rFonts w:ascii="Times New Roman" w:cs="Times New Roman" w:eastAsia="Times New Roman" w:hAnsi="Times New Roman"/>
        </w:rPr>
        <w:t xml:space="preserve">Hyndman, R. J., &amp; Koehler, A. B. (2006). Another look at measures of forecast accuracy. </w:t>
      </w:r>
      <w:r>
        <w:rPr>
          <w:rFonts w:ascii="Times New Roman" w:cs="Times New Roman" w:eastAsia="Times New Roman" w:hAnsi="Times New Roman"/>
          <w:i/>
          <w:iCs/>
        </w:rPr>
        <w:t xml:space="preserve">International Journal of Forecasting</w:t>
      </w:r>
      <w:r>
        <w:rPr>
          <w:rFonts w:ascii="Times New Roman" w:cs="Times New Roman" w:eastAsia="Times New Roman" w:hAnsi="Times New Roman"/>
        </w:rPr>
        <w:t xml:space="preserve">, 22(4), 679–688. https://doi.org/10.1016/j.ijforecast.2006.03.001</w:t>
      </w:r>
    </w:p>
    <w:p>
      <w:pPr>
        <w:spacing w:after="160" w:before="0" w:line="240"/>
        <w:ind w:left="567" w:hanging="567"/>
        <w:jc w:val="left"/>
      </w:pPr>
      <w:r>
        <w:rPr>
          <w:rFonts w:ascii="Times New Roman" w:cs="Times New Roman" w:eastAsia="Times New Roman" w:hAnsi="Times New Roman"/>
        </w:rPr>
        <w:t xml:space="preserve">Kaufman, S., Rosset, S., Perlich, C., &amp; Stitelman, O. (2012). Leakage in data mining: Formulation, detection, and avoidance. </w:t>
      </w:r>
      <w:r>
        <w:rPr>
          <w:rFonts w:ascii="Times New Roman" w:cs="Times New Roman" w:eastAsia="Times New Roman" w:hAnsi="Times New Roman"/>
          <w:i/>
          <w:iCs/>
        </w:rPr>
        <w:t xml:space="preserve">ACM Transactions on Knowledge Discovery from Data</w:t>
      </w:r>
      <w:r>
        <w:rPr>
          <w:rFonts w:ascii="Times New Roman" w:cs="Times New Roman" w:eastAsia="Times New Roman" w:hAnsi="Times New Roman"/>
        </w:rPr>
        <w:t xml:space="preserve">, 6(4), Article 15. https://doi.org/10.1145/2382577.2382579</w:t>
      </w:r>
    </w:p>
    <w:p>
      <w:pPr>
        <w:spacing w:after="160" w:before="0" w:line="240"/>
        <w:ind w:left="567" w:hanging="567"/>
        <w:jc w:val="left"/>
      </w:pPr>
      <w:r>
        <w:rPr>
          <w:rFonts w:ascii="Times New Roman" w:cs="Times New Roman" w:eastAsia="Times New Roman" w:hAnsi="Times New Roman"/>
        </w:rPr>
        <w:t xml:space="preserve">Khandelwal, M. (n.d.). </w:t>
      </w:r>
      <w:r>
        <w:rPr>
          <w:rFonts w:ascii="Times New Roman" w:cs="Times New Roman" w:eastAsia="Times New Roman" w:hAnsi="Times New Roman"/>
          <w:i/>
          <w:iCs/>
        </w:rPr>
        <w:t xml:space="preserve">Daily commodity prices India</w:t>
      </w:r>
      <w:r>
        <w:rPr>
          <w:rFonts w:ascii="Times New Roman" w:cs="Times New Roman" w:eastAsia="Times New Roman" w:hAnsi="Times New Roman"/>
        </w:rPr>
        <w:t xml:space="preserve"> [Data set]. Kaggle. Retrieved 2026, from https://www.kaggle.com/datasets/khandelwalmanas/daily-commodity-prices-india (compiled from Agmarknet, Directorate of Marketing and Inspection, Government of India).</w:t>
      </w:r>
    </w:p>
    <w:p>
      <w:pPr>
        <w:spacing w:after="160" w:before="0" w:line="240"/>
        <w:ind w:left="567" w:hanging="567"/>
        <w:jc w:val="left"/>
      </w:pPr>
      <w:r>
        <w:rPr>
          <w:rFonts w:ascii="Times New Roman" w:cs="Times New Roman" w:eastAsia="Times New Roman" w:hAnsi="Times New Roman"/>
        </w:rPr>
        <w:t xml:space="preserve">Lundberg, S. M., &amp; Lee, S.-I. (2017). A unified approach to interpreting model predictions.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30, 4765–4774.</w:t>
      </w:r>
    </w:p>
    <w:p>
      <w:pPr>
        <w:spacing w:after="160" w:before="0" w:line="240"/>
        <w:ind w:left="567" w:hanging="567"/>
        <w:jc w:val="left"/>
      </w:pPr>
      <w:r>
        <w:rPr>
          <w:rFonts w:ascii="Times New Roman" w:cs="Times New Roman" w:eastAsia="Times New Roman" w:hAnsi="Times New Roman"/>
        </w:rPr>
        <w:t xml:space="preserve">Makridakis, S., Spiliotis, E., &amp; Assimakopoulos, V. (2018a). Statistical and machine learning forecasting methods: Concerns and ways forward.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13(3), e0194889. https://doi.org/10.1371/journal.pone.0194889</w:t>
      </w:r>
    </w:p>
    <w:p>
      <w:pPr>
        <w:spacing w:after="160" w:before="0" w:line="240"/>
        <w:ind w:left="567" w:hanging="567"/>
        <w:jc w:val="left"/>
      </w:pPr>
      <w:r>
        <w:rPr>
          <w:rFonts w:ascii="Times New Roman" w:cs="Times New Roman" w:eastAsia="Times New Roman" w:hAnsi="Times New Roman"/>
        </w:rPr>
        <w:t xml:space="preserve">Makridakis, S., Spiliotis, E., &amp; Assimakopoulos, V. (2018b). The M4 Competition: Results, findings, conclusion and way forward. </w:t>
      </w:r>
      <w:r>
        <w:rPr>
          <w:rFonts w:ascii="Times New Roman" w:cs="Times New Roman" w:eastAsia="Times New Roman" w:hAnsi="Times New Roman"/>
          <w:i/>
          <w:iCs/>
        </w:rPr>
        <w:t xml:space="preserve">International Journal of Forecasting</w:t>
      </w:r>
      <w:r>
        <w:rPr>
          <w:rFonts w:ascii="Times New Roman" w:cs="Times New Roman" w:eastAsia="Times New Roman" w:hAnsi="Times New Roman"/>
        </w:rPr>
        <w:t xml:space="preserve">, 34(4), 802–808. https://doi.org/10.1016/j.ijforecast.2018.06.001</w:t>
      </w:r>
    </w:p>
    <w:p>
      <w:pPr>
        <w:spacing w:after="160" w:before="0" w:line="240"/>
        <w:ind w:left="567" w:hanging="567"/>
        <w:jc w:val="left"/>
      </w:pPr>
      <w:r>
        <w:rPr>
          <w:rFonts w:ascii="Times New Roman" w:cs="Times New Roman" w:eastAsia="Times New Roman" w:hAnsi="Times New Roman"/>
        </w:rPr>
        <w:t xml:space="preserve">Manogna, R. L., Dharmaji, V., &amp; Sarang, S. (2025). Enhancing agricultural commodity price forecasting with deep learning. </w:t>
      </w:r>
      <w:r>
        <w:rPr>
          <w:rFonts w:ascii="Times New Roman" w:cs="Times New Roman" w:eastAsia="Times New Roman" w:hAnsi="Times New Roman"/>
          <w:i/>
          <w:iCs/>
        </w:rPr>
        <w:t xml:space="preserve">Scientific Reports</w:t>
      </w:r>
      <w:r>
        <w:rPr>
          <w:rFonts w:ascii="Times New Roman" w:cs="Times New Roman" w:eastAsia="Times New Roman" w:hAnsi="Times New Roman"/>
        </w:rPr>
        <w:t xml:space="preserve">, 15, Article 20903. https://doi.org/10.1038/s41598-025-05103-z</w:t>
      </w:r>
    </w:p>
    <w:p>
      <w:pPr>
        <w:spacing w:after="160" w:before="0" w:line="240"/>
        <w:ind w:left="567" w:hanging="567"/>
        <w:jc w:val="left"/>
      </w:pPr>
      <w:r>
        <w:rPr>
          <w:rFonts w:ascii="Times New Roman" w:cs="Times New Roman" w:eastAsia="Times New Roman" w:hAnsi="Times New Roman"/>
        </w:rPr>
        <w:t xml:space="preserve">Mantaw, C. S., Prahadeeswaran, M., Karthick, V., Sumathi, C. S., &amp; Patil, S. G. (2024). Leveraging machine learning for accurate groundnut price forecasting in Tamil Nadu: An XGBoost approach. </w:t>
      </w:r>
      <w:r>
        <w:rPr>
          <w:rFonts w:ascii="Times New Roman" w:cs="Times New Roman" w:eastAsia="Times New Roman" w:hAnsi="Times New Roman"/>
          <w:i/>
          <w:iCs/>
        </w:rPr>
        <w:t xml:space="preserve">Research Square</w:t>
      </w:r>
      <w:r>
        <w:rPr>
          <w:rFonts w:ascii="Times New Roman" w:cs="Times New Roman" w:eastAsia="Times New Roman" w:hAnsi="Times New Roman"/>
        </w:rPr>
        <w:t xml:space="preserve"> [Preprint]. https://doi.org/10.21203/rs.3.rs-4293571/v1</w:t>
      </w:r>
    </w:p>
    <w:p>
      <w:pPr>
        <w:spacing w:after="160" w:before="0" w:line="240"/>
        <w:ind w:left="567" w:hanging="567"/>
        <w:jc w:val="left"/>
      </w:pPr>
      <w:r>
        <w:rPr>
          <w:rFonts w:ascii="Times New Roman" w:cs="Times New Roman" w:eastAsia="Times New Roman" w:hAnsi="Times New Roman"/>
        </w:rPr>
        <w:t xml:space="preserve">Molnar, C. (2022). </w:t>
      </w:r>
      <w:r>
        <w:rPr>
          <w:rFonts w:ascii="Times New Roman" w:cs="Times New Roman" w:eastAsia="Times New Roman" w:hAnsi="Times New Roman"/>
          <w:i/>
          <w:iCs/>
        </w:rPr>
        <w:t xml:space="preserve">Interpretable machine learning: A guide for making black box models explainable</w:t>
      </w:r>
      <w:r>
        <w:rPr>
          <w:rFonts w:ascii="Times New Roman" w:cs="Times New Roman" w:eastAsia="Times New Roman" w:hAnsi="Times New Roman"/>
        </w:rPr>
        <w:t xml:space="preserve"> (2nd ed.). https://christophm.github.io/interpretable-ml-book/</w:t>
      </w:r>
    </w:p>
    <w:p>
      <w:pPr>
        <w:spacing w:after="160" w:before="0" w:line="240"/>
        <w:ind w:left="567" w:hanging="567"/>
        <w:jc w:val="left"/>
      </w:pPr>
      <w:r>
        <w:rPr>
          <w:rFonts w:ascii="Times New Roman" w:cs="Times New Roman" w:eastAsia="Times New Roman" w:hAnsi="Times New Roman"/>
        </w:rPr>
        <w:t xml:space="preserve">Newey, W. K., &amp; West, K. D. (1987). A simple, positive semi-definite, heteroskedasticity and autocorrelation consistent covariance matrix. </w:t>
      </w:r>
      <w:r>
        <w:rPr>
          <w:rFonts w:ascii="Times New Roman" w:cs="Times New Roman" w:eastAsia="Times New Roman" w:hAnsi="Times New Roman"/>
          <w:i/>
          <w:iCs/>
        </w:rPr>
        <w:t xml:space="preserve">Econometrica</w:t>
      </w:r>
      <w:r>
        <w:rPr>
          <w:rFonts w:ascii="Times New Roman" w:cs="Times New Roman" w:eastAsia="Times New Roman" w:hAnsi="Times New Roman"/>
        </w:rPr>
        <w:t xml:space="preserve">, 55(3), 703–708. https://doi.org/10.2307/1913610</w:t>
      </w:r>
    </w:p>
    <w:p>
      <w:pPr>
        <w:spacing w:after="160" w:before="0" w:line="240"/>
        <w:ind w:left="567" w:hanging="567"/>
        <w:jc w:val="left"/>
      </w:pPr>
      <w:r>
        <w:rPr>
          <w:rFonts w:ascii="Times New Roman" w:cs="Times New Roman" w:eastAsia="Times New Roman" w:hAnsi="Times New Roman"/>
        </w:rPr>
        <w:t xml:space="preserve">Open-Meteo. (n.d.). </w:t>
      </w:r>
      <w:r>
        <w:rPr>
          <w:rFonts w:ascii="Times New Roman" w:cs="Times New Roman" w:eastAsia="Times New Roman" w:hAnsi="Times New Roman"/>
          <w:i/>
          <w:iCs/>
        </w:rPr>
        <w:t xml:space="preserve">Historical weather API</w:t>
      </w:r>
      <w:r>
        <w:rPr>
          <w:rFonts w:ascii="Times New Roman" w:cs="Times New Roman" w:eastAsia="Times New Roman" w:hAnsi="Times New Roman"/>
        </w:rPr>
        <w:t xml:space="preserve">. Retrieved 2026, from https://open-meteo.com/en/docs/historical-weather-api</w:t>
      </w:r>
    </w:p>
    <w:p>
      <w:pPr>
        <w:spacing w:after="160" w:before="0" w:line="240"/>
        <w:ind w:left="567" w:hanging="567"/>
        <w:jc w:val="left"/>
      </w:pPr>
      <w:r>
        <w:rPr>
          <w:rFonts w:ascii="Times New Roman" w:cs="Times New Roman" w:eastAsia="Times New Roman" w:hAnsi="Times New Roman"/>
        </w:rPr>
        <w:t xml:space="preserve">Padhi, P., Shekhar, H., &amp; Handa, A. (2023). </w:t>
      </w:r>
      <w:r>
        <w:rPr>
          <w:rFonts w:ascii="Times New Roman" w:cs="Times New Roman" w:eastAsia="Times New Roman" w:hAnsi="Times New Roman"/>
          <w:i/>
          <w:iCs/>
        </w:rPr>
        <w:t xml:space="preserve">Anatomy of price volatility transmission in Indian vegetables market</w:t>
      </w:r>
      <w:r>
        <w:rPr>
          <w:rFonts w:ascii="Times New Roman" w:cs="Times New Roman" w:eastAsia="Times New Roman" w:hAnsi="Times New Roman"/>
        </w:rPr>
        <w:t xml:space="preserve"> (DRG Study No. 49). Reserve Bank of India.</w:t>
      </w:r>
    </w:p>
    <w:p>
      <w:pPr>
        <w:spacing w:after="160" w:before="0" w:line="240"/>
        <w:ind w:left="567" w:hanging="567"/>
        <w:jc w:val="left"/>
      </w:pPr>
      <w:r>
        <w:rPr>
          <w:rFonts w:ascii="Times New Roman" w:cs="Times New Roman" w:eastAsia="Times New Roman" w:hAnsi="Times New Roman"/>
        </w:rPr>
        <w:t xml:space="preserve">Pedregosa, F., Varoquaux, G., Gramfort, A., Michel, V., Thirion, B., Grisel, O., et al. (2011).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12, 2825–2830.</w:t>
      </w:r>
    </w:p>
    <w:p>
      <w:pPr>
        <w:spacing w:after="160" w:before="0" w:line="240"/>
        <w:ind w:left="567" w:hanging="567"/>
        <w:jc w:val="left"/>
      </w:pPr>
      <w:r>
        <w:rPr>
          <w:rFonts w:ascii="Times New Roman" w:cs="Times New Roman" w:eastAsia="Times New Roman" w:hAnsi="Times New Roman"/>
        </w:rPr>
        <w:t xml:space="preserve">Roy, R., Gupta, S., Wardhan, H., Sarkar, S., Tewari, S., Bansal, R., Bhatia, S., &amp; Gulati, A. (2024). </w:t>
      </w:r>
      <w:r>
        <w:rPr>
          <w:rFonts w:ascii="Times New Roman" w:cs="Times New Roman" w:eastAsia="Times New Roman" w:hAnsi="Times New Roman"/>
          <w:i/>
          <w:iCs/>
        </w:rPr>
        <w:t xml:space="preserve">Vegetables inflation in India: A study of tomato, onion and potato (TOP)</w:t>
      </w:r>
      <w:r>
        <w:rPr>
          <w:rFonts w:ascii="Times New Roman" w:cs="Times New Roman" w:eastAsia="Times New Roman" w:hAnsi="Times New Roman"/>
        </w:rPr>
        <w:t xml:space="preserve"> (RBI Working Paper Series No. 08/2024). Reserve Bank of India. https://rbi.org.in/scripts/PublicationsView.aspx?Id=22723</w:t>
      </w:r>
    </w:p>
    <w:p>
      <w:pPr>
        <w:spacing w:after="160" w:before="0" w:line="240"/>
        <w:ind w:left="567" w:hanging="567"/>
        <w:jc w:val="left"/>
      </w:pPr>
      <w:r>
        <w:rPr>
          <w:rFonts w:ascii="Times New Roman" w:cs="Times New Roman" w:eastAsia="Times New Roman" w:hAnsi="Times New Roman"/>
        </w:rPr>
        <w:t xml:space="preserve">Seabold, S., &amp; Perktold, J. (2010). Statsmodels: Econometric and statistical modeling with Python. In </w:t>
      </w:r>
      <w:r>
        <w:rPr>
          <w:rFonts w:ascii="Times New Roman" w:cs="Times New Roman" w:eastAsia="Times New Roman" w:hAnsi="Times New Roman"/>
          <w:i/>
          <w:iCs/>
        </w:rPr>
        <w:t xml:space="preserve">Proceedings of the 9th Python in Science Conference</w:t>
      </w:r>
      <w:r>
        <w:rPr>
          <w:rFonts w:ascii="Times New Roman" w:cs="Times New Roman" w:eastAsia="Times New Roman" w:hAnsi="Times New Roman"/>
        </w:rPr>
        <w:t xml:space="preserve"> (pp. 92–96).</w:t>
      </w:r>
    </w:p>
    <w:p>
      <w:pPr>
        <w:spacing w:after="160" w:before="0" w:line="240"/>
        <w:ind w:left="567" w:hanging="567"/>
        <w:jc w:val="left"/>
      </w:pPr>
      <w:r>
        <w:rPr>
          <w:rFonts w:ascii="Times New Roman" w:cs="Times New Roman" w:eastAsia="Times New Roman" w:hAnsi="Times New Roman"/>
        </w:rPr>
        <w:t xml:space="preserve">Silver, E. A., Pyke, D. F., &amp; Thomas, D. J. (2017). </w:t>
      </w:r>
      <w:r>
        <w:rPr>
          <w:rFonts w:ascii="Times New Roman" w:cs="Times New Roman" w:eastAsia="Times New Roman" w:hAnsi="Times New Roman"/>
          <w:i/>
          <w:iCs/>
        </w:rPr>
        <w:t xml:space="preserve">Inventory and production management in supply chains</w:t>
      </w:r>
      <w:r>
        <w:rPr>
          <w:rFonts w:ascii="Times New Roman" w:cs="Times New Roman" w:eastAsia="Times New Roman" w:hAnsi="Times New Roman"/>
        </w:rPr>
        <w:t xml:space="preserve"> (4th ed.). CRC Press.</w:t>
      </w:r>
    </w:p>
    <w:p>
      <w:pPr>
        <w:spacing w:after="160" w:before="0" w:line="240"/>
        <w:ind w:left="567" w:hanging="567"/>
        <w:jc w:val="left"/>
      </w:pPr>
      <w:r>
        <w:rPr>
          <w:rFonts w:ascii="Times New Roman" w:cs="Times New Roman" w:eastAsia="Times New Roman" w:hAnsi="Times New Roman"/>
        </w:rPr>
        <w:t xml:space="preserve">Tamilselvi, C., &amp; Mohan Naidu, G. (2020). Forecasting of vegetable arrivals and wholesale prices of Koyambedu market in Chennai using SARIMA approach. </w:t>
      </w:r>
      <w:r>
        <w:rPr>
          <w:rFonts w:ascii="Times New Roman" w:cs="Times New Roman" w:eastAsia="Times New Roman" w:hAnsi="Times New Roman"/>
          <w:i/>
          <w:iCs/>
        </w:rPr>
        <w:t xml:space="preserve">International Journal of Current Microbiology and Applied Sciences</w:t>
      </w:r>
      <w:r>
        <w:rPr>
          <w:rFonts w:ascii="Times New Roman" w:cs="Times New Roman" w:eastAsia="Times New Roman" w:hAnsi="Times New Roman"/>
        </w:rPr>
        <w:t xml:space="preserve">, 9(10), 3059–3068. https://doi.org/10.20546/ijcmas.2020.910.368</w:t>
      </w:r>
    </w:p>
    <w:p>
      <w:pPr>
        <w:spacing w:after="160" w:before="0" w:line="240"/>
        <w:ind w:left="567" w:hanging="567"/>
        <w:jc w:val="left"/>
      </w:pPr>
      <w:r>
        <w:rPr>
          <w:rFonts w:ascii="Times New Roman" w:cs="Times New Roman" w:eastAsia="Times New Roman" w:hAnsi="Times New Roman"/>
        </w:rPr>
        <w:t xml:space="preserve">Tashman, L. J. (2000). Out-of-sample tests of forecasting accuracy: An analysis and review. </w:t>
      </w:r>
      <w:r>
        <w:rPr>
          <w:rFonts w:ascii="Times New Roman" w:cs="Times New Roman" w:eastAsia="Times New Roman" w:hAnsi="Times New Roman"/>
          <w:i/>
          <w:iCs/>
        </w:rPr>
        <w:t xml:space="preserve">International Journal of Forecasting</w:t>
      </w:r>
      <w:r>
        <w:rPr>
          <w:rFonts w:ascii="Times New Roman" w:cs="Times New Roman" w:eastAsia="Times New Roman" w:hAnsi="Times New Roman"/>
        </w:rPr>
        <w:t xml:space="preserve">, 16(4), 437–450. https://doi.org/10.1016/S0169-2070(00)00065-0</w:t>
      </w:r>
    </w:p>
    <w:p>
      <w:pPr>
        <w:spacing w:after="160" w:before="0" w:line="240"/>
        <w:ind w:left="567" w:hanging="567"/>
        <w:jc w:val="left"/>
      </w:pPr>
      <w:r>
        <w:rPr>
          <w:rFonts w:ascii="Times New Roman" w:cs="Times New Roman" w:eastAsia="Times New Roman" w:hAnsi="Times New Roman"/>
        </w:rPr>
        <w:t xml:space="preserve">Taylor, S. J., &amp; Letham, B. (2018). Forecasting at scale. </w:t>
      </w:r>
      <w:r>
        <w:rPr>
          <w:rFonts w:ascii="Times New Roman" w:cs="Times New Roman" w:eastAsia="Times New Roman" w:hAnsi="Times New Roman"/>
          <w:i/>
          <w:iCs/>
        </w:rPr>
        <w:t xml:space="preserve">The American Statistician</w:t>
      </w:r>
      <w:r>
        <w:rPr>
          <w:rFonts w:ascii="Times New Roman" w:cs="Times New Roman" w:eastAsia="Times New Roman" w:hAnsi="Times New Roman"/>
        </w:rPr>
        <w:t xml:space="preserve">, 72(1), 37–45. https://doi.org/10.1080/00031305.2017.1380080</w:t>
      </w:r>
    </w:p>
    <w:p>
      <w:pPr>
        <w:spacing w:after="160" w:before="0" w:line="240"/>
        <w:ind w:left="567" w:hanging="567"/>
        <w:jc w:val="left"/>
      </w:pPr>
      <w:r>
        <w:rPr>
          <w:rFonts w:ascii="Times New Roman" w:cs="Times New Roman" w:eastAsia="Times New Roman" w:hAnsi="Times New Roman"/>
        </w:rPr>
        <w:t xml:space="preserve">Vegetable Market Price. (n.d.). </w:t>
      </w:r>
      <w:r>
        <w:rPr>
          <w:rFonts w:ascii="Times New Roman" w:cs="Times New Roman" w:eastAsia="Times New Roman" w:hAnsi="Times New Roman"/>
          <w:i/>
          <w:iCs/>
        </w:rPr>
        <w:t xml:space="preserve">Koyambedu market price history</w:t>
      </w:r>
      <w:r>
        <w:rPr>
          <w:rFonts w:ascii="Times New Roman" w:cs="Times New Roman" w:eastAsia="Times New Roman" w:hAnsi="Times New Roman"/>
        </w:rPr>
        <w:t xml:space="preserve">. Retrieved 17 October 2026, from https://vegetablemarketprice.com/market/koyambedu/history (daily series attributed to the Koyambedu Vegetable Merchants’ Council).</w:t>
      </w:r>
    </w:p>
    <w:p>
      <w:pPr>
        <w:spacing w:after="160" w:before="0" w:line="240"/>
        <w:ind w:left="567" w:hanging="567"/>
        <w:jc w:val="left"/>
      </w:pPr>
      <w:r>
        <w:rPr>
          <w:rFonts w:ascii="Times New Roman" w:cs="Times New Roman" w:eastAsia="Times New Roman" w:hAnsi="Times New Roman"/>
        </w:rPr>
        <w:t xml:space="preserve">Wang, L., Ma, C., Feng, X., Zhang, Z., Yang, H., Zhang, J., et al. (2024). A survey on large language model based autonomous agents. </w:t>
      </w:r>
      <w:r>
        <w:rPr>
          <w:rFonts w:ascii="Times New Roman" w:cs="Times New Roman" w:eastAsia="Times New Roman" w:hAnsi="Times New Roman"/>
          <w:i/>
          <w:iCs/>
        </w:rPr>
        <w:t xml:space="preserve">Frontiers of Computer Science</w:t>
      </w:r>
      <w:r>
        <w:rPr>
          <w:rFonts w:ascii="Times New Roman" w:cs="Times New Roman" w:eastAsia="Times New Roman" w:hAnsi="Times New Roman"/>
        </w:rPr>
        <w:t xml:space="preserve">, 18(6), 186345. https://doi.org/10.1007/s11704-024-40231-1</w:t>
      </w:r>
    </w:p>
    <w:p>
      <w:pPr>
        <w:spacing w:after="160" w:before="0" w:line="240"/>
        <w:ind w:left="567" w:hanging="567"/>
        <w:jc w:val="left"/>
      </w:pPr>
      <w:r>
        <w:rPr>
          <w:rFonts w:ascii="Times New Roman" w:cs="Times New Roman" w:eastAsia="Times New Roman" w:hAnsi="Times New Roman"/>
        </w:rPr>
        <w:t xml:space="preserve">Zhang, Z., Zhang, J., Liu, H., Lv, Q., Yang, J., Cai, K., &amp; Wang, K. (2026). AgriWorld: A World Tools Protocol framework for verifiable agricultural reasoning with code-executing LLM agents. </w:t>
      </w:r>
      <w:r>
        <w:rPr>
          <w:rFonts w:ascii="Times New Roman" w:cs="Times New Roman" w:eastAsia="Times New Roman" w:hAnsi="Times New Roman"/>
          <w:i/>
          <w:iCs/>
        </w:rPr>
        <w:t xml:space="preserve">arXiv:2602.15325</w:t>
      </w:r>
      <w:r>
        <w:rPr>
          <w:rFonts w:ascii="Times New Roman" w:cs="Times New Roman" w:eastAsia="Times New Roman" w:hAnsi="Times New Roman"/>
        </w:rPr>
        <w:t xml:space="preserve">. https://doi.org/10.48550/arXiv.2602.15325</w:t>
      </w:r>
    </w:p>
    <w:sectPr>
      <w:headerReference w:type="default" r:id="rId8"/>
      <w:pgSz w:w="11906" w:h="16838" w:orient="portrait"/>
      <w:pgMar w:top="1814" w:right="1304" w:bottom="1531" w:left="2154" w:header="1134"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abstractNum>
  <w:abstractNum w:abstractNumId="3" w15:restartNumberingAfterBreak="0">
    <w:multiLevelType w:val="hybridMultilevel"/>
    <w:lvl w:ilvl="0" w15:tentative="1">
      <w:start w:val="1"/>
      <w:numFmt w:val="decimal"/>
      <w:lvlText w:val="%1."/>
      <w:lvlJc w:val="left"/>
      <w:pPr>
        <w:ind w:left="567" w:hanging="397"/>
      </w:pPr>
    </w:lvl>
  </w:abstractNum>
  <w:abstractNum w:abstractNumId="4" w15:restartNumberingAfterBreak="0">
    <w:multiLevelType w:val="hybridMultilevel"/>
    <w:lvl w:ilvl="0" w15:tentative="1">
      <w:start w:val="1"/>
      <w:numFmt w:val="decimal"/>
      <w:lvlText w:val="%1."/>
      <w:lvlJc w:val="left"/>
      <w:pPr>
        <w:ind w:left="567" w:hanging="397"/>
      </w:pPr>
    </w:lvl>
  </w:abstractNum>
  <w:abstractNum w:abstractNumId="5" w15:restartNumberingAfterBreak="0">
    <w:multiLevelType w:val="hybridMultilevel"/>
    <w:lvl w:ilvl="0" w15:tentative="1">
      <w:start w:val="1"/>
      <w:numFmt w:val="decimal"/>
      <w:lvlText w:val="%1."/>
      <w:lvlJc w:val="left"/>
      <w:pPr>
        <w:ind w:left="567" w:hanging="397"/>
      </w:pPr>
    </w:lvl>
  </w:abstractNum>
  <w:abstractNum w:abstractNumId="6" w15:restartNumberingAfterBreak="0">
    <w:multiLevelType w:val="hybridMultilevel"/>
    <w:lvl w:ilvl="0" w15:tentative="1">
      <w:start w:val="1"/>
      <w:numFmt w:val="decimal"/>
      <w:lvlText w:val="%1."/>
      <w:lvlJc w:val="left"/>
      <w:pPr>
        <w:ind w:left="567" w:hanging="397"/>
      </w:pPr>
    </w:lvl>
  </w:abstractNum>
  <w:abstractNum w:abstractNumId="7" w15:restartNumberingAfterBreak="0">
    <w:multiLevelType w:val="hybridMultilevel"/>
    <w:lvl w:ilvl="0" w15:tentative="1">
      <w:start w:val="1"/>
      <w:numFmt w:val="decimal"/>
      <w:lvlText w:val="%1."/>
      <w:lvlJc w:val="left"/>
      <w:pPr>
        <w:ind w:left="567" w:hanging="397"/>
      </w:pPr>
    </w:lvl>
  </w:abstractNum>
  <w:abstractNum w:abstractNumId="8" w15:restartNumberingAfterBreak="0">
    <w:multiLevelType w:val="hybridMultilevel"/>
    <w:lvl w:ilvl="0" w15:tentative="1">
      <w:start w:val="1"/>
      <w:numFmt w:val="decimal"/>
      <w:lvlText w:val="%1."/>
      <w:lvlJc w:val="left"/>
      <w:pPr>
        <w:ind w:left="567" w:hanging="397"/>
      </w:pPr>
    </w:lvl>
  </w:abstractNum>
  <w:abstractNum w:abstractNumId="9" w15:restartNumberingAfterBreak="0">
    <w:multiLevelType w:val="hybridMultilevel"/>
    <w:lvl w:ilvl="0" w15:tentative="1">
      <w:start w:val="1"/>
      <w:numFmt w:val="decimal"/>
      <w:lvlText w:val="%1."/>
      <w:lvlJc w:val="left"/>
      <w:pPr>
        <w:ind w:left="567" w:hanging="397"/>
      </w:pPr>
    </w:lvl>
  </w:abstractNum>
  <w:abstractNum w:abstractNumId="10" w15:restartNumberingAfterBreak="0">
    <w:multiLevelType w:val="hybridMultilevel"/>
    <w:lvl w:ilvl="0" w15:tentative="1">
      <w:start w:val="1"/>
      <w:numFmt w:val="decimal"/>
      <w:lvlText w:val="%1."/>
      <w:lvlJc w:val="left"/>
      <w:pPr>
        <w:ind w:left="567" w:hanging="397"/>
      </w:pPr>
    </w:lvl>
  </w:abstractNum>
  <w:abstractNum w:abstractNumId="11" w15:restartNumberingAfterBreak="0">
    <w:multiLevelType w:val="hybridMultilevel"/>
    <w:lvl w:ilvl="0" w15:tentative="1">
      <w:start w:val="1"/>
      <w:numFmt w:val="decimal"/>
      <w:lvlText w:val="%1."/>
      <w:lvlJc w:val="left"/>
      <w:pPr>
        <w:ind w:left="567" w:hanging="397"/>
      </w:pPr>
    </w:lvl>
  </w:abstractNum>
  <w:abstractNum w:abstractNumId="12" w15:restartNumberingAfterBreak="0">
    <w:multiLevelType w:val="hybridMultilevel"/>
    <w:lvl w:ilvl="0" w15:tentative="1">
      <w:start w:val="1"/>
      <w:numFmt w:val="decimal"/>
      <w:lvlText w:val="%1."/>
      <w:lvlJc w:val="left"/>
      <w:pPr>
        <w:ind w:left="567" w:hanging="397"/>
      </w:pPr>
    </w:lvl>
  </w:abstractNum>
  <w:abstractNum w:abstractNumId="13" w15:restartNumberingAfterBreak="0">
    <w:multiLevelType w:val="hybridMultilevel"/>
    <w:lvl w:ilvl="0" w15:tentative="1">
      <w:start w:val="1"/>
      <w:numFmt w:val="decimal"/>
      <w:lvlText w:val="%1."/>
      <w:lvlJc w:val="left"/>
      <w:pPr>
        <w:ind w:left="567" w:hanging="397"/>
      </w:pPr>
    </w:lvl>
  </w:abstractNum>
  <w:abstractNum w:abstractNumId="14" w15:restartNumberingAfterBreak="0">
    <w:multiLevelType w:val="hybridMultilevel"/>
    <w:lvl w:ilvl="0" w15:tentative="1">
      <w:start w:val="1"/>
      <w:numFmt w:val="decimal"/>
      <w:lvlText w:val="%1."/>
      <w:lvlJc w:val="left"/>
      <w:pPr>
        <w:ind w:left="567" w:hanging="397"/>
      </w:pPr>
    </w:lvl>
  </w:abstractNum>
  <w:abstractNum w:abstractNumId="15" w15:restartNumberingAfterBreak="0">
    <w:multiLevelType w:val="hybridMultilevel"/>
    <w:lvl w:ilvl="0" w15:tentative="1">
      <w:start w:val="1"/>
      <w:numFmt w:val="decimal"/>
      <w:lvlText w:val="%1."/>
      <w:lvlJc w:val="left"/>
      <w:pPr>
        <w:ind w:left="567" w:hanging="397"/>
      </w:pPr>
    </w:lvl>
  </w:abstractNum>
  <w:abstractNum w:abstractNumId="16" w15:restartNumberingAfterBreak="0">
    <w:multiLevelType w:val="hybridMultilevel"/>
    <w:lvl w:ilvl="0" w15:tentative="1">
      <w:start w:val="1"/>
      <w:numFmt w:val="decimal"/>
      <w:lvlText w:val="%1."/>
      <w:lvlJc w:val="left"/>
      <w:pPr>
        <w:ind w:left="567" w:hanging="397"/>
      </w:pPr>
    </w:lvl>
  </w:abstractNum>
  <w:abstractNum w:abstractNumId="17" w15:restartNumberingAfterBreak="0">
    <w:multiLevelType w:val="hybridMultilevel"/>
    <w:lvl w:ilvl="0" w15:tentative="1">
      <w:start w:val="1"/>
      <w:numFmt w:val="decimal"/>
      <w:lvlText w:val="%1."/>
      <w:lvlJc w:val="left"/>
      <w:pPr>
        <w:ind w:left="567" w:hanging="397"/>
      </w:pPr>
    </w:lvl>
  </w:abstractNum>
  <w:abstractNum w:abstractNumId="18" w15:restartNumberingAfterBreak="0">
    <w:multiLevelType w:val="hybridMultilevel"/>
    <w:lvl w:ilvl="0" w15:tentative="1">
      <w:start w:val="1"/>
      <w:numFmt w:val="decimal"/>
      <w:lvlText w:val="%1."/>
      <w:lvlJc w:val="left"/>
      <w:pPr>
        <w:ind w:left="567" w:hanging="397"/>
      </w:pPr>
    </w:lvl>
  </w:abstractNum>
  <w:abstractNum w:abstractNumId="19" w15:restartNumberingAfterBreak="0">
    <w:multiLevelType w:val="hybridMultilevel"/>
    <w:lvl w:ilvl="0" w15:tentative="1">
      <w:start w:val="1"/>
      <w:numFmt w:val="decimal"/>
      <w:lvlText w:val="%1."/>
      <w:lvlJc w:val="left"/>
      <w:pPr>
        <w:ind w:left="567" w:hanging="397"/>
      </w:pPr>
    </w:lvl>
  </w:abstractNum>
  <w:abstractNum w:abstractNumId="20" w15:restartNumberingAfterBreak="0">
    <w:multiLevelType w:val="hybridMultilevel"/>
    <w:lvl w:ilvl="0" w15:tentative="1">
      <w:start w:val="1"/>
      <w:numFmt w:val="decimal"/>
      <w:lvlText w:val="%1."/>
      <w:lvlJc w:val="left"/>
      <w:pPr>
        <w:ind w:left="567" w:hanging="397"/>
      </w:pPr>
    </w:lvl>
  </w:abstractNum>
  <w:abstractNum w:abstractNumId="21" w15:restartNumberingAfterBreak="0">
    <w:multiLevelType w:val="hybridMultilevel"/>
    <w:lvl w:ilvl="0" w15:tentative="1">
      <w:start w:val="1"/>
      <w:numFmt w:val="decimal"/>
      <w:lvlText w:val="%1."/>
      <w:lvlJc w:val="left"/>
      <w:pPr>
        <w:ind w:left="567" w:hanging="397"/>
      </w:pPr>
    </w:lvl>
  </w:abstractNum>
  <w:abstractNum w:abstractNumId="22" w15:restartNumberingAfterBreak="0">
    <w:multiLevelType w:val="hybridMultilevel"/>
    <w:lvl w:ilvl="0" w15:tentative="1">
      <w:start w:val="1"/>
      <w:numFmt w:val="decimal"/>
      <w:lvlText w:val="%1."/>
      <w:lvlJc w:val="left"/>
      <w:pPr>
        <w:ind w:left="567" w:hanging="397"/>
      </w:pPr>
    </w:lvl>
  </w:abstractNum>
  <w:abstractNum w:abstractNumId="23" w15:restartNumberingAfterBreak="0">
    <w:multiLevelType w:val="hybridMultilevel"/>
    <w:lvl w:ilvl="0" w15:tentative="1">
      <w:start w:val="1"/>
      <w:numFmt w:val="decimal"/>
      <w:lvlText w:val="%1."/>
      <w:lvlJc w:val="left"/>
      <w:pPr>
        <w:ind w:left="567" w:hanging="397"/>
      </w:pPr>
    </w:lvl>
  </w:abstractNum>
  <w:abstractNum w:abstractNumId="24" w15:restartNumberingAfterBreak="0">
    <w:multiLevelType w:val="hybridMultilevel"/>
    <w:lvl w:ilvl="0" w15:tentative="1">
      <w:start w:val="1"/>
      <w:numFmt w:val="decimal"/>
      <w:lvlText w:val="%1."/>
      <w:lvlJc w:val="left"/>
      <w:pPr>
        <w:ind w:left="567" w:hanging="397"/>
      </w:pPr>
    </w:lvl>
  </w:abstractNum>
  <w:abstractNum w:abstractNumId="25" w15:restartNumberingAfterBreak="0">
    <w:multiLevelType w:val="hybridMultilevel"/>
    <w:lvl w:ilvl="0" w15:tentative="1">
      <w:start w:val="1"/>
      <w:numFmt w:val="decimal"/>
      <w:lvlText w:val="%1."/>
      <w:lvlJc w:val="left"/>
      <w:pPr>
        <w:ind w:left="567" w:hanging="397"/>
      </w:pPr>
    </w:lvl>
  </w:abstractNum>
  <w:abstractNum w:abstractNumId="26" w15:restartNumberingAfterBreak="0">
    <w:multiLevelType w:val="hybridMultilevel"/>
    <w:lvl w:ilvl="0" w15:tentative="1">
      <w:start w:val="1"/>
      <w:numFmt w:val="decimal"/>
      <w:lvlText w:val="%1."/>
      <w:lvlJc w:val="left"/>
      <w:pPr>
        <w:ind w:left="567" w:hanging="397"/>
      </w:pPr>
    </w:lvl>
  </w:abstractNum>
  <w:abstractNum w:abstractNumId="27" w15:restartNumberingAfterBreak="0">
    <w:multiLevelType w:val="hybridMultilevel"/>
    <w:lvl w:ilvl="0" w15:tentative="1">
      <w:start w:val="1"/>
      <w:numFmt w:val="decimal"/>
      <w:lvlText w:val="%1."/>
      <w:lvlJc w:val="left"/>
      <w:pPr>
        <w:ind w:left="567" w:hanging="397"/>
      </w:pPr>
    </w:lvl>
  </w:abstractNum>
  <w:abstractNum w:abstractNumId="28" w15:restartNumberingAfterBreak="0">
    <w:multiLevelType w:val="hybridMultilevel"/>
    <w:lvl w:ilvl="0" w15:tentative="1">
      <w:start w:val="1"/>
      <w:numFmt w:val="decimal"/>
      <w:lvlText w:val="%1."/>
      <w:lvlJc w:val="left"/>
      <w:pPr>
        <w:ind w:left="567" w:hanging="397"/>
      </w:pPr>
    </w:lvl>
  </w:abstractNum>
  <w:abstractNum w:abstractNumId="29" w15:restartNumberingAfterBreak="0">
    <w:multiLevelType w:val="hybridMultilevel"/>
    <w:lvl w:ilvl="0" w15:tentative="1">
      <w:start w:val="1"/>
      <w:numFmt w:val="decimal"/>
      <w:lvlText w:val="%1."/>
      <w:lvlJc w:val="left"/>
      <w:pPr>
        <w:ind w:left="567" w:hanging="397"/>
      </w:pPr>
    </w:lvl>
  </w:abstractNum>
  <w:abstractNum w:abstractNumId="30" w15:restartNumberingAfterBreak="0">
    <w:multiLevelType w:val="hybridMultilevel"/>
    <w:lvl w:ilvl="0" w15:tentative="1">
      <w:start w:val="1"/>
      <w:numFmt w:val="decimal"/>
      <w:lvlText w:val="%1."/>
      <w:lvlJc w:val="left"/>
      <w:pPr>
        <w:ind w:left="567" w:hanging="397"/>
      </w:pPr>
    </w:lvl>
  </w:abstractNum>
  <w:abstractNum w:abstractNumId="31" w15:restartNumberingAfterBreak="0">
    <w:multiLevelType w:val="hybridMultilevel"/>
    <w:lvl w:ilvl="0" w15:tentative="1">
      <w:start w:val="1"/>
      <w:numFmt w:val="decimal"/>
      <w:lvlText w:val="%1."/>
      <w:lvlJc w:val="left"/>
      <w:pPr>
        <w:ind w:left="567" w:hanging="397"/>
      </w:pPr>
    </w:lvl>
  </w:abstractNum>
  <w:abstractNum w:abstractNumId="32" w15:restartNumberingAfterBreak="0">
    <w:multiLevelType w:val="hybridMultilevel"/>
    <w:lvl w:ilvl="0" w15:tentative="1">
      <w:start w:val="1"/>
      <w:numFmt w:val="decimal"/>
      <w:lvlText w:val="%1."/>
      <w:lvlJc w:val="left"/>
      <w:pPr>
        <w:ind w:left="567" w:hanging="397"/>
      </w:pPr>
    </w:lvl>
  </w:abstractNum>
  <w:abstractNum w:abstractNumId="33" w15:restartNumberingAfterBreak="0">
    <w:multiLevelType w:val="hybridMultilevel"/>
    <w:lvl w:ilvl="0" w15:tentative="1">
      <w:start w:val="1"/>
      <w:numFmt w:val="decimal"/>
      <w:lvlText w:val="%1."/>
      <w:lvlJc w:val="left"/>
      <w:pPr>
        <w:ind w:left="567" w:hanging="397"/>
      </w:pPr>
    </w:lvl>
  </w:abstractNum>
  <w:abstractNum w:abstractNumId="34" w15:restartNumberingAfterBreak="0">
    <w:multiLevelType w:val="hybridMultilevel"/>
    <w:lvl w:ilvl="0" w15:tentative="1">
      <w:start w:val="1"/>
      <w:numFmt w:val="decimal"/>
      <w:lvlText w:val="%1."/>
      <w:lvlJc w:val="left"/>
      <w:pPr>
        <w:ind w:left="567" w:hanging="397"/>
      </w:pPr>
    </w:lvl>
  </w:abstractNum>
  <w:abstractNum w:abstractNumId="35" w15:restartNumberingAfterBreak="0">
    <w:multiLevelType w:val="hybridMultilevel"/>
    <w:lvl w:ilvl="0" w15:tentative="1">
      <w:start w:val="1"/>
      <w:numFmt w:val="decimal"/>
      <w:lvlText w:val="%1."/>
      <w:lvlJc w:val="left"/>
      <w:pPr>
        <w:ind w:left="567" w:hanging="397"/>
      </w:pPr>
    </w:lvl>
  </w:abstractNum>
  <w:abstractNum w:abstractNumId="36" w15:restartNumberingAfterBreak="0">
    <w:multiLevelType w:val="hybridMultilevel"/>
    <w:lvl w:ilvl="0" w15:tentative="1">
      <w:start w:val="1"/>
      <w:numFmt w:val="decimal"/>
      <w:lvlText w:val="%1."/>
      <w:lvlJc w:val="left"/>
      <w:pPr>
        <w:ind w:left="567" w:hanging="397"/>
      </w:pPr>
    </w:lvl>
  </w:abstractNum>
  <w:abstractNum w:abstractNumId="37" w15:restartNumberingAfterBreak="0">
    <w:multiLevelType w:val="hybridMultilevel"/>
    <w:lvl w:ilvl="0" w15:tentative="1">
      <w:start w:val="1"/>
      <w:numFmt w:val="decimal"/>
      <w:lvlText w:val="%1."/>
      <w:lvlJc w:val="left"/>
      <w:pPr>
        <w:ind w:left="567" w:hanging="397"/>
      </w:pPr>
    </w:lvl>
  </w:abstractNum>
  <w:abstractNum w:abstractNumId="38" w15:restartNumberingAfterBreak="0">
    <w:multiLevelType w:val="hybridMultilevel"/>
    <w:lvl w:ilvl="0" w15:tentative="1">
      <w:start w:val="1"/>
      <w:numFmt w:val="decimal"/>
      <w:lvlText w:val="%1."/>
      <w:lvlJc w:val="left"/>
      <w:pPr>
        <w:ind w:left="567" w:hanging="397"/>
      </w:pPr>
    </w:lvl>
  </w:abstractNum>
  <w:abstractNum w:abstractNumId="39" w15:restartNumberingAfterBreak="0">
    <w:multiLevelType w:val="hybridMultilevel"/>
    <w:lvl w:ilvl="0" w15:tentative="1">
      <w:start w:val="1"/>
      <w:numFmt w:val="decimal"/>
      <w:lvlText w:val="%1."/>
      <w:lvlJc w:val="left"/>
      <w:pPr>
        <w:ind w:left="567" w:hanging="397"/>
      </w:pPr>
    </w:lvl>
  </w:abstractNum>
  <w:abstractNum w:abstractNumId="40" w15:restartNumberingAfterBreak="0">
    <w:multiLevelType w:val="hybridMultilevel"/>
    <w:lvl w:ilvl="0" w15:tentative="1">
      <w:start w:val="1"/>
      <w:numFmt w:val="decimal"/>
      <w:lvlText w:val="%1."/>
      <w:lvlJc w:val="left"/>
      <w:pPr>
        <w:ind w:left="567" w:hanging="397"/>
      </w:pPr>
    </w:lvl>
  </w:abstractNum>
  <w:abstractNum w:abstractNumId="41" w15:restartNumberingAfterBreak="0">
    <w:multiLevelType w:val="hybridMultilevel"/>
    <w:lvl w:ilvl="0" w15:tentative="1">
      <w:start w:val="1"/>
      <w:numFmt w:val="decimal"/>
      <w:lvlText w:val="%1."/>
      <w:lvlJc w:val="left"/>
      <w:pPr>
        <w:ind w:left="567" w:hanging="397"/>
      </w:pPr>
    </w:lvl>
  </w:abstractNum>
  <w:abstractNum w:abstractNumId="42"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keepLines/>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outlineLvl w:val="2"/>
    </w:pPr>
    <w:rPr>
      <w:rFonts w:ascii="Times New Roman" w:cs="Times New Roman" w:eastAsia="Times New Roman" w:hAnsi="Times New Roman"/>
      <w:b/>
      <w:bCs/>
      <w:color w:val="000000"/>
      <w:sz w:val="24"/>
      <w:szCs w:val="24"/>
    </w:rPr>
  </w:style>
  <w:style w:type="paragraph" w:styleId="TOC1">
    <w:name w:val="toc 1"/>
    <w:basedOn w:val="Normal"/>
    <w:next w:val="Normal"/>
    <w:pPr>
      <w:spacing w:after="0" w:line="360"/>
    </w:pPr>
    <w:rPr>
      <w:rFonts w:ascii="Times New Roman" w:cs="Times New Roman" w:eastAsia="Times New Roman" w:hAnsi="Times New Roman"/>
      <w:sz w:val="24"/>
      <w:szCs w:val="24"/>
    </w:rPr>
  </w:style>
  <w:style w:type="paragraph" w:styleId="TOC2">
    <w:name w:val="toc 2"/>
    <w:basedOn w:val="Normal"/>
    <w:next w:val="Normal"/>
    <w:pPr>
      <w:spacing w:after="0" w:line="360"/>
      <w:ind w:left="440"/>
    </w:pPr>
    <w:rPr>
      <w:rFonts w:ascii="Times New Roman" w:cs="Times New Roman" w:eastAsia="Times New Roman" w:hAnsi="Times New Roman"/>
      <w:sz w:val="24"/>
      <w:szCs w:val="24"/>
    </w:rPr>
  </w:style>
  <w:style w:type="paragraph" w:styleId="TableCaption">
    <w:name w:val="TableCaption"/>
    <w:basedOn w:val="Normal"/>
    <w:pPr>
      <w:jc w:val="center"/>
    </w:pPr>
    <w:rPr>
      <w:rFonts w:ascii="Times New Roman" w:cs="Times New Roman" w:eastAsia="Times New Roman" w:hAnsi="Times New Roman"/>
      <w:sz w:val="22"/>
      <w:szCs w:val="22"/>
    </w:rPr>
  </w:style>
  <w:style w:type="paragraph" w:styleId="FigureCaption">
    <w:name w:val="FigureCaption"/>
    <w:basedOn w:val="Normal"/>
    <w:pPr>
      <w:jc w:val="center"/>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36fec7d816eae29de88f6a3b34207104b2794d8f.png"/><Relationship Id="rId10" Type="http://schemas.openxmlformats.org/officeDocument/2006/relationships/image" Target="media/3ff724b677e875fa9b90e4301863f2dea6f324e2.png"/><Relationship Id="rId11" Type="http://schemas.openxmlformats.org/officeDocument/2006/relationships/image" Target="media/897eac03be164d07f3249f79f52246e015a6908e.png"/><Relationship Id="rId12" Type="http://schemas.openxmlformats.org/officeDocument/2006/relationships/image" Target="media/7ff86f8067bf78477c3df6f3b9c4dc92e50db19c.png"/><Relationship Id="rId13" Type="http://schemas.openxmlformats.org/officeDocument/2006/relationships/image" Target="media/8eec1a9d1f4e4bcb57e8a7a2f69e8e9a020a894c.png"/><Relationship Id="rId14" Type="http://schemas.openxmlformats.org/officeDocument/2006/relationships/image" Target="media/6bb04f5eddfbff0671a0cac3cac0d7e3ae3027e1.png"/><Relationship Id="rId15" Type="http://schemas.openxmlformats.org/officeDocument/2006/relationships/image" Target="media/945a565c255b56408d92bea2114a2dd68badb927.png"/><Relationship Id="rId16" Type="http://schemas.openxmlformats.org/officeDocument/2006/relationships/image" Target="media/1b5baa4e7068cd9ff8d8df613c1d20ba42ee8563.png"/><Relationship Id="rId17" Type="http://schemas.openxmlformats.org/officeDocument/2006/relationships/image" Target="media/84e070b8a2e0bdd22f4ad6429b3357bb44f6a3a9.png"/><Relationship Id="rId18" Type="http://schemas.openxmlformats.org/officeDocument/2006/relationships/image" Target="media/a9230d319780eae7f9d8e7a66753168dacc469ae.png"/><Relationship Id="rId19" Type="http://schemas.openxmlformats.org/officeDocument/2006/relationships/image" Target="media/1a0c22e23c350c415d2651e058b6a8cb6c719090.png"/><Relationship Id="rId20" Type="http://schemas.openxmlformats.org/officeDocument/2006/relationships/image" Target="media/ac539f4a9f2de29b16d0e2e8dd9dc41aea7fcd8e.png"/><Relationship Id="rId21" Type="http://schemas.openxmlformats.org/officeDocument/2006/relationships/image" Target="media/13faed11fbef3d9da6ec3ea90f71bb6efee29c4f.png"/><Relationship Id="rId22" Type="http://schemas.openxmlformats.org/officeDocument/2006/relationships/image" Target="media/930ed51784f70d9d66d726fef3596c8e5293f423.png"/><Relationship Id="rId23" Type="http://schemas.openxmlformats.org/officeDocument/2006/relationships/image" Target="media/a8b73d4d2dc1b62c0ec8a23d523d51a42d500995.png"/><Relationship Id="rId24" Type="http://schemas.openxmlformats.org/officeDocument/2006/relationships/image" Target="media/ac14d20a0de5e3c1804bc6475f4a2d0760c84c7a.png"/><Relationship Id="rId25" Type="http://schemas.openxmlformats.org/officeDocument/2006/relationships/image" Target="media/10b3e515a6e79c27c0a95eddd9b6b6d36ad14e34.png"/><Relationship Id="rId26" Type="http://schemas.openxmlformats.org/officeDocument/2006/relationships/image" Target="media/d7675d583559b5e346dc9acf2ff3bd80e7592001.png"/><Relationship Id="rId27" Type="http://schemas.openxmlformats.org/officeDocument/2006/relationships/image" Target="media/30e78bb4f901f2f0b6b67e0f9612fbb7e6e9d821.png"/><Relationship Id="rId28" Type="http://schemas.openxmlformats.org/officeDocument/2006/relationships/image" Target="media/52dadfaa59189df7106c2f4bbdd91efa938cc8b6.png"/><Relationship Id="rId29" Type="http://schemas.openxmlformats.org/officeDocument/2006/relationships/image" Target="media/db4d41428f7943ec89490150f8026c9361f76728.png"/><Relationship Id="rId30" Type="http://schemas.openxmlformats.org/officeDocument/2006/relationships/image" Target="media/31017e1b5d6c1a91512d1f302f5824bdc845bc85.png"/><Relationship Id="rId31" Type="http://schemas.openxmlformats.org/officeDocument/2006/relationships/image" Target="media/812de3dd3ecf5e4518d84ef1e41666c740f2f238.png"/><Relationship Id="rId32" Type="http://schemas.openxmlformats.org/officeDocument/2006/relationships/image" Target="media/613d4f5bfbc32f5b135e8538a28008faf5e01fc6.png"/><Relationship Id="rId33" Type="http://schemas.openxmlformats.org/officeDocument/2006/relationships/image" Target="media/fcfefd9811941a03f73998f4b787f4b52241b3d1.png"/><Relationship Id="rId34" Type="http://schemas.openxmlformats.org/officeDocument/2006/relationships/image" Target="media/b4a6d7a2f98cb2c242331f4df62428e84956ace1.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AgriSight Final Project Report</dc:title>
  <dc:creator>Vignesh Natarajan</dc:creator>
  <dc:description>MBA Business Analytics project report</dc:description>
  <cp:lastModifiedBy>Un-named</cp:lastModifiedBy>
  <cp:revision>1</cp:revision>
  <dcterms:created xsi:type="dcterms:W3CDTF">2026-10-18T11:28:02.824Z</dcterms:created>
  <dcterms:modified xsi:type="dcterms:W3CDTF">2026-10-18T11:28:02.824Z</dcterms:modified>
</cp:coreProperties>
</file>

<file path=docProps/custom.xml><?xml version="1.0" encoding="utf-8"?>
<Properties xmlns="http://schemas.openxmlformats.org/officeDocument/2006/custom-properties" xmlns:vt="http://schemas.openxmlformats.org/officeDocument/2006/docPropsVTypes"/>
</file>