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08"/>
        <w:gridCol w:w="4752"/>
      </w:tblGrid>
      <w:tr>
        <w:tc>
          <w:tcPr>
            <w:tcW w:type="dxa" w:w="4608"/>
            <w:vAlign w:val="center"/>
            <w:tcMar>
              <w:top w:w="90" w:type="dxa"/>
              <w:start w:w="100" w:type="dxa"/>
              <w:bottom w:w="90" w:type="dxa"/>
              <w:end w:w="100" w:type="dxa"/>
            </w:tcMar>
          </w:tcPr>
          <w:p>
            <w:pPr>
              <w:spacing w:after="0" w:before="0"/>
            </w:pPr>
            <w:r/>
            <w:r>
              <w:rPr>
                <w:rFonts w:ascii="Times New Roman" w:hAnsi="Times New Roman" w:eastAsia="Times New Roman"/>
                <w:b w:val="0"/>
                <w:sz w:val="24"/>
              </w:rPr>
            </w:r>
          </w:p>
        </w:tc>
        <w:tc>
          <w:tcPr>
            <w:tcW w:type="dxa" w:w="4752"/>
            <w:vAlign w:val="center"/>
            <w:tcMar>
              <w:top w:w="90" w:type="dxa"/>
              <w:start w:w="100" w:type="dxa"/>
              <w:bottom w:w="90" w:type="dxa"/>
              <w:end w:w="100" w:type="dxa"/>
            </w:tcMar>
          </w:tcPr>
          <w:p>
            <w:pPr>
              <w:spacing w:after="0" w:before="0"/>
              <w:jc w:val="right"/>
            </w:pPr>
            <w:r/>
            <w:r>
              <w:rPr>
                <w:rFonts w:ascii="Times New Roman" w:hAnsi="Times New Roman" w:eastAsia="Times New Roman"/>
                <w:b w:val="0"/>
                <w:sz w:val="24"/>
              </w:rPr>
              <w:t>CENTRE FOR DISTANCE AND ONLINE EDUCATION</w:t>
              <w:br/>
              <w:t>ANNA UNIVERSITY, CHENNAI - 600025</w:t>
            </w:r>
          </w:p>
        </w:tc>
      </w:tr>
    </w:tbl>
    <w:p>
      <w:pPr>
        <w:spacing w:after="120" w:before="0" w:line="259" w:lineRule="auto"/>
      </w:pPr>
      <w:r>
        <w:rPr>
          <w:rFonts w:ascii="Times New Roman" w:hAnsi="Times New Roman" w:eastAsia="Times New Roman"/>
          <w:b w:val="0"/>
          <w:sz w:val="24"/>
        </w:rPr>
      </w:r>
    </w:p>
    <w:p>
      <w:pPr>
        <w:spacing w:after="120" w:before="0" w:line="259" w:lineRule="auto"/>
      </w:pPr>
      <w:r>
        <w:rPr>
          <w:rFonts w:ascii="Times New Roman" w:hAnsi="Times New Roman" w:eastAsia="Times New Roman"/>
          <w:b/>
          <w:sz w:val="24"/>
        </w:rPr>
        <w:t>A Study on Short-Term Vegetable Price Forecasting at Koyambedu Wholesale Market: A Machine Learning and Multi-Agent AI Approach for Supply Chain Procurement Decision-Making</w:t>
      </w:r>
    </w:p>
    <w:p>
      <w:pPr>
        <w:spacing w:after="120" w:before="0" w:line="259" w:lineRule="auto"/>
      </w:pPr>
      <w:r>
        <w:rPr>
          <w:rFonts w:ascii="Times New Roman" w:hAnsi="Times New Roman" w:eastAsia="Times New Roman"/>
          <w:b/>
          <w:sz w:val="24"/>
        </w:rPr>
        <w:t>SECOND REVIEW REPORT</w:t>
      </w:r>
    </w:p>
    <w:p>
      <w:pPr>
        <w:spacing w:after="200" w:before="0" w:line="259" w:lineRule="auto"/>
      </w:pPr>
      <w:r>
        <w:rPr>
          <w:rFonts w:ascii="Times New Roman" w:hAnsi="Times New Roman" w:eastAsia="Times New Roman"/>
          <w:b w:val="0"/>
          <w:sz w:val="24"/>
        </w:rPr>
        <w:t>Student's Name: Vignesh Natarajan      Roll No.: 24060BA0046      &amp; Reg. No.: 69124100162</w:t>
      </w:r>
    </w:p>
    <w:p>
      <w:pPr>
        <w:keepNext/>
        <w:spacing w:after="100" w:before="0" w:line="259" w:lineRule="auto"/>
      </w:pPr>
      <w:r>
        <w:rPr>
          <w:rFonts w:ascii="Times New Roman" w:hAnsi="Times New Roman" w:eastAsia="Times New Roman"/>
          <w:b/>
          <w:sz w:val="24"/>
        </w:rPr>
        <w:t>1. NEED FOR THE STUDY (Why this study has been undertaken)</w:t>
      </w:r>
    </w:p>
    <w:p>
      <w:pPr>
        <w:spacing w:after="120" w:before="0" w:line="259" w:lineRule="auto"/>
      </w:pPr>
      <w:r>
        <w:rPr>
          <w:rFonts w:ascii="Times New Roman" w:hAnsi="Times New Roman" w:eastAsia="Times New Roman"/>
          <w:b w:val="0"/>
          <w:sz w:val="24"/>
        </w:rPr>
        <w:t>Vegetable prices respond to seasonal supply, market arrivals and weather conditions. Procurement managers who buy for institutional and wholesale use need short-term price information to plan purchase timing and quantities. This study examines daily price forecasting for eight vegetables associated with Tamil Nadu markets and evaluates a rule-based decision-support pipeline. The current project data cover 24 January 2024 to 20 April 2026; they do not support a quantified claim that Koyambedu prices fluctuate by 40–80% within a season or a retrospective analysis of the July 2023 tomato crisis.</w:t>
      </w:r>
    </w:p>
    <w:p>
      <w:pPr>
        <w:spacing w:after="120" w:before="0" w:line="259" w:lineRule="auto"/>
      </w:pPr>
      <w:r>
        <w:rPr>
          <w:rFonts w:ascii="Times New Roman" w:hAnsi="Times New Roman" w:eastAsia="Times New Roman"/>
          <w:b w:val="0"/>
          <w:sz w:val="24"/>
        </w:rPr>
        <w:t>The project compares SARIMA, Prophet, Random Forest and XGBoost and examines whether model outputs can inform procurement decisions. Tamilselvi and Mohan Naidu (2020) published a SARIMA study of vegetable arrivals and wholesale prices at Koyambedu. Broader agricultural-price research provides context, but results from other commodities and markets do not establish performance at Koyambedu. The current local pipeline also aggregates reporting Tamil Nadu markets to a state-level daily median; it does not isolate Koyambedu prices. These scope limits are stated so the study’s findings are not attributed to a market or period the current data do not represent.</w:t>
      </w:r>
    </w:p>
    <w:p>
      <w:pPr>
        <w:spacing w:after="160" w:before="0" w:line="259" w:lineRule="auto"/>
      </w:pPr>
      <w:r>
        <w:rPr>
          <w:rFonts w:ascii="Times New Roman" w:hAnsi="Times New Roman" w:eastAsia="Times New Roman"/>
          <w:b w:val="0"/>
          <w:sz w:val="24"/>
        </w:rPr>
        <w:t>____________________________________________________________________</w:t>
      </w:r>
    </w:p>
    <w:p>
      <w:pPr>
        <w:keepNext/>
        <w:spacing w:after="100" w:before="0" w:line="259" w:lineRule="auto"/>
      </w:pPr>
      <w:r>
        <w:rPr>
          <w:rFonts w:ascii="Times New Roman" w:hAnsi="Times New Roman" w:eastAsia="Times New Roman"/>
          <w:b/>
          <w:sz w:val="24"/>
        </w:rPr>
        <w:t>2 (a) PRIMARY OBJECTIVE (Any changes in the objectives after the first review can be documented and highlighted) the primary objective defines the aim of the study in detail.</w:t>
      </w:r>
    </w:p>
    <w:p>
      <w:pPr>
        <w:spacing w:after="120" w:before="0" w:line="259" w:lineRule="auto"/>
      </w:pPr>
      <w:r>
        <w:rPr>
          <w:rFonts w:ascii="Times New Roman" w:hAnsi="Times New Roman" w:eastAsia="Times New Roman"/>
          <w:b w:val="0"/>
          <w:sz w:val="24"/>
        </w:rPr>
        <w:t>The project objective is to forecast short-term vegetable price movements using SARIMA, Prophet, Random Forest and XGBoost, and to evaluate whether the four-agent AgriSight pipeline improves predictive accuracy and procurement decision support. The model comparison has been implemented. A controlled evaluation of AgriSight’s incremental value has not been completed.</w:t>
      </w:r>
    </w:p>
    <w:p>
      <w:pPr>
        <w:spacing w:after="160" w:before="0" w:line="259" w:lineRule="auto"/>
      </w:pPr>
      <w:r>
        <w:rPr>
          <w:rFonts w:ascii="Times New Roman" w:hAnsi="Times New Roman" w:eastAsia="Times New Roman"/>
          <w:b w:val="0"/>
          <w:sz w:val="24"/>
        </w:rPr>
        <w:t>____________________________________________________________________</w:t>
      </w:r>
    </w:p>
    <w:p>
      <w:pPr>
        <w:keepNext/>
        <w:pageBreakBefore/>
        <w:spacing w:after="100" w:before="0" w:line="259" w:lineRule="auto"/>
      </w:pPr>
      <w:r>
        <w:rPr>
          <w:rFonts w:ascii="Times New Roman" w:hAnsi="Times New Roman" w:eastAsia="Times New Roman"/>
          <w:b/>
          <w:sz w:val="24"/>
        </w:rPr>
        <w:t>2 (b) SECONDARY OBJECTIVES (A breakdown of the primary objectives. The achieving of the secondary objectives would result in the achieving of the primary).</w:t>
      </w:r>
    </w:p>
    <w:p>
      <w:pPr>
        <w:keepNext/>
        <w:spacing w:after="120" w:before="0" w:line="259" w:lineRule="auto"/>
      </w:pPr>
      <w:r>
        <w:rPr>
          <w:rFonts w:ascii="Times New Roman" w:hAnsi="Times New Roman" w:eastAsia="Times New Roman"/>
          <w:b w:val="0"/>
          <w:sz w:val="24"/>
        </w:rPr>
        <w:t>The four secondary objectives and their current evidence status are as follows:</w:t>
      </w:r>
    </w:p>
    <w:p>
      <w:pPr>
        <w:spacing w:after="120" w:before="0" w:line="259" w:lineRule="auto"/>
      </w:pPr>
      <w:r>
        <w:rPr>
          <w:rFonts w:ascii="Times New Roman" w:hAnsi="Times New Roman" w:eastAsia="Times New Roman"/>
          <w:b/>
          <w:sz w:val="24"/>
        </w:rPr>
        <w:t xml:space="preserve">S01: </w:t>
      </w:r>
      <w:r>
        <w:rPr>
          <w:rFonts w:ascii="Times New Roman" w:hAnsi="Times New Roman" w:eastAsia="Times New Roman"/>
          <w:b w:val="0"/>
          <w:sz w:val="24"/>
        </w:rPr>
        <w:t xml:space="preserve">Compare SARIMA, Prophet, Random Forest and XGBoost on 7-day, 14-day and 30-day forecast horizons using RMSE as the primary metric and MAPE as the secondary metric. </w:t>
      </w:r>
      <w:r>
        <w:rPr>
          <w:rFonts w:ascii="Times New Roman" w:hAnsi="Times New Roman" w:eastAsia="Times New Roman"/>
          <w:b/>
          <w:sz w:val="24"/>
        </w:rPr>
        <w:t xml:space="preserve">Status: </w:t>
      </w:r>
      <w:r>
        <w:rPr>
          <w:rFonts w:ascii="Times New Roman" w:hAnsi="Times New Roman" w:eastAsia="Times New Roman"/>
          <w:b w:val="0"/>
          <w:sz w:val="24"/>
        </w:rPr>
        <w:t>The scripts report RMSE, MAE and MAPE on the final 90-day evaluation window. They do not produce separate 7-, 14- and 30-day model-comparison scores.</w:t>
      </w:r>
    </w:p>
    <w:p>
      <w:pPr>
        <w:spacing w:after="120" w:before="0" w:line="259" w:lineRule="auto"/>
      </w:pPr>
      <w:r>
        <w:rPr>
          <w:rFonts w:ascii="Times New Roman" w:hAnsi="Times New Roman" w:eastAsia="Times New Roman"/>
          <w:b/>
          <w:sz w:val="24"/>
        </w:rPr>
        <w:t xml:space="preserve">S02: </w:t>
      </w:r>
      <w:r>
        <w:rPr>
          <w:rFonts w:ascii="Times New Roman" w:hAnsi="Times New Roman" w:eastAsia="Times New Roman"/>
          <w:b w:val="0"/>
          <w:sz w:val="24"/>
        </w:rPr>
        <w:t xml:space="preserve">Test whether the Northeast Monsoon deviation index is a statistically significant predictor of vegetable price movements. </w:t>
      </w:r>
      <w:r>
        <w:rPr>
          <w:rFonts w:ascii="Times New Roman" w:hAnsi="Times New Roman" w:eastAsia="Times New Roman"/>
          <w:b/>
          <w:sz w:val="24"/>
        </w:rPr>
        <w:t xml:space="preserve">Status: </w:t>
      </w:r>
      <w:r>
        <w:rPr>
          <w:rFonts w:ascii="Times New Roman" w:hAnsi="Times New Roman" w:eastAsia="Times New Roman"/>
          <w:b w:val="0"/>
          <w:sz w:val="24"/>
        </w:rPr>
        <w:t>The current feature sheet contains SW/NE monsoon flags and rainfall fields, but it does not calculate a Northeast Monsoon deviation index or run a statistical significance test. SHAP feature ranking is not a significance test.</w:t>
      </w:r>
    </w:p>
    <w:p>
      <w:pPr>
        <w:spacing w:after="120" w:before="0" w:line="259" w:lineRule="auto"/>
      </w:pPr>
      <w:r>
        <w:rPr>
          <w:rFonts w:ascii="Times New Roman" w:hAnsi="Times New Roman" w:eastAsia="Times New Roman"/>
          <w:b/>
          <w:sz w:val="24"/>
        </w:rPr>
        <w:t xml:space="preserve">S03: </w:t>
      </w:r>
      <w:r>
        <w:rPr>
          <w:rFonts w:ascii="Times New Roman" w:hAnsi="Times New Roman" w:eastAsia="Times New Roman"/>
          <w:b w:val="0"/>
          <w:sz w:val="24"/>
        </w:rPr>
        <w:t xml:space="preserve">Build AgriSight, a four-agent pipeline integrating price forecasting, market intelligence and procurement advisory. </w:t>
      </w:r>
      <w:r>
        <w:rPr>
          <w:rFonts w:ascii="Times New Roman" w:hAnsi="Times New Roman" w:eastAsia="Times New Roman"/>
          <w:b/>
          <w:sz w:val="24"/>
        </w:rPr>
        <w:t xml:space="preserve">Status: </w:t>
      </w:r>
      <w:r>
        <w:rPr>
          <w:rFonts w:ascii="Times New Roman" w:hAnsi="Times New Roman" w:eastAsia="Times New Roman"/>
          <w:b w:val="0"/>
          <w:sz w:val="24"/>
        </w:rPr>
        <w:t>The implemented agents are Data Analyst, Price Forecaster, Market Intelligence and Procurement Advisor. They are deterministic, rule-based agents; the current code does not collect news or call an LLM.</w:t>
      </w:r>
    </w:p>
    <w:p>
      <w:pPr>
        <w:spacing w:after="120" w:before="0" w:line="259" w:lineRule="auto"/>
      </w:pPr>
      <w:r>
        <w:rPr>
          <w:rFonts w:ascii="Times New Roman" w:hAnsi="Times New Roman" w:eastAsia="Times New Roman"/>
          <w:b/>
          <w:sz w:val="24"/>
        </w:rPr>
        <w:t xml:space="preserve">S04: </w:t>
      </w:r>
      <w:r>
        <w:rPr>
          <w:rFonts w:ascii="Times New Roman" w:hAnsi="Times New Roman" w:eastAsia="Times New Roman"/>
          <w:b w:val="0"/>
          <w:sz w:val="24"/>
        </w:rPr>
        <w:t xml:space="preserve">Estimate potential procurement cost savings using the July 2023 tomato price crisis as a retrospective case study. </w:t>
      </w:r>
      <w:r>
        <w:rPr>
          <w:rFonts w:ascii="Times New Roman" w:hAnsi="Times New Roman" w:eastAsia="Times New Roman"/>
          <w:b/>
          <w:sz w:val="24"/>
        </w:rPr>
        <w:t xml:space="preserve">Status: </w:t>
      </w:r>
      <w:r>
        <w:rPr>
          <w:rFonts w:ascii="Times New Roman" w:hAnsi="Times New Roman" w:eastAsia="Times New Roman"/>
          <w:b w:val="0"/>
          <w:sz w:val="24"/>
        </w:rPr>
        <w:t>The current processed price input begins in 2024, so it cannot support this case study.</w:t>
      </w:r>
    </w:p>
    <w:p>
      <w:pPr>
        <w:spacing w:after="160" w:before="0" w:line="259" w:lineRule="auto"/>
      </w:pPr>
      <w:r>
        <w:rPr>
          <w:rFonts w:ascii="Times New Roman" w:hAnsi="Times New Roman" w:eastAsia="Times New Roman"/>
          <w:b w:val="0"/>
          <w:sz w:val="24"/>
        </w:rPr>
        <w:t>____________________________________________________________________</w:t>
      </w:r>
    </w:p>
    <w:p>
      <w:pPr>
        <w:keepNext/>
        <w:spacing w:after="100" w:before="0" w:line="259" w:lineRule="auto"/>
      </w:pPr>
      <w:r>
        <w:rPr>
          <w:rFonts w:ascii="Times New Roman" w:hAnsi="Times New Roman" w:eastAsia="Times New Roman"/>
          <w:b/>
          <w:sz w:val="24"/>
        </w:rPr>
        <w:t>3 METHODOLOGIES (The methodology must be elaborate at this stage, on the data requirement, research instrument used for data collection, the method of preparing the research instrument, the sampling framework, the sample size, the hypotheses tested and the tools used for analysis.)</w:t>
      </w:r>
    </w:p>
    <w:p>
      <w:pPr>
        <w:spacing w:after="120" w:before="0" w:line="259" w:lineRule="auto"/>
      </w:pPr>
      <w:r>
        <w:rPr>
          <w:rFonts w:ascii="Times New Roman" w:hAnsi="Times New Roman" w:eastAsia="Times New Roman"/>
          <w:b/>
          <w:sz w:val="24"/>
        </w:rPr>
        <w:t xml:space="preserve">Research Design: </w:t>
      </w:r>
      <w:r>
        <w:rPr>
          <w:rFonts w:ascii="Times New Roman" w:hAnsi="Times New Roman" w:eastAsia="Times New Roman"/>
          <w:b w:val="0"/>
          <w:sz w:val="24"/>
        </w:rPr>
        <w:t>Explanatory, quantitative-predictive research using secondary data. No respondent survey or questionnaire was administered.</w:t>
      </w:r>
    </w:p>
    <w:p>
      <w:pPr>
        <w:spacing w:after="120" w:before="0" w:line="259" w:lineRule="auto"/>
      </w:pPr>
      <w:r>
        <w:rPr>
          <w:rFonts w:ascii="Times New Roman" w:hAnsi="Times New Roman" w:eastAsia="Times New Roman"/>
          <w:b/>
          <w:sz w:val="24"/>
        </w:rPr>
        <w:t xml:space="preserve">Data Requirement: </w:t>
      </w:r>
      <w:r>
        <w:rPr>
          <w:rFonts w:ascii="Times New Roman" w:hAnsi="Times New Roman" w:eastAsia="Times New Roman"/>
          <w:b w:val="0"/>
          <w:sz w:val="24"/>
        </w:rPr>
        <w:t>Daily modal, minimum and maximum price records for Tomato, Onion, Potato, Cabbage, Carrot, Beans, Brinjal and Drumstick; and daily Chennai precipitation and temperature. The current processed market file contains 414,388 records from 24 January 2024 through 20 April 2026. Its coverage is Tamil Nadu-wide, not Koyambedu-only. The Chennai weather parquet contains 1,004 daily rows from 1 January 2024 through 30 September 2026.</w:t>
      </w:r>
    </w:p>
    <w:p>
      <w:pPr>
        <w:spacing w:after="120" w:before="0" w:line="259" w:lineRule="auto"/>
      </w:pPr>
      <w:r>
        <w:rPr>
          <w:rFonts w:ascii="Times New Roman" w:hAnsi="Times New Roman" w:eastAsia="Times New Roman"/>
          <w:b/>
          <w:sz w:val="24"/>
        </w:rPr>
        <w:t xml:space="preserve">Research Instrument and Preparation: </w:t>
      </w:r>
      <w:r>
        <w:rPr>
          <w:rFonts w:ascii="Times New Roman" w:hAnsi="Times New Roman" w:eastAsia="Times New Roman"/>
          <w:b w:val="0"/>
          <w:sz w:val="24"/>
        </w:rPr>
        <w:t>The current price input is obtained through 01_download_kaggle_prices.py. 02_process_agmarknet.py normalizes available offline CSV data and can optionally query data.gov.in when its resource identifier and API key are configured. The separate 01_download_agmarknet_legacy.py is not the source of the current processed file. 04_feature_engineering.py removes modal-price outliers above ₹100,000 per quintal, aggregates market records to a daily Tamil Nadu median per commodity, creates lag, rolling, EMA, calendar, monsoon, festival and cross-commodity features, and joins weather by date.</w:t>
      </w:r>
    </w:p>
    <w:p>
      <w:pPr>
        <w:spacing w:after="120" w:before="0" w:line="259" w:lineRule="auto"/>
      </w:pPr>
      <w:r>
        <w:rPr>
          <w:rFonts w:ascii="Times New Roman" w:hAnsi="Times New Roman" w:eastAsia="Times New Roman"/>
          <w:b/>
          <w:sz w:val="24"/>
        </w:rPr>
        <w:t xml:space="preserve">Sampling Framework and Sample Size: </w:t>
      </w:r>
      <w:r>
        <w:rPr>
          <w:rFonts w:ascii="Times New Roman" w:hAnsi="Times New Roman" w:eastAsia="Times New Roman"/>
          <w:b w:val="0"/>
          <w:sz w:val="24"/>
        </w:rPr>
        <w:t>The analysis uses all records in the currently available Kaggle-derived input after the project’s filters; it is not a census of all Agmarknet history. The processed file has 414,388 rows for eight commodities. Feature engineering logged and removed three records above the outlier threshold. The resulting tn_features.parquet worksheet contains 4,041 rows and 62 columns, from 26 February 2024 through 20 April 2026. The code applies a year ≥ 2024 filter and requires 30 days of lag history.</w:t>
      </w:r>
    </w:p>
    <w:p>
      <w:pPr>
        <w:spacing w:after="120" w:before="0" w:line="259" w:lineRule="auto"/>
      </w:pPr>
      <w:r>
        <w:rPr>
          <w:rFonts w:ascii="Times New Roman" w:hAnsi="Times New Roman" w:eastAsia="Times New Roman"/>
          <w:b/>
          <w:sz w:val="24"/>
        </w:rPr>
        <w:t xml:space="preserve">Hypotheses: </w:t>
      </w:r>
      <w:r>
        <w:rPr>
          <w:rFonts w:ascii="Times New Roman" w:hAnsi="Times New Roman" w:eastAsia="Times New Roman"/>
          <w:b w:val="0"/>
          <w:sz w:val="24"/>
        </w:rPr>
        <w:t>H1 proposes that Random Forest or XGBoost will achieve lower walk-forward MAPE than SARIMA. In the current reports, the mean of the selected best ML models is 6.28% and mean SARIMA walk-forward MAPE is 10.77%; the best ML model has lower MAPE for six of eight commodities. The result is descriptive, not a controlled significance test: the SARIMA forecasts are refreshed every seven days, whereas the ML walk-forward models are retrained every 30 days. H1 is therefore not established as a statistically significant result.</w:t>
      </w:r>
    </w:p>
    <w:p>
      <w:pPr>
        <w:spacing w:after="120" w:before="0" w:line="259" w:lineRule="auto"/>
      </w:pPr>
      <w:r>
        <w:rPr>
          <w:rFonts w:ascii="Times New Roman" w:hAnsi="Times New Roman" w:eastAsia="Times New Roman"/>
          <w:b w:val="0"/>
          <w:sz w:val="24"/>
        </w:rPr>
        <w:t xml:space="preserve"> </w:t>
      </w:r>
      <w:r>
        <w:rPr>
          <w:rFonts w:ascii="Times New Roman" w:hAnsi="Times New Roman" w:eastAsia="Times New Roman"/>
          <w:b w:val="0"/>
          <w:sz w:val="24"/>
        </w:rPr>
        <w:t>H2 proposes that the Northeast Monsoon deviation index and related weather features significantly contribute to price forecasts. No deviation index or significance test is implemented. position_52w is the top SHAP-ranked feature for all eight commodities, so the current evidence does not confirm H2.</w:t>
      </w:r>
    </w:p>
    <w:p>
      <w:pPr>
        <w:spacing w:after="120" w:before="0" w:line="259" w:lineRule="auto"/>
      </w:pPr>
      <w:r>
        <w:rPr>
          <w:rFonts w:ascii="Times New Roman" w:hAnsi="Times New Roman" w:eastAsia="Times New Roman"/>
          <w:b/>
          <w:sz w:val="24"/>
        </w:rPr>
        <w:t xml:space="preserve">Train/Test Split and Validation: </w:t>
      </w:r>
      <w:r>
        <w:rPr>
          <w:rFonts w:ascii="Times New Roman" w:hAnsi="Times New Roman" w:eastAsia="Times New Roman"/>
          <w:b w:val="0"/>
          <w:sz w:val="24"/>
        </w:rPr>
        <w:t>Each model script holds out the final 90 days of its eligible series. SARIMA also performs walk-forward forecasts in seven-day blocks; Prophet reports a static 90-day holdout; Random Forest and XGBoost use expanding-window walk-forward forecasts, retraining in 30-day blocks. The available data end on 20 April 2026; the training/test design is not a fixed 2024–2025 train and full-year 2026 test split.</w:t>
      </w:r>
    </w:p>
    <w:p>
      <w:pPr>
        <w:spacing w:after="120" w:before="0" w:line="259" w:lineRule="auto"/>
      </w:pPr>
      <w:r>
        <w:rPr>
          <w:rFonts w:ascii="Times New Roman" w:hAnsi="Times New Roman" w:eastAsia="Times New Roman"/>
          <w:b/>
          <w:sz w:val="24"/>
        </w:rPr>
        <w:t xml:space="preserve">Tools for Analysis: </w:t>
      </w:r>
      <w:r>
        <w:rPr>
          <w:rFonts w:ascii="Times New Roman" w:hAnsi="Times New Roman" w:eastAsia="Times New Roman"/>
          <w:b w:val="0"/>
          <w:sz w:val="24"/>
        </w:rPr>
        <w:t>Python and the project’s pandas/NumPy data pipeline; statsmodels SARIMAX for SARIMA; Prophet; scikit-learn RandomForestRegressor; XGBoost; and SHAP TreeExplainer. The scripts calculate RMSE, MAE and MAPE. No statistical test of cross-model metric differences or monsoon-feature significance is present in the current analysis.</w:t>
      </w:r>
    </w:p>
    <w:p>
      <w:pPr>
        <w:spacing w:after="160" w:before="0" w:line="259" w:lineRule="auto"/>
      </w:pPr>
      <w:r>
        <w:rPr>
          <w:rFonts w:ascii="Times New Roman" w:hAnsi="Times New Roman" w:eastAsia="Times New Roman"/>
          <w:b w:val="0"/>
          <w:sz w:val="24"/>
        </w:rPr>
        <w:t>____________________________________________________________________</w:t>
      </w:r>
    </w:p>
    <w:p>
      <w:pPr>
        <w:keepNext/>
        <w:spacing w:after="100" w:before="0" w:line="259" w:lineRule="auto"/>
      </w:pPr>
      <w:r>
        <w:rPr>
          <w:rFonts w:ascii="Times New Roman" w:hAnsi="Times New Roman" w:eastAsia="Times New Roman"/>
          <w:b/>
          <w:sz w:val="24"/>
        </w:rPr>
        <w:t>4 DATA COLLECTION (A comprehensive account of the data collected (both primary and secondary). The filled-in questionnaires (hard/soft copies) must be available at the time of the second review and at the time of Viva-voce. The data file must be available at the time of second review and the viva-voce (as a soft copy))</w:t>
      </w:r>
    </w:p>
    <w:p>
      <w:pPr>
        <w:spacing w:after="120" w:before="0" w:line="259" w:lineRule="auto"/>
      </w:pPr>
      <w:r>
        <w:rPr>
          <w:rFonts w:ascii="Times New Roman" w:hAnsi="Times New Roman" w:eastAsia="Times New Roman"/>
          <w:b w:val="0"/>
          <w:sz w:val="24"/>
        </w:rPr>
        <w:t>This is a secondary-data study; no respondent questionnaires were administered. The current local inputs are: (i) a Kaggle Agmarknet-derived price dataset filtered by the project scripts to Tamil Nadu and the eight target vegetables, processed from 24 January 2024 to 20 April 2026; (ii) Open-Meteo daily precipitation and temperature for Chennai at 13.08°N, 80.27°E, stored in data/external/weather_chennai.parquet for 1 January 2024 to 30 September 2026; and (iii) coded festival windows and South-West/North-East monsoon flags. The pipeline uses the currently available Kaggle-derived file; it does not use the described 2010–2025 Koyambedu scraper output.</w:t>
      </w:r>
    </w:p>
    <w:p>
      <w:pPr>
        <w:spacing w:after="120" w:before="0" w:line="259" w:lineRule="auto"/>
      </w:pPr>
      <w:r>
        <w:rPr>
          <w:rFonts w:ascii="Times New Roman" w:hAnsi="Times New Roman" w:eastAsia="Times New Roman"/>
          <w:b w:val="0"/>
          <w:sz w:val="24"/>
        </w:rPr>
        <w:t>The processed market dataset is available locally as data/processed/tn_vegetables_daily.parquet and .csv. The compiled feature worksheet is data/processed/tn_features.parquet and .csv, with 4,041 rows and 62 columns. Feature engineering recorded three modal-price outliers above ₹100,000 per quintal in outputs/reports/feature_outliers_dropped.csv before removing them. These are available as local soft-copy files in the project workspace.</w:t>
      </w:r>
    </w:p>
    <w:p>
      <w:pPr>
        <w:spacing w:after="120" w:before="0" w:line="259" w:lineRule="auto"/>
      </w:pPr>
      <w:r>
        <w:rPr>
          <w:rFonts w:ascii="Times New Roman" w:hAnsi="Times New Roman" w:eastAsia="Times New Roman"/>
          <w:b/>
          <w:sz w:val="24"/>
        </w:rPr>
        <w:t xml:space="preserve">Coverage caveat: </w:t>
      </w:r>
      <w:r>
        <w:rPr>
          <w:rFonts w:ascii="Times New Roman" w:hAnsi="Times New Roman" w:eastAsia="Times New Roman"/>
          <w:b w:val="0"/>
          <w:sz w:val="24"/>
        </w:rPr>
        <w:t>The local evidence establishes coverage from January 2024 in the processed input and February 2024 in the feature worksheet. It does not establish a documented 2013–2023 reporting gap for the full Tamil Nadu Agmarknet population. Nor does the current statewide aggregation establish Koyambedu-specific results. The study scope and conclusions should remain limited to the current input and aggregation.</w:t>
      </w:r>
    </w:p>
    <w:p>
      <w:pPr>
        <w:spacing w:after="160" w:before="0" w:line="259" w:lineRule="auto"/>
      </w:pPr>
      <w:r>
        <w:rPr>
          <w:rFonts w:ascii="Times New Roman" w:hAnsi="Times New Roman" w:eastAsia="Times New Roman"/>
          <w:b w:val="0"/>
          <w:sz w:val="24"/>
        </w:rPr>
        <w:t>____________________________________________________________________</w:t>
      </w:r>
    </w:p>
    <w:p>
      <w:pPr>
        <w:keepNext/>
        <w:spacing w:after="100" w:before="0" w:line="259" w:lineRule="auto"/>
      </w:pPr>
      <w:r>
        <w:rPr>
          <w:rFonts w:ascii="Times New Roman" w:hAnsi="Times New Roman" w:eastAsia="Times New Roman"/>
          <w:b/>
          <w:sz w:val="24"/>
        </w:rPr>
        <w:t>5 DATA ANALYSIS (Calculations showing the results obtained out of the study using statistical tests and inferences derived must be elaborated.)</w:t>
      </w:r>
    </w:p>
    <w:p>
      <w:pPr>
        <w:spacing w:after="120" w:before="0" w:line="259" w:lineRule="auto"/>
      </w:pPr>
      <w:r>
        <w:rPr>
          <w:rFonts w:ascii="Times New Roman" w:hAnsi="Times New Roman" w:eastAsia="Times New Roman"/>
          <w:b w:val="0"/>
          <w:sz w:val="24"/>
        </w:rPr>
        <w:t>Phase 4 model-training reports are present locally and were last generated on 7 October 2026. SARIMA selects a separate order by commodity using an AIC search and a weekly seasonal period of 7; it does not fix the same seasonal order for every commodity. Its mean static-holdout MAPE is 33.60%, and its mean seven-day-block walk-forward MAPE is 10.77%. Prophet uses a static 90-day holdout and has a mean MAPE of 18.77%. For Random Forest and XGBoost, the selected per-commodity model has a mean walk-forward MAPE of 6.28%. These metrics are from current local CSV reports.</w:t>
      </w:r>
    </w:p>
    <w:p>
      <w:pPr>
        <w:keepNext/>
        <w:spacing w:after="80" w:before="0" w:line="259" w:lineRule="auto"/>
      </w:pPr>
      <w:r>
        <w:rPr>
          <w:rFonts w:ascii="Times New Roman" w:hAnsi="Times New Roman" w:eastAsia="Times New Roman"/>
          <w:b/>
          <w:sz w:val="24"/>
        </w:rPr>
        <w:t>Table 1: Reported MAPE (%) by commodity and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1800"/>
        <w:gridCol w:w="1944"/>
        <w:gridCol w:w="1944"/>
        <w:gridCol w:w="2232"/>
      </w:tblGrid>
      <w:tr>
        <w:trPr>
          <w:cantSplit/>
          <w:tblHeader w:val="true"/>
        </w:trPr>
        <w:tc>
          <w:tcPr>
            <w:tcW w:type="dxa" w:w="1440"/>
            <w:vAlign w:val="center"/>
            <w:tcMar>
              <w:top w:w="90" w:type="dxa"/>
              <w:start w:w="100" w:type="dxa"/>
              <w:bottom w:w="90" w:type="dxa"/>
              <w:end w:w="100" w:type="dxa"/>
            </w:tcMar>
          </w:tcPr>
          <w:p>
            <w:pPr>
              <w:spacing w:after="0" w:before="0"/>
              <w:jc w:val="left"/>
            </w:pPr>
            <w:r/>
            <w:r>
              <w:rPr>
                <w:rFonts w:ascii="Times New Roman" w:hAnsi="Times New Roman" w:eastAsia="Times New Roman"/>
                <w:b/>
                <w:sz w:val="24"/>
              </w:rPr>
              <w:t>Commodity</w:t>
            </w:r>
          </w:p>
        </w:tc>
        <w:tc>
          <w:tcPr>
            <w:tcW w:type="dxa" w:w="1800"/>
            <w:vAlign w:val="center"/>
            <w:tcMar>
              <w:top w:w="90" w:type="dxa"/>
              <w:start w:w="100" w:type="dxa"/>
              <w:bottom w:w="90" w:type="dxa"/>
              <w:end w:w="100" w:type="dxa"/>
            </w:tcMar>
          </w:tcPr>
          <w:p>
            <w:pPr>
              <w:spacing w:after="0" w:before="0"/>
              <w:jc w:val="center"/>
            </w:pPr>
            <w:r/>
            <w:r>
              <w:rPr>
                <w:rFonts w:ascii="Times New Roman" w:hAnsi="Times New Roman" w:eastAsia="Times New Roman"/>
                <w:b/>
                <w:sz w:val="24"/>
              </w:rPr>
              <w:t>SARIMA MAPE</w:t>
              <w:br/>
              <w:t>(static holdout)</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sz w:val="24"/>
              </w:rPr>
              <w:t>Prophet MAPE</w:t>
              <w:br/>
              <w:t>(static holdout)</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sz w:val="24"/>
              </w:rPr>
              <w:t>Best ML MAPE</w:t>
              <w:br/>
              <w:t>(walk-forward)</w:t>
            </w:r>
          </w:p>
        </w:tc>
        <w:tc>
          <w:tcPr>
            <w:tcW w:type="dxa" w:w="2232"/>
            <w:vAlign w:val="center"/>
            <w:tcMar>
              <w:top w:w="90" w:type="dxa"/>
              <w:start w:w="100" w:type="dxa"/>
              <w:bottom w:w="90" w:type="dxa"/>
              <w:end w:w="100" w:type="dxa"/>
            </w:tcMar>
          </w:tcPr>
          <w:p>
            <w:pPr>
              <w:spacing w:after="0" w:before="0"/>
              <w:jc w:val="left"/>
            </w:pPr>
            <w:r/>
            <w:r>
              <w:rPr>
                <w:rFonts w:ascii="Times New Roman" w:hAnsi="Times New Roman" w:eastAsia="Times New Roman"/>
                <w:b/>
                <w:sz w:val="24"/>
              </w:rPr>
              <w:t>Best ML Model</w:t>
            </w:r>
          </w:p>
        </w:tc>
      </w:tr>
      <w:tr>
        <w:trPr>
          <w:cantSplit/>
        </w:trPr>
        <w:tc>
          <w:tcPr>
            <w:tcW w:type="dxa" w:w="1440"/>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Beans</w:t>
            </w:r>
          </w:p>
        </w:tc>
        <w:tc>
          <w:tcPr>
            <w:tcW w:type="dxa" w:w="1800"/>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9.9</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14.0</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10.8</w:t>
            </w:r>
          </w:p>
        </w:tc>
        <w:tc>
          <w:tcPr>
            <w:tcW w:type="dxa" w:w="2232"/>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Random Forest</w:t>
            </w:r>
          </w:p>
        </w:tc>
      </w:tr>
      <w:tr>
        <w:trPr>
          <w:cantSplit/>
        </w:trPr>
        <w:tc>
          <w:tcPr>
            <w:tcW w:type="dxa" w:w="1440"/>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Brinjal</w:t>
            </w:r>
          </w:p>
        </w:tc>
        <w:tc>
          <w:tcPr>
            <w:tcW w:type="dxa" w:w="1800"/>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28.6</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11.4</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5.8</w:t>
            </w:r>
          </w:p>
        </w:tc>
        <w:tc>
          <w:tcPr>
            <w:tcW w:type="dxa" w:w="2232"/>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XGBoost</w:t>
            </w:r>
          </w:p>
        </w:tc>
      </w:tr>
      <w:tr>
        <w:trPr>
          <w:cantSplit/>
        </w:trPr>
        <w:tc>
          <w:tcPr>
            <w:tcW w:type="dxa" w:w="1440"/>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Cabbage</w:t>
            </w:r>
          </w:p>
        </w:tc>
        <w:tc>
          <w:tcPr>
            <w:tcW w:type="dxa" w:w="1800"/>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12.7</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9.1</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2.6</w:t>
            </w:r>
          </w:p>
        </w:tc>
        <w:tc>
          <w:tcPr>
            <w:tcW w:type="dxa" w:w="2232"/>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XGBoost</w:t>
            </w:r>
          </w:p>
        </w:tc>
      </w:tr>
      <w:tr>
        <w:trPr>
          <w:cantSplit/>
        </w:trPr>
        <w:tc>
          <w:tcPr>
            <w:tcW w:type="dxa" w:w="1440"/>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Carrot</w:t>
            </w:r>
          </w:p>
        </w:tc>
        <w:tc>
          <w:tcPr>
            <w:tcW w:type="dxa" w:w="1800"/>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52.2</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35.5</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4.8</w:t>
            </w:r>
          </w:p>
        </w:tc>
        <w:tc>
          <w:tcPr>
            <w:tcW w:type="dxa" w:w="2232"/>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XGBoost</w:t>
            </w:r>
          </w:p>
        </w:tc>
      </w:tr>
      <w:tr>
        <w:trPr>
          <w:cantSplit/>
        </w:trPr>
        <w:tc>
          <w:tcPr>
            <w:tcW w:type="dxa" w:w="1440"/>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Drumstick</w:t>
            </w:r>
          </w:p>
        </w:tc>
        <w:tc>
          <w:tcPr>
            <w:tcW w:type="dxa" w:w="1800"/>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55.8</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31.7</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6.8</w:t>
            </w:r>
          </w:p>
        </w:tc>
        <w:tc>
          <w:tcPr>
            <w:tcW w:type="dxa" w:w="2232"/>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XGBoost</w:t>
            </w:r>
          </w:p>
        </w:tc>
      </w:tr>
      <w:tr>
        <w:trPr>
          <w:cantSplit/>
        </w:trPr>
        <w:tc>
          <w:tcPr>
            <w:tcW w:type="dxa" w:w="1440"/>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Onion</w:t>
            </w:r>
          </w:p>
        </w:tc>
        <w:tc>
          <w:tcPr>
            <w:tcW w:type="dxa" w:w="1800"/>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34.5</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14.6</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8.3</w:t>
            </w:r>
          </w:p>
        </w:tc>
        <w:tc>
          <w:tcPr>
            <w:tcW w:type="dxa" w:w="2232"/>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Random Forest</w:t>
            </w:r>
          </w:p>
        </w:tc>
      </w:tr>
      <w:tr>
        <w:trPr>
          <w:cantSplit/>
        </w:trPr>
        <w:tc>
          <w:tcPr>
            <w:tcW w:type="dxa" w:w="1440"/>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Potato</w:t>
            </w:r>
          </w:p>
        </w:tc>
        <w:tc>
          <w:tcPr>
            <w:tcW w:type="dxa" w:w="1800"/>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21.6</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8.5</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5.7</w:t>
            </w:r>
          </w:p>
        </w:tc>
        <w:tc>
          <w:tcPr>
            <w:tcW w:type="dxa" w:w="2232"/>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XGBoost</w:t>
            </w:r>
          </w:p>
        </w:tc>
      </w:tr>
      <w:tr>
        <w:trPr>
          <w:cantSplit/>
        </w:trPr>
        <w:tc>
          <w:tcPr>
            <w:tcW w:type="dxa" w:w="1440"/>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Tomato</w:t>
            </w:r>
          </w:p>
        </w:tc>
        <w:tc>
          <w:tcPr>
            <w:tcW w:type="dxa" w:w="1800"/>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53.6</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25.5</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val="0"/>
                <w:sz w:val="24"/>
              </w:rPr>
              <w:t>5.5</w:t>
            </w:r>
          </w:p>
        </w:tc>
        <w:tc>
          <w:tcPr>
            <w:tcW w:type="dxa" w:w="2232"/>
            <w:vAlign w:val="center"/>
            <w:tcMar>
              <w:top w:w="90" w:type="dxa"/>
              <w:start w:w="100" w:type="dxa"/>
              <w:bottom w:w="90" w:type="dxa"/>
              <w:end w:w="100" w:type="dxa"/>
            </w:tcMar>
          </w:tcPr>
          <w:p>
            <w:pPr>
              <w:spacing w:after="0" w:before="0"/>
              <w:jc w:val="left"/>
            </w:pPr>
            <w:r/>
            <w:r>
              <w:rPr>
                <w:rFonts w:ascii="Times New Roman" w:hAnsi="Times New Roman" w:eastAsia="Times New Roman"/>
                <w:b w:val="0"/>
                <w:sz w:val="24"/>
              </w:rPr>
              <w:t>XGBoost</w:t>
            </w:r>
          </w:p>
        </w:tc>
      </w:tr>
      <w:tr>
        <w:trPr>
          <w:cantSplit/>
        </w:trPr>
        <w:tc>
          <w:tcPr>
            <w:tcW w:type="dxa" w:w="1440"/>
            <w:vAlign w:val="center"/>
            <w:tcMar>
              <w:top w:w="90" w:type="dxa"/>
              <w:start w:w="100" w:type="dxa"/>
              <w:bottom w:w="90" w:type="dxa"/>
              <w:end w:w="100" w:type="dxa"/>
            </w:tcMar>
          </w:tcPr>
          <w:p>
            <w:pPr>
              <w:spacing w:after="0" w:before="0"/>
              <w:jc w:val="left"/>
            </w:pPr>
            <w:r/>
            <w:r>
              <w:rPr>
                <w:rFonts w:ascii="Times New Roman" w:hAnsi="Times New Roman" w:eastAsia="Times New Roman"/>
                <w:b/>
                <w:sz w:val="24"/>
              </w:rPr>
              <w:t>Average</w:t>
            </w:r>
          </w:p>
        </w:tc>
        <w:tc>
          <w:tcPr>
            <w:tcW w:type="dxa" w:w="1800"/>
            <w:vAlign w:val="center"/>
            <w:tcMar>
              <w:top w:w="90" w:type="dxa"/>
              <w:start w:w="100" w:type="dxa"/>
              <w:bottom w:w="90" w:type="dxa"/>
              <w:end w:w="100" w:type="dxa"/>
            </w:tcMar>
          </w:tcPr>
          <w:p>
            <w:pPr>
              <w:spacing w:after="0" w:before="0"/>
              <w:jc w:val="center"/>
            </w:pPr>
            <w:r/>
            <w:r>
              <w:rPr>
                <w:rFonts w:ascii="Times New Roman" w:hAnsi="Times New Roman" w:eastAsia="Times New Roman"/>
                <w:b/>
                <w:sz w:val="24"/>
              </w:rPr>
              <w:t>33.6</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sz w:val="24"/>
              </w:rPr>
              <w:t>18.8</w:t>
            </w:r>
          </w:p>
        </w:tc>
        <w:tc>
          <w:tcPr>
            <w:tcW w:type="dxa" w:w="1944"/>
            <w:vAlign w:val="center"/>
            <w:tcMar>
              <w:top w:w="90" w:type="dxa"/>
              <w:start w:w="100" w:type="dxa"/>
              <w:bottom w:w="90" w:type="dxa"/>
              <w:end w:w="100" w:type="dxa"/>
            </w:tcMar>
          </w:tcPr>
          <w:p>
            <w:pPr>
              <w:spacing w:after="0" w:before="0"/>
              <w:jc w:val="center"/>
            </w:pPr>
            <w:r/>
            <w:r>
              <w:rPr>
                <w:rFonts w:ascii="Times New Roman" w:hAnsi="Times New Roman" w:eastAsia="Times New Roman"/>
                <w:b/>
                <w:sz w:val="24"/>
              </w:rPr>
              <w:t>6.3</w:t>
            </w:r>
          </w:p>
        </w:tc>
        <w:tc>
          <w:tcPr>
            <w:tcW w:type="dxa" w:w="2232"/>
            <w:vAlign w:val="center"/>
            <w:tcMar>
              <w:top w:w="90" w:type="dxa"/>
              <w:start w:w="100" w:type="dxa"/>
              <w:bottom w:w="90" w:type="dxa"/>
              <w:end w:w="100" w:type="dxa"/>
            </w:tcMar>
          </w:tcPr>
          <w:p>
            <w:pPr>
              <w:spacing w:after="0" w:before="0"/>
              <w:jc w:val="left"/>
            </w:pPr>
            <w:r/>
            <w:r>
              <w:rPr>
                <w:rFonts w:ascii="Times New Roman" w:hAnsi="Times New Roman" w:eastAsia="Times New Roman"/>
                <w:b/>
                <w:sz w:val="24"/>
              </w:rPr>
              <w:t>—</w:t>
            </w:r>
          </w:p>
        </w:tc>
      </w:tr>
    </w:tbl>
    <w:p>
      <w:pPr>
        <w:keepLines/>
        <w:spacing w:after="120" w:before="0" w:line="259" w:lineRule="auto"/>
      </w:pPr>
      <w:r>
        <w:rPr>
          <w:rFonts w:ascii="Times New Roman" w:hAnsi="Times New Roman" w:eastAsia="Times New Roman"/>
          <w:b w:val="0"/>
          <w:sz w:val="24"/>
        </w:rPr>
        <w:t>Note: SARIMA and Prophet columns are static 90-day holdout MAPE; the Best ML column is expanding-window walk-forward MAPE. The table matches the latest presentation but mixes validation protocols and is not a fully matched comparison. On these displayed values, Best ML MAPE is lower for seven of eight commodities. In the separate walk-forward comparison, mean SARIMA MAPE is 10.77% and mean selected-ML MAPE is 6.28%; selected ML is lower for six of eight commodities. SARIMA refreshes every seven days and ML retrains every 30 days. No paired significance test was run.</w:t>
      </w:r>
    </w:p>
    <w:p>
      <w:pPr>
        <w:spacing w:after="120" w:before="0" w:line="259" w:lineRule="auto"/>
      </w:pPr>
      <w:r>
        <w:rPr>
          <w:rFonts w:ascii="Times New Roman" w:hAnsi="Times New Roman" w:eastAsia="Times New Roman"/>
          <w:b w:val="0"/>
          <w:sz w:val="24"/>
        </w:rPr>
        <w:t>The separate static-holdout SARIMA summary reports an average MAPE of 33.60%; the Prophet static-holdout average is 18.77%. The original 13.9%, 32.6% and 4.6% figures are not present in the current reports. The codes calculate RMSE and MAE as well as MAPE, but this summary table focuses on MAPE as requested.</w:t>
      </w:r>
    </w:p>
    <w:p>
      <w:pPr>
        <w:spacing w:after="120" w:before="0" w:line="259" w:lineRule="auto"/>
      </w:pPr>
      <w:r>
        <w:rPr>
          <w:rFonts w:ascii="Times New Roman" w:hAnsi="Times New Roman" w:eastAsia="Times New Roman"/>
          <w:b/>
          <w:sz w:val="24"/>
        </w:rPr>
        <w:t xml:space="preserve">SHAP Analysis: </w:t>
      </w:r>
      <w:r>
        <w:rPr>
          <w:rFonts w:ascii="Times New Roman" w:hAnsi="Times New Roman" w:eastAsia="Times New Roman"/>
          <w:b w:val="0"/>
          <w:sz w:val="24"/>
        </w:rPr>
        <w:t>Script 08 retrains an XGBoost model for each commodity on all eligible rows before calculating SHAP values; it does not explain the selected Random Forest models for Beans and Onion. The current shap_top_drivers.csv ranks position_52w first for all eight commodities. SHAP gives model-attribution scores and does not establish statistical significance or causality. Rainfall and monsoon features are present, but the current report does not support the claim that they are statistically significant contributors.</w:t>
      </w:r>
    </w:p>
    <w:p>
      <w:pPr>
        <w:spacing w:after="160" w:before="0" w:line="259" w:lineRule="auto"/>
      </w:pPr>
      <w:r>
        <w:rPr>
          <w:rFonts w:ascii="Times New Roman" w:hAnsi="Times New Roman" w:eastAsia="Times New Roman"/>
          <w:b w:val="0"/>
          <w:sz w:val="24"/>
        </w:rPr>
        <w:t>____________________________________________________________________</w:t>
      </w:r>
    </w:p>
    <w:p>
      <w:pPr>
        <w:keepNext/>
        <w:spacing w:after="100" w:before="0" w:line="259" w:lineRule="auto"/>
      </w:pPr>
      <w:r>
        <w:rPr>
          <w:rFonts w:ascii="Times New Roman" w:hAnsi="Times New Roman" w:eastAsia="Times New Roman"/>
          <w:b/>
          <w:sz w:val="24"/>
        </w:rPr>
        <w:t>6 WORK TO BE DONE (Further work to be completed is to be listed)</w:t>
      </w:r>
    </w:p>
    <w:p>
      <w:pPr>
        <w:spacing w:after="120" w:before="0" w:line="259" w:lineRule="auto"/>
      </w:pPr>
      <w:r>
        <w:rPr>
          <w:rFonts w:ascii="Times New Roman" w:hAnsi="Times New Roman" w:eastAsia="Times New Roman"/>
          <w:b/>
          <w:sz w:val="24"/>
        </w:rPr>
        <w:t xml:space="preserve">Phase 5 – AgriSight Pipeline: </w:t>
      </w:r>
      <w:r>
        <w:rPr>
          <w:rFonts w:ascii="Times New Roman" w:hAnsi="Times New Roman" w:eastAsia="Times New Roman"/>
          <w:b w:val="0"/>
          <w:sz w:val="24"/>
        </w:rPr>
        <w:t>The current four rule-based agents run and produce a report. The latest agrisight_pipeline_report.json records HOLD for all eight commodities, no HIGH-risk commodities, and MEDIUM risk for Beans and Tomato. A controlled delta-RMSE experiment comparing standalone XGBoost with context-enriched AgriSight has not been reported. The agent’s forecasts and recommendations must be evaluated against a matched held-out period. If live news or an LLM remains in scope, that component must be implemented; it is not in the current code.</w:t>
      </w:r>
    </w:p>
    <w:p>
      <w:pPr>
        <w:spacing w:after="120" w:before="0" w:line="259" w:lineRule="auto"/>
      </w:pPr>
      <w:r>
        <w:rPr>
          <w:rFonts w:ascii="Times New Roman" w:hAnsi="Times New Roman" w:eastAsia="Times New Roman"/>
          <w:b/>
          <w:sz w:val="24"/>
        </w:rPr>
        <w:t xml:space="preserve">Phase 6 – Reporting: </w:t>
      </w:r>
      <w:r>
        <w:rPr>
          <w:rFonts w:ascii="Times New Roman" w:hAnsi="Times New Roman" w:eastAsia="Times New Roman"/>
          <w:b w:val="0"/>
          <w:sz w:val="24"/>
        </w:rPr>
        <w:t>The July 2023 tomato crisis savings case study requires historical prices before 2024 or a revised case period. The current inputs do not cover July 2023. The academic report should consolidate the verified model results, SHAP findings, validation limits and the planned agent evaluation. Final Viva-Voce material should follow the Anna University CDE chapter, appendix and reference requirements.</w:t>
      </w:r>
    </w:p>
    <w:p>
      <w:pPr>
        <w:spacing w:after="160" w:before="0" w:line="259" w:lineRule="auto"/>
      </w:pPr>
      <w:r>
        <w:rPr>
          <w:rFonts w:ascii="Times New Roman" w:hAnsi="Times New Roman" w:eastAsia="Times New Roman"/>
          <w:b w:val="0"/>
          <w:sz w:val="24"/>
        </w:rPr>
        <w:t>____________________________________________________________________</w:t>
      </w:r>
    </w:p>
    <w:p>
      <w:pPr>
        <w:keepNext/>
        <w:spacing w:after="100" w:before="0" w:line="259" w:lineRule="auto"/>
      </w:pPr>
      <w:r>
        <w:rPr>
          <w:rFonts w:ascii="Times New Roman" w:hAnsi="Times New Roman" w:eastAsia="Times New Roman"/>
          <w:b/>
          <w:sz w:val="24"/>
        </w:rPr>
        <w:t>7 REFERENCES (The list of journal papers reviewed must be documented as per the format sent in the guidelines earlier).</w:t>
      </w:r>
    </w:p>
    <w:p>
      <w:pPr>
        <w:spacing w:after="120" w:before="0" w:line="259" w:lineRule="auto"/>
      </w:pPr>
      <w:r>
        <w:rPr>
          <w:rFonts w:ascii="Times New Roman" w:hAnsi="Times New Roman" w:eastAsia="Times New Roman"/>
          <w:b w:val="0"/>
          <w:sz w:val="24"/>
        </w:rPr>
        <w:t>The reference list below corrects entries that could be matched to primary publication records. The supplied Applied Intelligence citation could not be verified with its stated title and DOI and is omitted pending a corrected record. The supplied arXiv identifiers for AgriWorld and GreenIQ resolve to unrelated papers; verified identifiers and titles are used here.</w:t>
      </w:r>
    </w:p>
    <w:p>
      <w:pPr>
        <w:keepLines/>
        <w:spacing w:after="100" w:before="0" w:line="259" w:lineRule="auto"/>
      </w:pPr>
      <w:r>
        <w:rPr>
          <w:rFonts w:ascii="Times New Roman" w:hAnsi="Times New Roman" w:eastAsia="Times New Roman"/>
          <w:b w:val="0"/>
          <w:sz w:val="24"/>
        </w:rPr>
        <w:t>1. Tamilselvi, C., &amp; Mohan Naidu, G. (2020). Forecasting of vegetable arrivals and wholesale prices of Koyambedu market in Chennai using SARIMA approach. International Journal of Current Microbiology and Applied Sciences, 9(10), 3059–3068. https://doi.org/10.20546/ijcmas.2020.910.368</w:t>
      </w:r>
    </w:p>
    <w:p>
      <w:pPr>
        <w:keepLines/>
        <w:spacing w:after="100" w:before="0" w:line="259" w:lineRule="auto"/>
      </w:pPr>
      <w:r>
        <w:rPr>
          <w:rFonts w:ascii="Times New Roman" w:hAnsi="Times New Roman" w:eastAsia="Times New Roman"/>
          <w:b w:val="0"/>
          <w:sz w:val="24"/>
        </w:rPr>
        <w:t>2. Manogna, R. L., Dharmaji, V., &amp; Sarang, S. (2025). Enhancing agricultural commodity price forecasting with deep learning. Scientific Reports, 15, 20903. https://doi.org/10.1038/s41598-025-05103-z</w:t>
      </w:r>
    </w:p>
    <w:p>
      <w:pPr>
        <w:keepLines/>
        <w:spacing w:after="100" w:before="0" w:line="259" w:lineRule="auto"/>
      </w:pPr>
      <w:r>
        <w:rPr>
          <w:rFonts w:ascii="Times New Roman" w:hAnsi="Times New Roman" w:eastAsia="Times New Roman"/>
          <w:b w:val="0"/>
          <w:sz w:val="24"/>
        </w:rPr>
        <w:t>3. Mantaw, C. S., Prahadeeswaran, M., Karthick, V., Sumathi, C. S., &amp; Patil, S. G. (2024). Leveraging machine learning for accurate groundnut price forecasting in Tamil Nadu: An XGBoost approach. Research Square preprint. https://doi.org/10.21203/rs.3.rs-4293571/v1</w:t>
      </w:r>
    </w:p>
    <w:p>
      <w:pPr>
        <w:keepLines/>
        <w:spacing w:after="100" w:before="0" w:line="259" w:lineRule="auto"/>
      </w:pPr>
      <w:r>
        <w:rPr>
          <w:rFonts w:ascii="Times New Roman" w:hAnsi="Times New Roman" w:eastAsia="Times New Roman"/>
          <w:b w:val="0"/>
          <w:sz w:val="24"/>
        </w:rPr>
        <w:t>4. Zhang, Z., Zhang, J., Liu, H., Lv, Q., Yang, J., Cai, K., &amp; Wang, K. (2026). AgriWorld: A world tools protocol framework for verifiable agricultural reasoning with code-executing LLM agents. arXiv:2602.15325.</w:t>
      </w:r>
    </w:p>
    <w:p>
      <w:pPr>
        <w:keepLines/>
        <w:spacing w:after="100" w:before="0" w:line="259" w:lineRule="auto"/>
      </w:pPr>
      <w:r>
        <w:rPr>
          <w:rFonts w:ascii="Times New Roman" w:hAnsi="Times New Roman" w:eastAsia="Times New Roman"/>
          <w:b w:val="0"/>
          <w:sz w:val="24"/>
        </w:rPr>
        <w:t>5. Kayode, B. F., Akintola, A. S., Fagbohun, O., Anaesiuba-Bristol, E., Ojumah, O., Odimayo, O., Oloyede, T., Inyang, A., Kazeem, T., Alli, H., Offia, U. I., &amp; Amajuoyi, P. C. (2025). GreenIQ: A deep search platform for comprehensive carbon market analysis and automated report generation. arXiv:2503.16041.</w:t>
      </w:r>
    </w:p>
    <w:p>
      <w:pPr>
        <w:keepLines/>
        <w:spacing w:after="100" w:before="0" w:line="259" w:lineRule="auto"/>
      </w:pPr>
      <w:r>
        <w:rPr>
          <w:rFonts w:ascii="Times New Roman" w:hAnsi="Times New Roman" w:eastAsia="Times New Roman"/>
          <w:b w:val="0"/>
          <w:sz w:val="24"/>
        </w:rPr>
        <w:t>6. Chen, T., &amp; Guestrin, C. (2016). XGBoost: A scalable tree boosting system. Proceedings of the 22nd ACM SIGKDD International Conference on Knowledge Discovery and Data Mining, 785–794. https://doi.org/10.1145/2939672.2939785</w:t>
      </w:r>
    </w:p>
    <w:p>
      <w:pPr>
        <w:keepLines/>
        <w:spacing w:after="100" w:before="0" w:line="259" w:lineRule="auto"/>
      </w:pPr>
      <w:r>
        <w:rPr>
          <w:rFonts w:ascii="Times New Roman" w:hAnsi="Times New Roman" w:eastAsia="Times New Roman"/>
          <w:b w:val="0"/>
          <w:sz w:val="24"/>
        </w:rPr>
        <w:t>7. Lundberg, S. M., &amp; Lee, S.-I. (2017). A unified approach to interpreting model predictions. Advances in Neural Information Processing Systems, 30. arXiv:1705.07874.</w:t>
      </w:r>
    </w:p>
    <w:p>
      <w:pPr>
        <w:spacing w:after="120" w:before="0" w:line="259" w:lineRule="auto"/>
      </w:pPr>
      <w:r>
        <w:rPr>
          <w:rFonts w:ascii="Times New Roman" w:hAnsi="Times New Roman" w:eastAsia="Times New Roman"/>
          <w:b w:val="0"/>
          <w:sz w:val="24"/>
        </w:rPr>
      </w:r>
    </w:p>
    <w:p>
      <w:pPr>
        <w:tabs>
          <w:tab w:pos="5112" w:val="left"/>
        </w:tabs>
        <w:spacing w:before="240" w:after="0"/>
      </w:pPr>
      <w:r>
        <w:rPr>
          <w:rFonts w:ascii="Times New Roman" w:hAnsi="Times New Roman" w:eastAsia="Times New Roman"/>
          <w:b/>
          <w:sz w:val="24"/>
        </w:rPr>
        <w:t>(Signature of Student)</w:t>
      </w:r>
      <w:r>
        <w:rPr>
          <w:rFonts w:ascii="Times New Roman" w:hAnsi="Times New Roman" w:eastAsia="Times New Roman"/>
          <w:b/>
          <w:sz w:val="24"/>
        </w:rPr>
        <w:tab/>
        <w:t>(Signature of Project Supervisor / Guide)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12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eastAsia="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AgriSight Second Review Report</dc:title>
  <dc:subject>MBA Business Analytics project second review</dc:subject>
  <dc:creator>Vignesh Natarajan</dc:creator>
  <cp:keywords/>
  <dc:description>generated by python-docx</dc:description>
  <cp:lastModifiedBy/>
  <cp:revision>1</cp:revision>
  <dcterms:created xsi:type="dcterms:W3CDTF">2013-12-23T23:15:00Z</dcterms:created>
  <dcterms:modified xsi:type="dcterms:W3CDTF">2013-12-23T23:15:00Z</dcterms:modified>
  <cp:category/>
</cp:coreProperties>
</file>