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rPr>
          <w:b/>
        </w:rPr>
        <w:t>ANNA UNIVERSITY</w:t>
      </w:r>
    </w:p>
    <w:p>
      <w:pPr>
        <w:jc w:val="center"/>
      </w:pPr>
      <w:r>
        <w:t>CENTRE FOR DISTANCE AND ONLINE EDUCATION</w:t>
      </w:r>
    </w:p>
    <w:p>
      <w:pPr>
        <w:jc w:val="center"/>
      </w:pPr>
      <w:r>
        <w:t>ONLINE MBA - BUSINESS ANALYTICS</w:t>
      </w:r>
    </w:p>
    <w:p>
      <w:r/>
    </w:p>
    <w:p>
      <w:pPr>
        <w:jc w:val="center"/>
      </w:pPr>
      <w:r>
        <w:rPr>
          <w:b/>
          <w:sz w:val="32"/>
        </w:rPr>
        <w:t>SHORT-TERM VEGETABLE PRICE FORECASTING AND PROCUREMENT DECISION SUPPORT IN TAMIL NADU</w:t>
      </w:r>
    </w:p>
    <w:p>
      <w:pPr>
        <w:jc w:val="center"/>
      </w:pPr>
      <w:r>
        <w:t>A Secondary Data Study with a Koyambedu Price Source Assessment</w:t>
      </w:r>
    </w:p>
    <w:p>
      <w:r/>
    </w:p>
    <w:p>
      <w:pPr>
        <w:jc w:val="center"/>
      </w:pPr>
      <w:r>
        <w:t>PROJECT REPORT</w:t>
      </w:r>
    </w:p>
    <w:p>
      <w:pPr>
        <w:jc w:val="center"/>
      </w:pPr>
      <w:r>
        <w:t>Submitted in partial fulfilment of the requirements for the award of</w:t>
      </w:r>
    </w:p>
    <w:p>
      <w:pPr>
        <w:jc w:val="center"/>
      </w:pPr>
      <w:r>
        <w:t>MASTER OF BUSINESS ADMINISTRATION</w:t>
      </w:r>
    </w:p>
    <w:p>
      <w:pPr>
        <w:jc w:val="center"/>
      </w:pPr>
      <w:r>
        <w:t>Submitted by</w:t>
      </w:r>
    </w:p>
    <w:p>
      <w:pPr>
        <w:jc w:val="center"/>
      </w:pPr>
      <w:r>
        <w:t>VIGNESH NATARAJAN</w:t>
      </w:r>
    </w:p>
    <w:p>
      <w:pPr>
        <w:jc w:val="center"/>
      </w:pPr>
      <w:r>
        <w:t>Roll No. 24060BA0046 | Registration No. 69124100162</w:t>
      </w:r>
    </w:p>
    <w:p>
      <w:r/>
    </w:p>
    <w:p>
      <w:pPr>
        <w:jc w:val="center"/>
      </w:pPr>
      <w:r>
        <w:t>BATCH CY24 | 2026</w:t>
      </w:r>
    </w:p>
    <w:p>
      <w:r>
        <w:br w:type="page"/>
      </w:r>
    </w:p>
    <w:p>
      <w:pPr>
        <w:pStyle w:val="Heading1"/>
      </w:pPr>
      <w:r>
        <w:t>BONAFIDE CERTIFICATE</w:t>
      </w:r>
    </w:p>
    <w:p>
      <w:r>
        <w:t>This is to certify that the project report entitled “Short-Term Vegetable Price Forecasting and Procurement Decision Support in Tamil Nadu: A Secondary Data Study with a Koyambedu Price Source Assessment” is a bonafide record of the project work carried out by Vignesh Natarajan (Roll No. 24060BA0046; Registration No. 69124100162), in partial fulfilment of the requirements for the award of the Master of Business Administration degree of Anna University, Centre for Distance and Online Education.</w:t>
      </w:r>
    </w:p>
    <w:p>
      <w:r>
        <w:t>The project was completed under my guidance during the academic year 2025–2026. To the best of my knowledge, the work has not been submitted for another degree or diploma.</w:t>
      </w:r>
    </w:p>
    <w:tbl>
      <w:tblPr>
        <w:tblStyle w:val="TableGrid"/>
        <w:tblW w:type="auto" w:w="0"/>
        <w:tblLook w:firstColumn="1" w:firstRow="1" w:lastColumn="0" w:lastRow="0" w:noHBand="0" w:noVBand="1" w:val="04A0"/>
      </w:tblPr>
      <w:tblGrid>
        <w:gridCol w:w="4224"/>
        <w:gridCol w:w="4224"/>
      </w:tblGrid>
      <w:tr>
        <w:tc>
          <w:tcPr>
            <w:tcW w:type="dxa" w:w="4224"/>
            <w:shd w:fill="D9E2F3"/>
          </w:tcPr>
          <w:p>
            <w:pPr>
              <w:spacing w:line="240" w:lineRule="auto" w:after="40"/>
            </w:pPr>
            <w:r>
              <w:rPr>
                <w:rFonts w:ascii="Times New Roman" w:hAnsi="Times New Roman"/>
                <w:sz w:val="18"/>
              </w:rPr>
              <w:t>Project Guide</w:t>
            </w:r>
          </w:p>
        </w:tc>
        <w:tc>
          <w:tcPr>
            <w:tcW w:type="dxa" w:w="4224"/>
            <w:shd w:fill="D9E2F3"/>
          </w:tcPr>
          <w:p>
            <w:pPr>
              <w:spacing w:line="240" w:lineRule="auto" w:after="40"/>
            </w:pPr>
            <w:r>
              <w:rPr>
                <w:rFonts w:ascii="Times New Roman" w:hAnsi="Times New Roman"/>
                <w:sz w:val="18"/>
              </w:rPr>
              <w:t>Head of Department / Programme Coordinator</w:t>
            </w:r>
          </w:p>
        </w:tc>
      </w:tr>
      <w:tr>
        <w:tc>
          <w:tcPr>
            <w:tcW w:type="dxa" w:w="4224"/>
          </w:tcPr>
          <w:p>
            <w:pPr>
              <w:spacing w:line="240" w:lineRule="auto" w:after="40"/>
            </w:pPr>
            <w:r>
              <w:rPr>
                <w:rFonts w:ascii="Times New Roman" w:hAnsi="Times New Roman"/>
                <w:sz w:val="18"/>
              </w:rPr>
              <w:t>Name: __________________</w:t>
            </w:r>
          </w:p>
        </w:tc>
        <w:tc>
          <w:tcPr>
            <w:tcW w:type="dxa" w:w="4224"/>
          </w:tcPr>
          <w:p>
            <w:pPr>
              <w:spacing w:line="240" w:lineRule="auto" w:after="40"/>
            </w:pPr>
            <w:r>
              <w:rPr>
                <w:rFonts w:ascii="Times New Roman" w:hAnsi="Times New Roman"/>
                <w:sz w:val="18"/>
              </w:rPr>
              <w:t>Name: __________________</w:t>
            </w:r>
          </w:p>
        </w:tc>
      </w:tr>
      <w:tr>
        <w:tc>
          <w:tcPr>
            <w:tcW w:type="dxa" w:w="4224"/>
          </w:tcPr>
          <w:p>
            <w:pPr>
              <w:spacing w:line="240" w:lineRule="auto" w:after="40"/>
            </w:pPr>
            <w:r>
              <w:rPr>
                <w:rFonts w:ascii="Times New Roman" w:hAnsi="Times New Roman"/>
                <w:sz w:val="18"/>
              </w:rPr>
              <w:t>Signature: ______________</w:t>
            </w:r>
          </w:p>
        </w:tc>
        <w:tc>
          <w:tcPr>
            <w:tcW w:type="dxa" w:w="4224"/>
          </w:tcPr>
          <w:p>
            <w:pPr>
              <w:spacing w:line="240" w:lineRule="auto" w:after="40"/>
            </w:pPr>
            <w:r>
              <w:rPr>
                <w:rFonts w:ascii="Times New Roman" w:hAnsi="Times New Roman"/>
                <w:sz w:val="18"/>
              </w:rPr>
              <w:t>Signature: ______________</w:t>
            </w:r>
          </w:p>
        </w:tc>
      </w:tr>
      <w:tr>
        <w:tc>
          <w:tcPr>
            <w:tcW w:type="dxa" w:w="4224"/>
          </w:tcPr>
          <w:p>
            <w:pPr>
              <w:spacing w:line="240" w:lineRule="auto" w:after="40"/>
            </w:pPr>
            <w:r>
              <w:rPr>
                <w:rFonts w:ascii="Times New Roman" w:hAnsi="Times New Roman"/>
                <w:sz w:val="18"/>
              </w:rPr>
              <w:t>Date: __________________</w:t>
            </w:r>
          </w:p>
        </w:tc>
        <w:tc>
          <w:tcPr>
            <w:tcW w:type="dxa" w:w="4224"/>
          </w:tcPr>
          <w:p>
            <w:pPr>
              <w:spacing w:line="240" w:lineRule="auto" w:after="40"/>
            </w:pPr>
            <w:r>
              <w:rPr>
                <w:rFonts w:ascii="Times New Roman" w:hAnsi="Times New Roman"/>
                <w:sz w:val="18"/>
              </w:rPr>
              <w:t>Seal: __________________</w:t>
            </w:r>
          </w:p>
        </w:tc>
      </w:tr>
    </w:tbl>
    <w:p>
      <w:r>
        <w:t>Submitted for the University project viva voce examination held on __________________ at __________________.</w:t>
      </w:r>
    </w:p>
    <w:tbl>
      <w:tblPr>
        <w:tblStyle w:val="TableGrid"/>
        <w:tblW w:type="auto" w:w="0"/>
        <w:tblLook w:firstColumn="1" w:firstRow="1" w:lastColumn="0" w:lastRow="0" w:noHBand="0" w:noVBand="1" w:val="04A0"/>
      </w:tblPr>
      <w:tblGrid>
        <w:gridCol w:w="4224"/>
        <w:gridCol w:w="4224"/>
      </w:tblGrid>
      <w:tr>
        <w:tc>
          <w:tcPr>
            <w:tcW w:type="dxa" w:w="4224"/>
            <w:shd w:fill="D9E2F3"/>
          </w:tcPr>
          <w:p>
            <w:pPr>
              <w:spacing w:line="240" w:lineRule="auto" w:after="40"/>
            </w:pPr>
            <w:r>
              <w:rPr>
                <w:rFonts w:ascii="Times New Roman" w:hAnsi="Times New Roman"/>
                <w:sz w:val="18"/>
              </w:rPr>
              <w:t>Internal Examiner</w:t>
            </w:r>
          </w:p>
        </w:tc>
        <w:tc>
          <w:tcPr>
            <w:tcW w:type="dxa" w:w="4224"/>
            <w:shd w:fill="D9E2F3"/>
          </w:tcPr>
          <w:p>
            <w:pPr>
              <w:spacing w:line="240" w:lineRule="auto" w:after="40"/>
            </w:pPr>
            <w:r>
              <w:rPr>
                <w:rFonts w:ascii="Times New Roman" w:hAnsi="Times New Roman"/>
                <w:sz w:val="18"/>
              </w:rPr>
              <w:t>External Examiner</w:t>
            </w:r>
          </w:p>
        </w:tc>
      </w:tr>
      <w:tr>
        <w:tc>
          <w:tcPr>
            <w:tcW w:type="dxa" w:w="4224"/>
          </w:tcPr>
          <w:p>
            <w:pPr>
              <w:spacing w:line="240" w:lineRule="auto" w:after="40"/>
            </w:pPr>
            <w:r>
              <w:rPr>
                <w:rFonts w:ascii="Times New Roman" w:hAnsi="Times New Roman"/>
                <w:sz w:val="18"/>
              </w:rPr>
              <w:t>Signature: ______________</w:t>
            </w:r>
          </w:p>
        </w:tc>
        <w:tc>
          <w:tcPr>
            <w:tcW w:type="dxa" w:w="4224"/>
          </w:tcPr>
          <w:p>
            <w:pPr>
              <w:spacing w:line="240" w:lineRule="auto" w:after="40"/>
            </w:pPr>
            <w:r>
              <w:rPr>
                <w:rFonts w:ascii="Times New Roman" w:hAnsi="Times New Roman"/>
                <w:sz w:val="18"/>
              </w:rPr>
              <w:t>Signature: ______________</w:t>
            </w:r>
          </w:p>
        </w:tc>
      </w:tr>
      <w:tr>
        <w:tc>
          <w:tcPr>
            <w:tcW w:type="dxa" w:w="4224"/>
          </w:tcPr>
          <w:p>
            <w:pPr>
              <w:spacing w:line="240" w:lineRule="auto" w:after="40"/>
            </w:pPr>
            <w:r>
              <w:rPr>
                <w:rFonts w:ascii="Times New Roman" w:hAnsi="Times New Roman"/>
                <w:sz w:val="18"/>
              </w:rPr>
              <w:t>Name: __________________</w:t>
            </w:r>
          </w:p>
        </w:tc>
        <w:tc>
          <w:tcPr>
            <w:tcW w:type="dxa" w:w="4224"/>
          </w:tcPr>
          <w:p>
            <w:pPr>
              <w:spacing w:line="240" w:lineRule="auto" w:after="40"/>
            </w:pPr>
            <w:r>
              <w:rPr>
                <w:rFonts w:ascii="Times New Roman" w:hAnsi="Times New Roman"/>
                <w:sz w:val="18"/>
              </w:rPr>
              <w:t>Name: __________________</w:t>
            </w:r>
          </w:p>
        </w:tc>
      </w:tr>
    </w:tbl>
    <w:p>
      <w:r>
        <w:br w:type="page"/>
      </w:r>
    </w:p>
    <w:p>
      <w:pPr>
        <w:pStyle w:val="Heading1"/>
      </w:pPr>
      <w:r>
        <w:t>ABSTRACT</w:t>
      </w:r>
    </w:p>
    <w:p>
      <w:r>
        <w:t>Vegetable price volatility affects purchasing costs, inventory planning and procurement timing for retailers and food-service organisations. This project develops and evaluates a short-horizon analytical workflow for eight vegetables in Tamil Nadu and considers its relevance to a proposed Koyambedu procurement application. The study uses secondary records available in the project repository, including market-price observations assembled from a Kaggle-hosted Agmarknet dataset for 2024–2026 and local Chennai weather history. The Tamil Nadu sample contains 414,388 source rows across 451 markets and eight commodities, from 24 January 2024 to 20 April 2026. Daily aggregation and feature engineering produced 4,041 commodity-date records and 62 candidate predictors. Four forecasting approaches were assessed: seasonal ARIMA, Prophet, Random Forest and XGBoost. Recorded mean commodity MAPE values were 33.60% for the static seasonal ARIMA holdout, 18.77% for Prophet, 8.72% for the expanding-window Random Forest evaluation and 6.40% for the corresponding XGBoost evaluation. These use different evaluation designs and do not establish a definitive model winner; all models need a common rolling-origin comparison before operational use. SHAP analysis ranked 52-week relative price position as the leading feature for each commodity, indicating predictive contribution within fitted models rather than causation. The rule-based procurement layer issued HOLD for all eight commodities at the latest available date, 20 April 2026. Its actions are decision aids, not verified savings estimates. The report also explains why statewide findings should not be treated as Koyambedu-specific wholesale prices. It concludes that the current analysis is a research prototype and that reliable procurement advice requires source verification, harmonised evaluation, live data controls and prospective measurement of purchase outcomes.</w:t>
      </w:r>
    </w:p>
    <w:p>
      <w:r>
        <w:t>Keywords: vegetable prices; forecasting; procurement; Agmarknet; Tamil Nadu; explainable machine learning; Koyambedu</w:t>
      </w:r>
    </w:p>
    <w:p>
      <w:r>
        <w:br w:type="page"/>
      </w:r>
    </w:p>
    <w:p>
      <w:pPr>
        <w:pStyle w:val="Heading1"/>
      </w:pPr>
      <w:r>
        <w:t>ACKNOWLEDGEMENT</w:t>
      </w:r>
    </w:p>
    <w:p>
      <w:r>
        <w:t>I express my sincere gratitude to Anna University and the Centre for Distance and Online Education for the opportunity to undertake this project. I thank my project guide and faculty for academic guidance and constructive feedback. I acknowledge the maintainers of the secondary datasets and public information sources used. Finally, I thank my family and colleagues for their encouragement. I accept responsibility for the analysis, interpretation and any errors that may remain.</w:t>
      </w:r>
    </w:p>
    <w:p>
      <w:r>
        <w:br w:type="page"/>
      </w:r>
    </w:p>
    <w:p>
      <w:pPr>
        <w:pStyle w:val="Heading1"/>
      </w:pPr>
      <w:r>
        <w:t>TABLE OF CONTENTS</w:t>
      </w:r>
    </w:p>
    <w:p>
      <w:r>
        <w:t>Abstract</w:t>
      </w:r>
    </w:p>
    <w:p>
      <w:r>
        <w:t>Acknowledgement</w:t>
      </w:r>
    </w:p>
    <w:p>
      <w:r>
        <w:t>List of Tables</w:t>
      </w:r>
    </w:p>
    <w:p>
      <w:r>
        <w:t>List of Figures</w:t>
      </w:r>
    </w:p>
    <w:p>
      <w:r>
        <w:t>List of Abbreviations</w:t>
      </w:r>
    </w:p>
    <w:p>
      <w:r>
        <w:t>Chapter 1 - Introduction</w:t>
      </w:r>
    </w:p>
    <w:p>
      <w:r>
        <w:t>Chapter 2 - Review of Literature</w:t>
      </w:r>
    </w:p>
    <w:p>
      <w:r>
        <w:t>Chapter 3 - Research Methodology</w:t>
      </w:r>
    </w:p>
    <w:p>
      <w:r>
        <w:t>Chapter 4 - Analysis and Findings</w:t>
      </w:r>
    </w:p>
    <w:p>
      <w:r>
        <w:t>Chapter 5 - Conclusions and Recommendations</w:t>
      </w:r>
    </w:p>
    <w:p>
      <w:r>
        <w:t>References</w:t>
      </w:r>
    </w:p>
    <w:p>
      <w:r>
        <w:t>Appendices</w:t>
      </w:r>
    </w:p>
    <w:p>
      <w:r>
        <w:rPr>
          <w:i/>
        </w:rPr>
        <w:t>Page numbers populate when fields are updated in Microsoft Word.</w:t>
      </w:r>
    </w:p>
    <w:p>
      <w:r>
        <w:br w:type="page"/>
      </w:r>
    </w:p>
    <w:p>
      <w:pPr>
        <w:pStyle w:val="Heading1"/>
      </w:pPr>
      <w:r>
        <w:t>LIST OF TABLES</w:t>
      </w:r>
    </w:p>
    <w:p>
      <w:r>
        <w:t>3.1 Study design and data sources</w:t>
      </w:r>
    </w:p>
    <w:p>
      <w:r>
        <w:t>4.1 Data coverage</w:t>
      </w:r>
    </w:p>
    <w:p>
      <w:r>
        <w:t>4.2 Forecast results</w:t>
      </w:r>
    </w:p>
    <w:p>
      <w:r>
        <w:t>4.3 Evaluation comparability</w:t>
      </w:r>
    </w:p>
    <w:p>
      <w:r>
        <w:t>A.1 Data dictionary</w:t>
      </w:r>
    </w:p>
    <w:p>
      <w:r>
        <w:t>B.1 Model inventory</w:t>
      </w:r>
    </w:p>
    <w:p>
      <w:r>
        <w:br w:type="page"/>
      </w:r>
    </w:p>
    <w:p>
      <w:pPr>
        <w:pStyle w:val="Heading1"/>
      </w:pPr>
      <w:r>
        <w:t>LIST OF FIGURES</w:t>
      </w:r>
    </w:p>
    <w:p>
      <w:r>
        <w:t>3.1 Analytical workflow (described in methodology)</w:t>
      </w:r>
    </w:p>
    <w:p>
      <w:r>
        <w:t>4.1 Forecast comparison (summary table)</w:t>
      </w:r>
    </w:p>
    <w:p>
      <w:r>
        <w:br w:type="page"/>
      </w:r>
    </w:p>
    <w:p>
      <w:pPr>
        <w:pStyle w:val="Heading1"/>
      </w:pPr>
      <w:r>
        <w:t>LIST OF ABBREVIATIONS</w:t>
      </w:r>
    </w:p>
    <w:tbl>
      <w:tblPr>
        <w:tblStyle w:val="TableGrid"/>
        <w:tblW w:type="auto" w:w="0"/>
        <w:tblLook w:firstColumn="1" w:firstRow="1" w:lastColumn="0" w:lastRow="0" w:noHBand="0" w:noVBand="1" w:val="04A0"/>
      </w:tblPr>
      <w:tblGrid>
        <w:gridCol w:w="4224"/>
        <w:gridCol w:w="4224"/>
      </w:tblGrid>
      <w:tr>
        <w:tc>
          <w:tcPr>
            <w:tcW w:type="dxa" w:w="4224"/>
            <w:shd w:fill="D9E2F3"/>
          </w:tcPr>
          <w:p>
            <w:pPr>
              <w:spacing w:line="240" w:lineRule="auto" w:after="40"/>
            </w:pPr>
            <w:r>
              <w:rPr>
                <w:rFonts w:ascii="Times New Roman" w:hAnsi="Times New Roman"/>
                <w:sz w:val="18"/>
              </w:rPr>
              <w:t>Abbreviation</w:t>
            </w:r>
          </w:p>
        </w:tc>
        <w:tc>
          <w:tcPr>
            <w:tcW w:type="dxa" w:w="4224"/>
            <w:shd w:fill="D9E2F3"/>
          </w:tcPr>
          <w:p>
            <w:pPr>
              <w:spacing w:line="240" w:lineRule="auto" w:after="40"/>
            </w:pPr>
            <w:r>
              <w:rPr>
                <w:rFonts w:ascii="Times New Roman" w:hAnsi="Times New Roman"/>
                <w:sz w:val="18"/>
              </w:rPr>
              <w:t>Meaning</w:t>
            </w:r>
          </w:p>
        </w:tc>
      </w:tr>
      <w:tr>
        <w:tc>
          <w:tcPr>
            <w:tcW w:type="dxa" w:w="4224"/>
          </w:tcPr>
          <w:p>
            <w:pPr>
              <w:spacing w:line="240" w:lineRule="auto" w:after="40"/>
            </w:pPr>
            <w:r>
              <w:rPr>
                <w:rFonts w:ascii="Times New Roman" w:hAnsi="Times New Roman"/>
                <w:sz w:val="18"/>
              </w:rPr>
              <w:t>ADF</w:t>
            </w:r>
          </w:p>
        </w:tc>
        <w:tc>
          <w:tcPr>
            <w:tcW w:type="dxa" w:w="4224"/>
          </w:tcPr>
          <w:p>
            <w:pPr>
              <w:spacing w:line="240" w:lineRule="auto" w:after="40"/>
            </w:pPr>
            <w:r>
              <w:rPr>
                <w:rFonts w:ascii="Times New Roman" w:hAnsi="Times New Roman"/>
                <w:sz w:val="18"/>
              </w:rPr>
              <w:t>Augmented Dickey-Fuller</w:t>
            </w:r>
          </w:p>
        </w:tc>
      </w:tr>
      <w:tr>
        <w:tc>
          <w:tcPr>
            <w:tcW w:type="dxa" w:w="4224"/>
          </w:tcPr>
          <w:p>
            <w:pPr>
              <w:spacing w:line="240" w:lineRule="auto" w:after="40"/>
            </w:pPr>
            <w:r>
              <w:rPr>
                <w:rFonts w:ascii="Times New Roman" w:hAnsi="Times New Roman"/>
                <w:sz w:val="18"/>
              </w:rPr>
              <w:t>Agmarknet</w:t>
            </w:r>
          </w:p>
        </w:tc>
        <w:tc>
          <w:tcPr>
            <w:tcW w:type="dxa" w:w="4224"/>
          </w:tcPr>
          <w:p>
            <w:pPr>
              <w:spacing w:line="240" w:lineRule="auto" w:after="40"/>
            </w:pPr>
            <w:r>
              <w:rPr>
                <w:rFonts w:ascii="Times New Roman" w:hAnsi="Times New Roman"/>
                <w:sz w:val="18"/>
              </w:rPr>
              <w:t>Agricultural Marketing Information Network</w:t>
            </w:r>
          </w:p>
        </w:tc>
      </w:tr>
      <w:tr>
        <w:tc>
          <w:tcPr>
            <w:tcW w:type="dxa" w:w="4224"/>
          </w:tcPr>
          <w:p>
            <w:pPr>
              <w:spacing w:line="240" w:lineRule="auto" w:after="40"/>
            </w:pPr>
            <w:r>
              <w:rPr>
                <w:rFonts w:ascii="Times New Roman" w:hAnsi="Times New Roman"/>
                <w:sz w:val="18"/>
              </w:rPr>
              <w:t>MAPE</w:t>
            </w:r>
          </w:p>
        </w:tc>
        <w:tc>
          <w:tcPr>
            <w:tcW w:type="dxa" w:w="4224"/>
          </w:tcPr>
          <w:p>
            <w:pPr>
              <w:spacing w:line="240" w:lineRule="auto" w:after="40"/>
            </w:pPr>
            <w:r>
              <w:rPr>
                <w:rFonts w:ascii="Times New Roman" w:hAnsi="Times New Roman"/>
                <w:sz w:val="18"/>
              </w:rPr>
              <w:t>Mean Absolute Percentage Error</w:t>
            </w:r>
          </w:p>
        </w:tc>
      </w:tr>
      <w:tr>
        <w:tc>
          <w:tcPr>
            <w:tcW w:type="dxa" w:w="4224"/>
          </w:tcPr>
          <w:p>
            <w:pPr>
              <w:spacing w:line="240" w:lineRule="auto" w:after="40"/>
            </w:pPr>
            <w:r>
              <w:rPr>
                <w:rFonts w:ascii="Times New Roman" w:hAnsi="Times New Roman"/>
                <w:sz w:val="18"/>
              </w:rPr>
              <w:t>MAE</w:t>
            </w:r>
          </w:p>
        </w:tc>
        <w:tc>
          <w:tcPr>
            <w:tcW w:type="dxa" w:w="4224"/>
          </w:tcPr>
          <w:p>
            <w:pPr>
              <w:spacing w:line="240" w:lineRule="auto" w:after="40"/>
            </w:pPr>
            <w:r>
              <w:rPr>
                <w:rFonts w:ascii="Times New Roman" w:hAnsi="Times New Roman"/>
                <w:sz w:val="18"/>
              </w:rPr>
              <w:t>Mean Absolute Error</w:t>
            </w:r>
          </w:p>
        </w:tc>
      </w:tr>
      <w:tr>
        <w:tc>
          <w:tcPr>
            <w:tcW w:type="dxa" w:w="4224"/>
          </w:tcPr>
          <w:p>
            <w:pPr>
              <w:spacing w:line="240" w:lineRule="auto" w:after="40"/>
            </w:pPr>
            <w:r>
              <w:rPr>
                <w:rFonts w:ascii="Times New Roman" w:hAnsi="Times New Roman"/>
                <w:sz w:val="18"/>
              </w:rPr>
              <w:t>RMSE</w:t>
            </w:r>
          </w:p>
        </w:tc>
        <w:tc>
          <w:tcPr>
            <w:tcW w:type="dxa" w:w="4224"/>
          </w:tcPr>
          <w:p>
            <w:pPr>
              <w:spacing w:line="240" w:lineRule="auto" w:after="40"/>
            </w:pPr>
            <w:r>
              <w:rPr>
                <w:rFonts w:ascii="Times New Roman" w:hAnsi="Times New Roman"/>
                <w:sz w:val="18"/>
              </w:rPr>
              <w:t>Root Mean Squared Error</w:t>
            </w:r>
          </w:p>
        </w:tc>
      </w:tr>
      <w:tr>
        <w:tc>
          <w:tcPr>
            <w:tcW w:type="dxa" w:w="4224"/>
          </w:tcPr>
          <w:p>
            <w:pPr>
              <w:spacing w:line="240" w:lineRule="auto" w:after="40"/>
            </w:pPr>
            <w:r>
              <w:rPr>
                <w:rFonts w:ascii="Times New Roman" w:hAnsi="Times New Roman"/>
                <w:sz w:val="18"/>
              </w:rPr>
              <w:t>RF</w:t>
            </w:r>
          </w:p>
        </w:tc>
        <w:tc>
          <w:tcPr>
            <w:tcW w:type="dxa" w:w="4224"/>
          </w:tcPr>
          <w:p>
            <w:pPr>
              <w:spacing w:line="240" w:lineRule="auto" w:after="40"/>
            </w:pPr>
            <w:r>
              <w:rPr>
                <w:rFonts w:ascii="Times New Roman" w:hAnsi="Times New Roman"/>
                <w:sz w:val="18"/>
              </w:rPr>
              <w:t>Random Forest</w:t>
            </w:r>
          </w:p>
        </w:tc>
      </w:tr>
      <w:tr>
        <w:tc>
          <w:tcPr>
            <w:tcW w:type="dxa" w:w="4224"/>
          </w:tcPr>
          <w:p>
            <w:pPr>
              <w:spacing w:line="240" w:lineRule="auto" w:after="40"/>
            </w:pPr>
            <w:r>
              <w:rPr>
                <w:rFonts w:ascii="Times New Roman" w:hAnsi="Times New Roman"/>
                <w:sz w:val="18"/>
              </w:rPr>
              <w:t>SARIMA</w:t>
            </w:r>
          </w:p>
        </w:tc>
        <w:tc>
          <w:tcPr>
            <w:tcW w:type="dxa" w:w="4224"/>
          </w:tcPr>
          <w:p>
            <w:pPr>
              <w:spacing w:line="240" w:lineRule="auto" w:after="40"/>
            </w:pPr>
            <w:r>
              <w:rPr>
                <w:rFonts w:ascii="Times New Roman" w:hAnsi="Times New Roman"/>
                <w:sz w:val="18"/>
              </w:rPr>
              <w:t>Seasonal ARIMA</w:t>
            </w:r>
          </w:p>
        </w:tc>
      </w:tr>
      <w:tr>
        <w:tc>
          <w:tcPr>
            <w:tcW w:type="dxa" w:w="4224"/>
          </w:tcPr>
          <w:p>
            <w:pPr>
              <w:spacing w:line="240" w:lineRule="auto" w:after="40"/>
            </w:pPr>
            <w:r>
              <w:rPr>
                <w:rFonts w:ascii="Times New Roman" w:hAnsi="Times New Roman"/>
                <w:sz w:val="18"/>
              </w:rPr>
              <w:t>SHAP</w:t>
            </w:r>
          </w:p>
        </w:tc>
        <w:tc>
          <w:tcPr>
            <w:tcW w:type="dxa" w:w="4224"/>
          </w:tcPr>
          <w:p>
            <w:pPr>
              <w:spacing w:line="240" w:lineRule="auto" w:after="40"/>
            </w:pPr>
            <w:r>
              <w:rPr>
                <w:rFonts w:ascii="Times New Roman" w:hAnsi="Times New Roman"/>
                <w:sz w:val="18"/>
              </w:rPr>
              <w:t>SHapley Additive exPlanations</w:t>
            </w:r>
          </w:p>
        </w:tc>
      </w:tr>
      <w:tr>
        <w:tc>
          <w:tcPr>
            <w:tcW w:type="dxa" w:w="4224"/>
          </w:tcPr>
          <w:p>
            <w:pPr>
              <w:spacing w:line="240" w:lineRule="auto" w:after="40"/>
            </w:pPr>
            <w:r>
              <w:rPr>
                <w:rFonts w:ascii="Times New Roman" w:hAnsi="Times New Roman"/>
                <w:sz w:val="18"/>
              </w:rPr>
              <w:t>TN</w:t>
            </w:r>
          </w:p>
        </w:tc>
        <w:tc>
          <w:tcPr>
            <w:tcW w:type="dxa" w:w="4224"/>
          </w:tcPr>
          <w:p>
            <w:pPr>
              <w:spacing w:line="240" w:lineRule="auto" w:after="40"/>
            </w:pPr>
            <w:r>
              <w:rPr>
                <w:rFonts w:ascii="Times New Roman" w:hAnsi="Times New Roman"/>
                <w:sz w:val="18"/>
              </w:rPr>
              <w:t>Tamil Nadu</w:t>
            </w:r>
          </w:p>
        </w:tc>
      </w:tr>
      <w:tr>
        <w:tc>
          <w:tcPr>
            <w:tcW w:type="dxa" w:w="4224"/>
          </w:tcPr>
          <w:p>
            <w:pPr>
              <w:spacing w:line="240" w:lineRule="auto" w:after="40"/>
            </w:pPr>
            <w:r>
              <w:rPr>
                <w:rFonts w:ascii="Times New Roman" w:hAnsi="Times New Roman"/>
                <w:sz w:val="18"/>
              </w:rPr>
              <w:t>XGBoost</w:t>
            </w:r>
          </w:p>
        </w:tc>
        <w:tc>
          <w:tcPr>
            <w:tcW w:type="dxa" w:w="4224"/>
          </w:tcPr>
          <w:p>
            <w:pPr>
              <w:spacing w:line="240" w:lineRule="auto" w:after="40"/>
            </w:pPr>
            <w:r>
              <w:rPr>
                <w:rFonts w:ascii="Times New Roman" w:hAnsi="Times New Roman"/>
                <w:sz w:val="18"/>
              </w:rPr>
              <w:t>Extreme Gradient Boosting</w:t>
            </w:r>
          </w:p>
        </w:tc>
      </w:tr>
    </w:tbl>
    <w:p>
      <w:r>
        <w:br w:type="page"/>
      </w:r>
    </w:p>
    <w:p>
      <w:pPr>
        <w:pStyle w:val="Heading1"/>
      </w:pPr>
      <w:r>
        <w:t>CHAPTER 1</w:t>
        <w:br/>
        <w:t>INTRODUCTION</w:t>
      </w:r>
    </w:p>
    <w:p>
      <w:pPr>
        <w:pStyle w:val="Heading2"/>
      </w:pPr>
      <w:r>
        <w:t>1.1 Background</w:t>
      </w:r>
    </w:p>
    <w:p>
      <w:r>
        <w:t>Vegetables are perishable, supply responds to weather and harvest cycles, and prices can move quickly across markets. Buyers must balance early purchasing against paying more later while avoiding spoilage and excess stock. Historical prices can describe movements and generate short-horizon forecasts when geographic scope, data quality and uncertainty are explicit. This project applies forecasting methods to daily secondary market prices for eight Tamil Nadu vegetables and distinguishes statewide price analysis from market-specific procurement use. The statewide observations support modelling; the Koyambedu series is assessed as a possible market-specific input.</w:t>
      </w:r>
    </w:p>
    <w:p>
      <w:pPr>
        <w:pStyle w:val="Heading2"/>
      </w:pPr>
      <w:r>
        <w:t>1.2 Problem statement</w:t>
      </w:r>
    </w:p>
    <w:p>
      <w:r>
        <w:t>Procurement decisions are made with incomplete information about near-term price direction and data reliability. The repository contains statewide prices and a Koyambedu history, but the latter is not established as a consistent wholesale series. Model scores generated under different holdout strategies cannot be compared as a controlled experiment. The problem is to develop a reproducible workflow from available secondary data, evaluate it carefully, and identify what must be verified before market-specific advice is justified.</w:t>
      </w:r>
    </w:p>
    <w:p>
      <w:pPr>
        <w:pStyle w:val="Heading2"/>
      </w:pPr>
      <w:r>
        <w:t>1.3 Objectives</w:t>
      </w:r>
    </w:p>
    <w:p>
      <w:pPr>
        <w:pStyle w:val="ListBullet"/>
      </w:pPr>
      <w:r>
        <w:t>Describe coverage and quality of price and weather records.</w:t>
      </w:r>
    </w:p>
    <w:p>
      <w:pPr>
        <w:pStyle w:val="ListBullet"/>
      </w:pPr>
      <w:r>
        <w:t>Prepare a daily dataset for eight vegetables.</w:t>
      </w:r>
    </w:p>
    <w:p>
      <w:pPr>
        <w:pStyle w:val="ListBullet"/>
      </w:pPr>
      <w:r>
        <w:t>Fit and assess statistical and machine-learning forecasts.</w:t>
      </w:r>
    </w:p>
    <w:p>
      <w:pPr>
        <w:pStyle w:val="ListBullet"/>
      </w:pPr>
      <w:r>
        <w:t>Interpret important features without causal claims.</w:t>
      </w:r>
    </w:p>
    <w:p>
      <w:pPr>
        <w:pStyle w:val="ListBullet"/>
      </w:pPr>
      <w:r>
        <w:t>Assess procurement signals and their limitations.</w:t>
      </w:r>
    </w:p>
    <w:p>
      <w:pPr>
        <w:pStyle w:val="ListBullet"/>
      </w:pPr>
      <w:r>
        <w:t>Define evidence requirements for applying the analysis to a market-specific procurement setting.</w:t>
      </w:r>
    </w:p>
    <w:p>
      <w:pPr>
        <w:pStyle w:val="ListBullet"/>
      </w:pPr>
      <w:r>
        <w:t>Recommend validation and deployment steps.</w:t>
      </w:r>
    </w:p>
    <w:p>
      <w:pPr>
        <w:pStyle w:val="Heading2"/>
      </w:pPr>
      <w:r>
        <w:t>1.4 Research questions</w:t>
      </w:r>
    </w:p>
    <w:p>
      <w:pPr>
        <w:pStyle w:val="ListNumber"/>
      </w:pPr>
      <w:r>
        <w:t>What coverage is available for the selected Tamil Nadu commodities?</w:t>
      </w:r>
    </w:p>
    <w:p>
      <w:pPr>
        <w:pStyle w:val="ListNumber"/>
      </w:pPr>
      <w:r>
        <w:t>How did implemented models perform under recorded procedures?</w:t>
      </w:r>
    </w:p>
    <w:p>
      <w:pPr>
        <w:pStyle w:val="ListNumber"/>
      </w:pPr>
      <w:r>
        <w:t>Which inputs contributed most to fitted predictions?</w:t>
      </w:r>
    </w:p>
    <w:p>
      <w:pPr>
        <w:pStyle w:val="ListNumber"/>
      </w:pPr>
      <w:r>
        <w:t>What procurement signals did the decision layer produce?</w:t>
      </w:r>
    </w:p>
    <w:p>
      <w:pPr>
        <w:pStyle w:val="ListNumber"/>
      </w:pPr>
      <w:r>
        <w:t>Can the Koyambedu extract support wholesale advice?</w:t>
      </w:r>
    </w:p>
    <w:p>
      <w:pPr>
        <w:pStyle w:val="Heading2"/>
      </w:pPr>
      <w:r>
        <w:t>1.5 Scope and delimitations</w:t>
      </w:r>
    </w:p>
    <w:p>
      <w:pPr>
        <w:pStyle w:val="Heading2"/>
      </w:pPr>
      <w:r>
        <w:t>1.6 Significance and chapter scheme</w:t>
      </w:r>
    </w:p>
    <w:p>
      <w:r>
        <w:t>The work provides an auditable workflow, separates statewide analysis from market-specific source validation, and identifies evidence gaps before recommendations are used. Chapter 2 reviews forecasting; Chapter 3 explains data and methods; Chapter 4 presents findings; Chapter 5 concludes and recommends next steps.</w:t>
      </w:r>
    </w:p>
    <w:p>
      <w:r>
        <w:br w:type="page"/>
      </w:r>
    </w:p>
    <w:p>
      <w:pPr>
        <w:pStyle w:val="Heading1"/>
      </w:pPr>
      <w:r>
        <w:t>CHAPTER 2</w:t>
        <w:br/>
        <w:t>REVIEW OF LITERATURE</w:t>
      </w:r>
    </w:p>
    <w:p>
      <w:pPr>
        <w:pStyle w:val="Heading2"/>
      </w:pPr>
      <w:r>
        <w:t>2.1 Time-series forecasting</w:t>
      </w:r>
    </w:p>
    <w:p>
      <w:r>
        <w:t>Time-series methods estimate future values while preserving temporal order. ARIMA models represent dependence through lagged values, differencing and error terms; seasonal extensions represent repeating patterns. Box, Jenkins, Reinsel and Ljung (2015) present identification, estimation and residual diagnostics as connected steps. Forecasts should be evaluated on later observations. Hyndman and Athanasopoulos (2021) describe rolling-origin cross-validation as a way to reproduce repeated forecasts. Comparisons are strongest when models share dates, horizons and metric definitions.</w:t>
      </w:r>
    </w:p>
    <w:p>
      <w:pPr>
        <w:pStyle w:val="Heading2"/>
      </w:pPr>
      <w:r>
        <w:t>2.2 Trend, seasonal and machine-learning models</w:t>
      </w:r>
    </w:p>
    <w:p>
      <w:r>
        <w:t>Prophet represents trend, seasonality and event effects in an additive framework (Taylor and Letham, 2018); short histories may not support annual cycles. Random Forests average trees trained with resampling and randomized feature subsets (Breiman, 2001). Gradient boosting builds sequential learners to reduce residual error; XGBoost is a scalable, regularized implementation (Chen and Guestrin, 2016). Lagged prices, rolling summaries, calendar variables and weather can provide predictors, but leakage control and chronological validation remain essential.</w:t>
      </w:r>
    </w:p>
    <w:p>
      <w:pPr>
        <w:pStyle w:val="Heading2"/>
      </w:pPr>
      <w:r>
        <w:t>2.3 Explainability and decision relevance</w:t>
      </w:r>
    </w:p>
    <w:p>
      <w:r>
        <w:t>SHAP assigns feature contributions using Shapley-value principles (Lundberg and Lee, 2017). A global ranking summarizes contribution within a fitted model and sample; it does not show that changing a feature causes price movement. MAPE is interpretable but can be unstable for small actual values. MAE and RMSE provide complementary absolute-error measures. Consistent benchmark comparisons matter (Makridakis, Spiliotis and Assimakopoulos, 2018). For procurement, accuracy alone is insufficient: rules should be tested against costs, service levels, spoilage and transactions.</w:t>
      </w:r>
    </w:p>
    <w:p>
      <w:pPr>
        <w:pStyle w:val="Heading2"/>
      </w:pPr>
      <w:r>
        <w:t>2.4 Agricultural data quality and research gap</w:t>
      </w:r>
    </w:p>
    <w:p>
      <w:r>
        <w:t>Records can vary by grade, unit, market level, arrival volume, date convention and collection method. A nominal price per kilogram does not establish wholesale modal price versus retail quotation. Missingness, extreme values and market aggregation affect findings. The proposal focused on Koyambedu, whereas the available pipeline trains statewide models. This report documents the statewide outputs and defines the evidence required before applying them to a specific market. Data quality and evaluation design condition each analytical stage.</w:t>
      </w:r>
    </w:p>
    <w:p>
      <w:r>
        <w:br w:type="page"/>
      </w:r>
    </w:p>
    <w:p>
      <w:pPr>
        <w:pStyle w:val="Heading1"/>
      </w:pPr>
      <w:r>
        <w:t>CHAPTER 3</w:t>
        <w:br/>
        <w:t>RESEARCH METHODOLOGY</w:t>
      </w:r>
    </w:p>
    <w:p>
      <w:pPr>
        <w:pStyle w:val="Heading2"/>
      </w:pPr>
      <w:r>
        <w:t>3.1 Research design</w:t>
      </w:r>
    </w:p>
    <w:p>
      <w:r>
        <w:t>This quantitative observational study uses secondary data and combines descriptive analysis, forecasting, model interpretation and source assessment. The statewide modelling unit is a commodity-day after aggregation from market-level records. The study is retrospective and does not manipulate supply, weather or purchases.</w:t>
      </w:r>
    </w:p>
    <w:p>
      <w:pPr>
        <w:pStyle w:val="Heading2"/>
      </w:pPr>
      <w:r>
        <w:t>3.2 Data sources</w:t>
      </w:r>
    </w:p>
    <w:tbl>
      <w:tblPr>
        <w:tblStyle w:val="TableGrid"/>
        <w:tblW w:type="auto" w:w="0"/>
        <w:tblLook w:firstColumn="1" w:firstRow="1" w:lastColumn="0" w:lastRow="0" w:noHBand="0" w:noVBand="1" w:val="04A0"/>
      </w:tblPr>
      <w:tblGrid>
        <w:gridCol w:w="2816"/>
        <w:gridCol w:w="2816"/>
        <w:gridCol w:w="2816"/>
      </w:tblGrid>
      <w:tr>
        <w:tc>
          <w:tcPr>
            <w:tcW w:type="dxa" w:w="2816"/>
            <w:shd w:fill="D9E2F3"/>
          </w:tcPr>
          <w:p>
            <w:pPr>
              <w:spacing w:line="240" w:lineRule="auto" w:after="40"/>
            </w:pPr>
            <w:r>
              <w:rPr>
                <w:rFonts w:ascii="Times New Roman" w:hAnsi="Times New Roman"/>
                <w:sz w:val="18"/>
              </w:rPr>
              <w:t>Source</w:t>
            </w:r>
          </w:p>
        </w:tc>
        <w:tc>
          <w:tcPr>
            <w:tcW w:type="dxa" w:w="2816"/>
            <w:shd w:fill="D9E2F3"/>
          </w:tcPr>
          <w:p>
            <w:pPr>
              <w:spacing w:line="240" w:lineRule="auto" w:after="40"/>
            </w:pPr>
            <w:r>
              <w:rPr>
                <w:rFonts w:ascii="Times New Roman" w:hAnsi="Times New Roman"/>
                <w:sz w:val="18"/>
              </w:rPr>
              <w:t>Use</w:t>
            </w:r>
          </w:p>
        </w:tc>
        <w:tc>
          <w:tcPr>
            <w:tcW w:type="dxa" w:w="2816"/>
            <w:shd w:fill="D9E2F3"/>
          </w:tcPr>
          <w:p>
            <w:r>
              <w:t>Coverage</w:t>
            </w:r>
          </w:p>
        </w:tc>
      </w:tr>
      <w:tr>
        <w:tc>
          <w:tcPr>
            <w:tcW w:type="dxa" w:w="2816"/>
          </w:tcPr>
          <w:p>
            <w:pPr>
              <w:spacing w:line="240" w:lineRule="auto" w:after="40"/>
            </w:pPr>
            <w:r>
              <w:rPr>
                <w:rFonts w:ascii="Times New Roman" w:hAnsi="Times New Roman"/>
                <w:sz w:val="18"/>
              </w:rPr>
              <w:t>Kaggle-hosted Agmarknet extract</w:t>
            </w:r>
          </w:p>
        </w:tc>
        <w:tc>
          <w:tcPr>
            <w:tcW w:type="dxa" w:w="2816"/>
          </w:tcPr>
          <w:p>
            <w:pPr>
              <w:spacing w:line="240" w:lineRule="auto" w:after="40"/>
            </w:pPr>
            <w:r>
              <w:rPr>
                <w:rFonts w:ascii="Times New Roman" w:hAnsi="Times New Roman"/>
                <w:sz w:val="18"/>
              </w:rPr>
              <w:t>Tamil Nadu modelling</w:t>
            </w:r>
          </w:p>
        </w:tc>
        <w:tc>
          <w:tcPr>
            <w:tcW w:type="dxa" w:w="2816"/>
          </w:tcPr>
          <w:p>
            <w:pPr>
              <w:spacing w:line="240" w:lineRule="auto" w:after="40"/>
            </w:pPr>
            <w:r>
              <w:rPr>
                <w:rFonts w:ascii="Times New Roman" w:hAnsi="Times New Roman"/>
                <w:sz w:val="18"/>
              </w:rPr>
              <w:t>414,388 rows; 451 markets; 8 commodities; 24 Jan 2024–20 Apr 2026</w:t>
            </w:r>
          </w:p>
        </w:tc>
      </w:tr>
      <w:tr>
        <w:tc>
          <w:tcPr>
            <w:tcW w:type="dxa" w:w="2816"/>
          </w:tcPr>
          <w:p>
            <w:pPr>
              <w:spacing w:line="240" w:lineRule="auto" w:after="40"/>
            </w:pPr>
            <w:r>
              <w:rPr>
                <w:rFonts w:ascii="Times New Roman" w:hAnsi="Times New Roman"/>
                <w:sz w:val="18"/>
              </w:rPr>
              <w:t>Local Chennai weather history</w:t>
            </w:r>
          </w:p>
        </w:tc>
        <w:tc>
          <w:tcPr>
            <w:tcW w:type="dxa" w:w="2816"/>
          </w:tcPr>
          <w:p>
            <w:pPr>
              <w:spacing w:line="240" w:lineRule="auto" w:after="40"/>
            </w:pPr>
            <w:r>
              <w:rPr>
                <w:rFonts w:ascii="Times New Roman" w:hAnsi="Times New Roman"/>
                <w:sz w:val="18"/>
              </w:rPr>
              <w:t>Candidate predictors</w:t>
            </w:r>
          </w:p>
        </w:tc>
        <w:tc>
          <w:tcPr>
            <w:tcW w:type="dxa" w:w="2816"/>
          </w:tcPr>
          <w:p>
            <w:pPr>
              <w:spacing w:line="240" w:lineRule="auto" w:after="40"/>
            </w:pPr>
            <w:r>
              <w:rPr>
                <w:rFonts w:ascii="Times New Roman" w:hAnsi="Times New Roman"/>
                <w:sz w:val="18"/>
              </w:rPr>
              <w:t>1,004 daily records; 1 Jan 2024–30 Sep 2026</w:t>
            </w:r>
          </w:p>
        </w:tc>
      </w:tr>
    </w:tbl>
    <w:p>
      <w:r>
        <w:t>The Kaggle-hosted file is treated as a secondary compilation. Upstream collection and transformations before local use were not independently certified.</w:t>
      </w:r>
    </w:p>
    <w:p>
      <w:pPr>
        <w:pStyle w:val="Heading2"/>
      </w:pPr>
      <w:r>
        <w:t>3.3 Variables and preparation</w:t>
      </w:r>
    </w:p>
    <w:p>
      <w:r>
        <w:t>Eight vegetables are included: Beans, Brinjal, Cabbage, Carrot, Drumstick, Onion, Potato and Tomato. The engineered dataset has 4,041 rows and 62 columns, including historical price lags, rolling summaries, calendar indicators and weather fields. The pipeline filters to Tamil Nadu and selected commodities, standardizes dates and numeric values, aggregates to daily commodity values and constructs predictors. The feature script removes values above ₹100,000; this is a code threshold, not a market-validated boundary, and should be reviewed against units and original rows.</w:t>
      </w:r>
    </w:p>
    <w:p>
      <w:r>
        <w:t>EDA flags 34 Tomato observations as rolling-z outliers. A market-level value of ₹404,000 on 8 July 2024 appears in the summary. It is a quality flag requiring review of source row, unit, market and price field, not a representative price.</w:t>
      </w:r>
    </w:p>
    <w:p>
      <w:pPr>
        <w:pStyle w:val="Heading2"/>
      </w:pPr>
      <w:r>
        <w:t>3.4 Models and evaluation</w:t>
      </w:r>
    </w:p>
    <w:p>
      <w:r>
        <w:t>The implementation includes seasonal ARIMA, Prophet, Random Forest and XGBoost. Statistical models forecast commodity series; tree models use engineered predictors. The saved summaries record static 90-day MAPE for SARIMA and Prophet, seven-day-block walk-forward SARIMA, and expanding 30-day blocks within a 90-day window for tree models. Because designs differ, results are not a controlled ranking. Statistical runs emitted convergence warnings. Augmented Dickey-Fuller calls failed because code expected two returned values; no stationarity conclusion is drawn.</w:t>
      </w:r>
    </w:p>
    <w:p>
      <w:pPr>
        <w:pStyle w:val="Heading2"/>
      </w:pPr>
      <w:r>
        <w:t>3.5 Interpretation and decision layer</w:t>
      </w:r>
    </w:p>
    <w:p>
      <w:r>
        <w:t>SHAP summarizes feature contribution. The rule layer maps direction and risk to action. It returned HOLD for all eight commodities on 20 April 2026. Savings fields are heuristic and have not been validated against actual purchases; this report estimates no realized savings.</w:t>
      </w:r>
    </w:p>
    <w:p>
      <w:pPr>
        <w:pStyle w:val="Heading2"/>
      </w:pPr>
      <w:r>
        <w:t>3.6 Market-specific scope</w:t>
      </w:r>
    </w:p>
    <w:p>
      <w:r>
        <w:t>The Koyambedu price history is kept separate from the Tamil Nadu model dataset. The available analysis does not establish it as a validated wholesale-price series, so it is not used for model training or performance claims.</w:t>
      </w:r>
    </w:p>
    <w:p>
      <w:pPr>
        <w:pStyle w:val="Heading2"/>
      </w:pPr>
      <w:r>
        <w:t>3.7 Ethics and academic practice</w:t>
      </w:r>
    </w:p>
    <w:p>
      <w:r>
        <w:t>This report identifies secondary evidence and limitations, distinguishes results from interpretation and cites methodological sources. No individual data were used. The project guide should confirm title, certificate and reference-format details before submission.</w:t>
      </w:r>
    </w:p>
    <w:p>
      <w:r>
        <w:br w:type="page"/>
      </w:r>
    </w:p>
    <w:p>
      <w:pPr>
        <w:pStyle w:val="Heading1"/>
      </w:pPr>
      <w:r>
        <w:t>CHAPTER 4</w:t>
        <w:br/>
        <w:t>ANALYSIS AND FINDINGS</w:t>
      </w:r>
    </w:p>
    <w:p>
      <w:pPr>
        <w:pStyle w:val="Heading2"/>
      </w:pPr>
      <w:r>
        <w:t>4.1 Data profile</w:t>
      </w:r>
    </w:p>
    <w:tbl>
      <w:tblPr>
        <w:tblStyle w:val="TableGrid"/>
        <w:tblW w:type="auto" w:w="0"/>
        <w:tblLook w:firstColumn="1" w:firstRow="1" w:lastColumn="0" w:lastRow="0" w:noHBand="0" w:noVBand="1" w:val="04A0"/>
      </w:tblPr>
      <w:tblGrid>
        <w:gridCol w:w="4224"/>
        <w:gridCol w:w="4224"/>
      </w:tblGrid>
      <w:tr>
        <w:tc>
          <w:tcPr>
            <w:tcW w:type="dxa" w:w="4224"/>
            <w:shd w:fill="D9E2F3"/>
          </w:tcPr>
          <w:p>
            <w:pPr>
              <w:spacing w:line="240" w:lineRule="auto" w:after="40"/>
            </w:pPr>
            <w:r>
              <w:rPr>
                <w:rFonts w:ascii="Times New Roman" w:hAnsi="Times New Roman"/>
                <w:sz w:val="18"/>
              </w:rPr>
              <w:t>Measure</w:t>
            </w:r>
          </w:p>
        </w:tc>
        <w:tc>
          <w:tcPr>
            <w:tcW w:type="dxa" w:w="4224"/>
            <w:shd w:fill="D9E2F3"/>
          </w:tcPr>
          <w:p>
            <w:pPr>
              <w:spacing w:line="240" w:lineRule="auto" w:after="40"/>
            </w:pPr>
            <w:r>
              <w:rPr>
                <w:rFonts w:ascii="Times New Roman" w:hAnsi="Times New Roman"/>
                <w:sz w:val="18"/>
              </w:rPr>
              <w:t>Finding</w:t>
            </w:r>
          </w:p>
        </w:tc>
      </w:tr>
      <w:tr>
        <w:tc>
          <w:tcPr>
            <w:tcW w:type="dxa" w:w="4224"/>
          </w:tcPr>
          <w:p>
            <w:pPr>
              <w:spacing w:line="240" w:lineRule="auto" w:after="40"/>
            </w:pPr>
            <w:r>
              <w:rPr>
                <w:rFonts w:ascii="Times New Roman" w:hAnsi="Times New Roman"/>
                <w:sz w:val="18"/>
              </w:rPr>
              <w:t>Tamil Nadu source rows</w:t>
            </w:r>
          </w:p>
        </w:tc>
        <w:tc>
          <w:tcPr>
            <w:tcW w:type="dxa" w:w="4224"/>
          </w:tcPr>
          <w:p>
            <w:pPr>
              <w:spacing w:line="240" w:lineRule="auto" w:after="40"/>
            </w:pPr>
            <w:r>
              <w:rPr>
                <w:rFonts w:ascii="Times New Roman" w:hAnsi="Times New Roman"/>
                <w:sz w:val="18"/>
              </w:rPr>
              <w:t>414,388</w:t>
            </w:r>
          </w:p>
        </w:tc>
      </w:tr>
      <w:tr>
        <w:tc>
          <w:tcPr>
            <w:tcW w:type="dxa" w:w="4224"/>
          </w:tcPr>
          <w:p>
            <w:pPr>
              <w:spacing w:line="240" w:lineRule="auto" w:after="40"/>
            </w:pPr>
            <w:r>
              <w:rPr>
                <w:rFonts w:ascii="Times New Roman" w:hAnsi="Times New Roman"/>
                <w:sz w:val="18"/>
              </w:rPr>
              <w:t>Markets</w:t>
            </w:r>
          </w:p>
        </w:tc>
        <w:tc>
          <w:tcPr>
            <w:tcW w:type="dxa" w:w="4224"/>
          </w:tcPr>
          <w:p>
            <w:pPr>
              <w:spacing w:line="240" w:lineRule="auto" w:after="40"/>
            </w:pPr>
            <w:r>
              <w:rPr>
                <w:rFonts w:ascii="Times New Roman" w:hAnsi="Times New Roman"/>
                <w:sz w:val="18"/>
              </w:rPr>
              <w:t>451</w:t>
            </w:r>
          </w:p>
        </w:tc>
      </w:tr>
      <w:tr>
        <w:tc>
          <w:tcPr>
            <w:tcW w:type="dxa" w:w="4224"/>
          </w:tcPr>
          <w:p>
            <w:pPr>
              <w:spacing w:line="240" w:lineRule="auto" w:after="40"/>
            </w:pPr>
            <w:r>
              <w:rPr>
                <w:rFonts w:ascii="Times New Roman" w:hAnsi="Times New Roman"/>
                <w:sz w:val="18"/>
              </w:rPr>
              <w:t>Commodities</w:t>
            </w:r>
          </w:p>
        </w:tc>
        <w:tc>
          <w:tcPr>
            <w:tcW w:type="dxa" w:w="4224"/>
          </w:tcPr>
          <w:p>
            <w:pPr>
              <w:spacing w:line="240" w:lineRule="auto" w:after="40"/>
            </w:pPr>
            <w:r>
              <w:rPr>
                <w:rFonts w:ascii="Times New Roman" w:hAnsi="Times New Roman"/>
                <w:sz w:val="18"/>
              </w:rPr>
              <w:t>8</w:t>
            </w:r>
          </w:p>
        </w:tc>
      </w:tr>
      <w:tr>
        <w:tc>
          <w:tcPr>
            <w:tcW w:type="dxa" w:w="4224"/>
          </w:tcPr>
          <w:p>
            <w:pPr>
              <w:spacing w:line="240" w:lineRule="auto" w:after="40"/>
            </w:pPr>
            <w:r>
              <w:rPr>
                <w:rFonts w:ascii="Times New Roman" w:hAnsi="Times New Roman"/>
                <w:sz w:val="18"/>
              </w:rPr>
              <w:t>Raw period</w:t>
            </w:r>
          </w:p>
        </w:tc>
        <w:tc>
          <w:tcPr>
            <w:tcW w:type="dxa" w:w="4224"/>
          </w:tcPr>
          <w:p>
            <w:pPr>
              <w:spacing w:line="240" w:lineRule="auto" w:after="40"/>
            </w:pPr>
            <w:r>
              <w:rPr>
                <w:rFonts w:ascii="Times New Roman" w:hAnsi="Times New Roman"/>
                <w:sz w:val="18"/>
              </w:rPr>
              <w:t>24 Jan 2024–20 Apr 2026</w:t>
            </w:r>
          </w:p>
        </w:tc>
      </w:tr>
      <w:tr>
        <w:tc>
          <w:tcPr>
            <w:tcW w:type="dxa" w:w="4224"/>
          </w:tcPr>
          <w:p>
            <w:pPr>
              <w:spacing w:line="240" w:lineRule="auto" w:after="40"/>
            </w:pPr>
            <w:r>
              <w:rPr>
                <w:rFonts w:ascii="Times New Roman" w:hAnsi="Times New Roman"/>
                <w:sz w:val="18"/>
              </w:rPr>
              <w:t>Feature table</w:t>
            </w:r>
          </w:p>
        </w:tc>
        <w:tc>
          <w:tcPr>
            <w:tcW w:type="dxa" w:w="4224"/>
          </w:tcPr>
          <w:p>
            <w:pPr>
              <w:spacing w:line="240" w:lineRule="auto" w:after="40"/>
            </w:pPr>
            <w:r>
              <w:rPr>
                <w:rFonts w:ascii="Times New Roman" w:hAnsi="Times New Roman"/>
                <w:sz w:val="18"/>
              </w:rPr>
              <w:t>4,041 rows × 62 columns</w:t>
            </w:r>
          </w:p>
        </w:tc>
      </w:tr>
      <w:tr>
        <w:tc>
          <w:tcPr>
            <w:tcW w:type="dxa" w:w="4224"/>
          </w:tcPr>
          <w:p>
            <w:pPr>
              <w:spacing w:line="240" w:lineRule="auto" w:after="40"/>
            </w:pPr>
            <w:r>
              <w:rPr>
                <w:rFonts w:ascii="Times New Roman" w:hAnsi="Times New Roman"/>
                <w:sz w:val="18"/>
              </w:rPr>
              <w:t>Weather history</w:t>
            </w:r>
          </w:p>
        </w:tc>
        <w:tc>
          <w:tcPr>
            <w:tcW w:type="dxa" w:w="4224"/>
          </w:tcPr>
          <w:p>
            <w:pPr>
              <w:spacing w:line="240" w:lineRule="auto" w:after="40"/>
            </w:pPr>
            <w:r>
              <w:rPr>
                <w:rFonts w:ascii="Times New Roman" w:hAnsi="Times New Roman"/>
                <w:sz w:val="18"/>
              </w:rPr>
              <w:t>1,004 daily records, Jan–Sep 2026</w:t>
            </w:r>
          </w:p>
        </w:tc>
      </w:tr>
    </w:tbl>
    <w:p>
      <w:r>
        <w:t>The daily feature table is smaller than the raw market-level file because observations are consolidated by commodity and date. Statewide aggregation may smooth local differences and cannot be interpreted as the daily Koyambedu price.</w:t>
      </w:r>
    </w:p>
    <w:p>
      <w:pPr>
        <w:pStyle w:val="Heading2"/>
      </w:pPr>
      <w:r>
        <w:t>4.2 Forecast results</w:t>
      </w:r>
    </w:p>
    <w:tbl>
      <w:tblPr>
        <w:tblStyle w:val="TableGrid"/>
        <w:tblW w:type="auto" w:w="0"/>
        <w:tblLook w:firstColumn="1" w:firstRow="1" w:lastColumn="0" w:lastRow="0" w:noHBand="0" w:noVBand="1" w:val="04A0"/>
      </w:tblPr>
      <w:tblGrid>
        <w:gridCol w:w="2816"/>
        <w:gridCol w:w="2816"/>
        <w:gridCol w:w="2816"/>
      </w:tblGrid>
      <w:tr>
        <w:tc>
          <w:tcPr>
            <w:tcW w:type="dxa" w:w="2816"/>
            <w:shd w:fill="D9E2F3"/>
          </w:tcPr>
          <w:p>
            <w:pPr>
              <w:spacing w:line="240" w:lineRule="auto" w:after="40"/>
            </w:pPr>
            <w:r>
              <w:rPr>
                <w:rFonts w:ascii="Times New Roman" w:hAnsi="Times New Roman"/>
                <w:sz w:val="18"/>
              </w:rPr>
              <w:t>Model / evaluation</w:t>
            </w:r>
          </w:p>
        </w:tc>
        <w:tc>
          <w:tcPr>
            <w:tcW w:type="dxa" w:w="2816"/>
            <w:shd w:fill="D9E2F3"/>
          </w:tcPr>
          <w:p>
            <w:pPr>
              <w:spacing w:line="240" w:lineRule="auto" w:after="40"/>
            </w:pPr>
            <w:r>
              <w:rPr>
                <w:rFonts w:ascii="Times New Roman" w:hAnsi="Times New Roman"/>
                <w:sz w:val="18"/>
              </w:rPr>
              <w:t>Mean MAPE</w:t>
            </w:r>
          </w:p>
        </w:tc>
        <w:tc>
          <w:tcPr>
            <w:tcW w:type="dxa" w:w="2816"/>
            <w:shd w:fill="D9E2F3"/>
          </w:tcPr>
          <w:p>
            <w:pPr>
              <w:spacing w:line="240" w:lineRule="auto" w:after="40"/>
            </w:pPr>
            <w:r>
              <w:rPr>
                <w:rFonts w:ascii="Times New Roman" w:hAnsi="Times New Roman"/>
                <w:sz w:val="18"/>
              </w:rPr>
              <w:t>Interpretation</w:t>
            </w:r>
          </w:p>
        </w:tc>
      </w:tr>
      <w:tr>
        <w:tc>
          <w:tcPr>
            <w:tcW w:type="dxa" w:w="2816"/>
          </w:tcPr>
          <w:p>
            <w:pPr>
              <w:spacing w:line="240" w:lineRule="auto" w:after="40"/>
            </w:pPr>
            <w:r>
              <w:rPr>
                <w:rFonts w:ascii="Times New Roman" w:hAnsi="Times New Roman"/>
                <w:sz w:val="18"/>
              </w:rPr>
              <w:t>SARIMA, static 90-day</w:t>
            </w:r>
          </w:p>
        </w:tc>
        <w:tc>
          <w:tcPr>
            <w:tcW w:type="dxa" w:w="2816"/>
          </w:tcPr>
          <w:p>
            <w:pPr>
              <w:spacing w:line="240" w:lineRule="auto" w:after="40"/>
            </w:pPr>
            <w:r>
              <w:rPr>
                <w:rFonts w:ascii="Times New Roman" w:hAnsi="Times New Roman"/>
                <w:sz w:val="18"/>
              </w:rPr>
              <w:t>33.60%</w:t>
            </w:r>
          </w:p>
        </w:tc>
        <w:tc>
          <w:tcPr>
            <w:tcW w:type="dxa" w:w="2816"/>
          </w:tcPr>
          <w:p>
            <w:pPr>
              <w:spacing w:line="240" w:lineRule="auto" w:after="40"/>
            </w:pPr>
            <w:r>
              <w:rPr>
                <w:rFonts w:ascii="Times New Roman" w:hAnsi="Times New Roman"/>
                <w:sz w:val="18"/>
              </w:rPr>
              <w:t>Baseline; convergence warnings</w:t>
            </w:r>
          </w:p>
        </w:tc>
      </w:tr>
      <w:tr>
        <w:tc>
          <w:tcPr>
            <w:tcW w:type="dxa" w:w="2816"/>
          </w:tcPr>
          <w:p>
            <w:pPr>
              <w:spacing w:line="240" w:lineRule="auto" w:after="40"/>
            </w:pPr>
            <w:r>
              <w:rPr>
                <w:rFonts w:ascii="Times New Roman" w:hAnsi="Times New Roman"/>
                <w:sz w:val="18"/>
              </w:rPr>
              <w:t>SARIMA, 7-day walk-forward</w:t>
            </w:r>
          </w:p>
        </w:tc>
        <w:tc>
          <w:tcPr>
            <w:tcW w:type="dxa" w:w="2816"/>
          </w:tcPr>
          <w:p>
            <w:pPr>
              <w:spacing w:line="240" w:lineRule="auto" w:after="40"/>
            </w:pPr>
            <w:r>
              <w:rPr>
                <w:rFonts w:ascii="Times New Roman" w:hAnsi="Times New Roman"/>
                <w:sz w:val="18"/>
              </w:rPr>
              <w:t>10.77%</w:t>
            </w:r>
          </w:p>
        </w:tc>
        <w:tc>
          <w:tcPr>
            <w:tcW w:type="dxa" w:w="2816"/>
          </w:tcPr>
          <w:p>
            <w:pPr>
              <w:spacing w:line="240" w:lineRule="auto" w:after="40"/>
            </w:pPr>
            <w:r>
              <w:rPr>
                <w:rFonts w:ascii="Times New Roman" w:hAnsi="Times New Roman"/>
                <w:sz w:val="18"/>
              </w:rPr>
              <w:t>Different design</w:t>
            </w:r>
          </w:p>
        </w:tc>
      </w:tr>
      <w:tr>
        <w:tc>
          <w:tcPr>
            <w:tcW w:type="dxa" w:w="2816"/>
          </w:tcPr>
          <w:p>
            <w:pPr>
              <w:spacing w:line="240" w:lineRule="auto" w:after="40"/>
            </w:pPr>
            <w:r>
              <w:rPr>
                <w:rFonts w:ascii="Times New Roman" w:hAnsi="Times New Roman"/>
                <w:sz w:val="18"/>
              </w:rPr>
              <w:t>Prophet, static 90-day</w:t>
            </w:r>
          </w:p>
        </w:tc>
        <w:tc>
          <w:tcPr>
            <w:tcW w:type="dxa" w:w="2816"/>
          </w:tcPr>
          <w:p>
            <w:pPr>
              <w:spacing w:line="240" w:lineRule="auto" w:after="40"/>
            </w:pPr>
            <w:r>
              <w:rPr>
                <w:rFonts w:ascii="Times New Roman" w:hAnsi="Times New Roman"/>
                <w:sz w:val="18"/>
              </w:rPr>
              <w:t>18.77%</w:t>
            </w:r>
          </w:p>
        </w:tc>
        <w:tc>
          <w:tcPr>
            <w:tcW w:type="dxa" w:w="2816"/>
          </w:tcPr>
          <w:p>
            <w:pPr>
              <w:spacing w:line="240" w:lineRule="auto" w:after="40"/>
            </w:pPr>
            <w:r>
              <w:rPr>
                <w:rFonts w:ascii="Times New Roman" w:hAnsi="Times New Roman"/>
                <w:sz w:val="18"/>
              </w:rPr>
              <w:t>Annual-seasonality warning</w:t>
            </w:r>
          </w:p>
        </w:tc>
      </w:tr>
      <w:tr>
        <w:tc>
          <w:tcPr>
            <w:tcW w:type="dxa" w:w="2816"/>
          </w:tcPr>
          <w:p>
            <w:pPr>
              <w:spacing w:line="240" w:lineRule="auto" w:after="40"/>
            </w:pPr>
            <w:r>
              <w:rPr>
                <w:rFonts w:ascii="Times New Roman" w:hAnsi="Times New Roman"/>
                <w:sz w:val="18"/>
              </w:rPr>
              <w:t>Random Forest, expanding 30-day blocks</w:t>
            </w:r>
          </w:p>
        </w:tc>
        <w:tc>
          <w:tcPr>
            <w:tcW w:type="dxa" w:w="2816"/>
          </w:tcPr>
          <w:p>
            <w:pPr>
              <w:spacing w:line="240" w:lineRule="auto" w:after="40"/>
            </w:pPr>
            <w:r>
              <w:rPr>
                <w:rFonts w:ascii="Times New Roman" w:hAnsi="Times New Roman"/>
                <w:sz w:val="18"/>
              </w:rPr>
              <w:t>8.72%</w:t>
            </w:r>
          </w:p>
        </w:tc>
        <w:tc>
          <w:tcPr>
            <w:tcW w:type="dxa" w:w="2816"/>
          </w:tcPr>
          <w:p>
            <w:pPr>
              <w:spacing w:line="240" w:lineRule="auto" w:after="40"/>
            </w:pPr>
            <w:r>
              <w:rPr>
                <w:rFonts w:ascii="Times New Roman" w:hAnsi="Times New Roman"/>
                <w:sz w:val="18"/>
              </w:rPr>
              <w:t>Tree-model summary</w:t>
            </w:r>
          </w:p>
        </w:tc>
      </w:tr>
      <w:tr>
        <w:tc>
          <w:tcPr>
            <w:tcW w:type="dxa" w:w="2816"/>
          </w:tcPr>
          <w:p>
            <w:pPr>
              <w:spacing w:line="240" w:lineRule="auto" w:after="40"/>
            </w:pPr>
            <w:r>
              <w:rPr>
                <w:rFonts w:ascii="Times New Roman" w:hAnsi="Times New Roman"/>
                <w:sz w:val="18"/>
              </w:rPr>
              <w:t>XGBoost, expanding 30-day blocks</w:t>
            </w:r>
          </w:p>
        </w:tc>
        <w:tc>
          <w:tcPr>
            <w:tcW w:type="dxa" w:w="2816"/>
          </w:tcPr>
          <w:p>
            <w:pPr>
              <w:spacing w:line="240" w:lineRule="auto" w:after="40"/>
            </w:pPr>
            <w:r>
              <w:rPr>
                <w:rFonts w:ascii="Times New Roman" w:hAnsi="Times New Roman"/>
                <w:sz w:val="18"/>
              </w:rPr>
              <w:t>6.40%</w:t>
            </w:r>
          </w:p>
        </w:tc>
        <w:tc>
          <w:tcPr>
            <w:tcW w:type="dxa" w:w="2816"/>
          </w:tcPr>
          <w:p>
            <w:pPr>
              <w:spacing w:line="240" w:lineRule="auto" w:after="40"/>
            </w:pPr>
            <w:r>
              <w:rPr>
                <w:rFonts w:ascii="Times New Roman" w:hAnsi="Times New Roman"/>
                <w:sz w:val="18"/>
              </w:rPr>
              <w:t>Lowest recorded mean under its protocol</w:t>
            </w:r>
          </w:p>
        </w:tc>
      </w:tr>
    </w:tbl>
    <w:p>
      <w:r>
        <w:t>XGBoost has the lowest recorded mean among these summaries and lower MAPE than Random Forest for six commodities; Random Forest is better for Beans and Onion. This is preliminary, not a production-model selection. Different designs and short history prevent a fair ranking. The distinct SARIMA scores also illustrate sensitivity to evaluation method.</w:t>
      </w:r>
    </w:p>
    <w:p>
      <w:pPr>
        <w:pStyle w:val="Heading2"/>
      </w:pPr>
      <w:r>
        <w:t>4.3 Diagnostics and SHAP</w:t>
      </w:r>
    </w:p>
    <w:p>
      <w:r>
        <w:t>The Augmented Dickey-Fuller diagnostic failed because of a return-value unpacking error. No stationarity classifications are reported. SARIMA had convergence warnings, and Prophet warned about annual seasonality with short series. The 52-week relative-price-position feature ranked first in SHAP for all commodities. It shows model reliance on recent price context, not causation; correlated predictors can affect rankings.</w:t>
      </w:r>
    </w:p>
    <w:p>
      <w:pPr>
        <w:pStyle w:val="Heading2"/>
      </w:pPr>
      <w:r>
        <w:t>4.4 Procurement outputs</w:t>
      </w:r>
    </w:p>
    <w:tbl>
      <w:tblPr>
        <w:tblStyle w:val="TableGrid"/>
        <w:tblW w:type="auto" w:w="0"/>
        <w:tblLook w:firstColumn="1" w:firstRow="1" w:lastColumn="0" w:lastRow="0" w:noHBand="0" w:noVBand="1" w:val="04A0"/>
      </w:tblPr>
      <w:tblGrid>
        <w:gridCol w:w="2816"/>
        <w:gridCol w:w="2816"/>
        <w:gridCol w:w="2816"/>
      </w:tblGrid>
      <w:tr>
        <w:tc>
          <w:tcPr>
            <w:tcW w:type="dxa" w:w="2816"/>
            <w:shd w:fill="D9E2F3"/>
          </w:tcPr>
          <w:p>
            <w:pPr>
              <w:spacing w:line="240" w:lineRule="auto" w:after="40"/>
            </w:pPr>
            <w:r>
              <w:rPr>
                <w:rFonts w:ascii="Times New Roman" w:hAnsi="Times New Roman"/>
                <w:sz w:val="18"/>
              </w:rPr>
              <w:t>Commodity</w:t>
            </w:r>
          </w:p>
        </w:tc>
        <w:tc>
          <w:tcPr>
            <w:tcW w:type="dxa" w:w="2816"/>
            <w:shd w:fill="D9E2F3"/>
          </w:tcPr>
          <w:p>
            <w:pPr>
              <w:spacing w:line="240" w:lineRule="auto" w:after="40"/>
            </w:pPr>
            <w:r>
              <w:rPr>
                <w:rFonts w:ascii="Times New Roman" w:hAnsi="Times New Roman"/>
                <w:sz w:val="18"/>
              </w:rPr>
              <w:t>Action at latest date</w:t>
            </w:r>
          </w:p>
        </w:tc>
        <w:tc>
          <w:tcPr>
            <w:tcW w:type="dxa" w:w="2816"/>
            <w:shd w:fill="D9E2F3"/>
          </w:tcPr>
          <w:p>
            <w:pPr>
              <w:spacing w:line="240" w:lineRule="auto" w:after="40"/>
            </w:pPr>
            <w:r>
              <w:rPr>
                <w:rFonts w:ascii="Times New Roman" w:hAnsi="Times New Roman"/>
                <w:sz w:val="18"/>
              </w:rPr>
              <w:t>Risk</w:t>
            </w:r>
          </w:p>
        </w:tc>
      </w:tr>
      <w:tr>
        <w:tc>
          <w:tcPr>
            <w:tcW w:type="dxa" w:w="2816"/>
          </w:tcPr>
          <w:p>
            <w:pPr>
              <w:spacing w:line="240" w:lineRule="auto" w:after="40"/>
            </w:pPr>
            <w:r>
              <w:rPr>
                <w:rFonts w:ascii="Times New Roman" w:hAnsi="Times New Roman"/>
                <w:sz w:val="18"/>
              </w:rPr>
              <w:t>Beans</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Medium</w:t>
            </w:r>
          </w:p>
        </w:tc>
      </w:tr>
      <w:tr>
        <w:tc>
          <w:tcPr>
            <w:tcW w:type="dxa" w:w="2816"/>
          </w:tcPr>
          <w:p>
            <w:pPr>
              <w:spacing w:line="240" w:lineRule="auto" w:after="40"/>
            </w:pPr>
            <w:r>
              <w:rPr>
                <w:rFonts w:ascii="Times New Roman" w:hAnsi="Times New Roman"/>
                <w:sz w:val="18"/>
              </w:rPr>
              <w:t>Brinjal</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Cabbage</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Carrot</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Drumstick</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Onion</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Potato</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Low</w:t>
            </w:r>
          </w:p>
        </w:tc>
      </w:tr>
      <w:tr>
        <w:tc>
          <w:tcPr>
            <w:tcW w:type="dxa" w:w="2816"/>
          </w:tcPr>
          <w:p>
            <w:pPr>
              <w:spacing w:line="240" w:lineRule="auto" w:after="40"/>
            </w:pPr>
            <w:r>
              <w:rPr>
                <w:rFonts w:ascii="Times New Roman" w:hAnsi="Times New Roman"/>
                <w:sz w:val="18"/>
              </w:rPr>
              <w:t>Tomato</w:t>
            </w:r>
          </w:p>
        </w:tc>
        <w:tc>
          <w:tcPr>
            <w:tcW w:type="dxa" w:w="2816"/>
          </w:tcPr>
          <w:p>
            <w:pPr>
              <w:spacing w:line="240" w:lineRule="auto" w:after="40"/>
            </w:pPr>
            <w:r>
              <w:rPr>
                <w:rFonts w:ascii="Times New Roman" w:hAnsi="Times New Roman"/>
                <w:sz w:val="18"/>
              </w:rPr>
              <w:t>HOLD</w:t>
            </w:r>
          </w:p>
        </w:tc>
        <w:tc>
          <w:tcPr>
            <w:tcW w:type="dxa" w:w="2816"/>
          </w:tcPr>
          <w:p>
            <w:pPr>
              <w:spacing w:line="240" w:lineRule="auto" w:after="40"/>
            </w:pPr>
            <w:r>
              <w:rPr>
                <w:rFonts w:ascii="Times New Roman" w:hAnsi="Times New Roman"/>
                <w:sz w:val="18"/>
              </w:rPr>
              <w:t>Medium</w:t>
            </w:r>
          </w:p>
        </w:tc>
      </w:tr>
    </w:tbl>
    <w:p>
      <w:r>
        <w:t>The latest system date is 20 April 2026. For Tomato, the agent summary records an approximately 34.4% seven-day descriptive move while its short forecast is nearly flat. The saved recommendation conflicts between split-purchase timing and normal-replenishment quantity. Treat these as monitoring aids; no cost savings or inventory outcomes were measured.</w:t>
      </w:r>
    </w:p>
    <w:p>
      <w:pPr>
        <w:pStyle w:val="Heading2"/>
      </w:pPr>
      <w:r>
        <w:t>4.5 Market-specific interpretation</w:t>
      </w:r>
    </w:p>
    <w:p>
      <w:pPr>
        <w:pStyle w:val="Heading2"/>
      </w:pPr>
      <w:r>
        <w:t>4.6 Findings against research questions</w:t>
      </w:r>
    </w:p>
    <w:p>
      <w:r>
        <w:t>Statewide coverage supports exploratory modelling. Model scores are promising within their own protocols but need harmonised comparison. Historical price position leads SHAP rankings. Latest actions are HOLD and have not been tested against buyer outcomes. Market-specific use requires a verified source definition and evaluation before wholesale advice is considered.</w:t>
      </w:r>
    </w:p>
    <w:p>
      <w:r>
        <w:br w:type="page"/>
      </w:r>
    </w:p>
    <w:p>
      <w:pPr>
        <w:pStyle w:val="Heading1"/>
      </w:pPr>
      <w:r>
        <w:t>CHAPTER 5</w:t>
        <w:br/>
        <w:t>CONCLUSIONS AND RECOMMENDATIONS</w:t>
      </w:r>
    </w:p>
    <w:p>
      <w:pPr>
        <w:pStyle w:val="Heading2"/>
      </w:pPr>
      <w:r>
        <w:t>5.1 Conclusion</w:t>
      </w:r>
    </w:p>
    <w:p>
      <w:r>
        <w:t>The project assembled a workflow for short-term vegetable price monitoring across Tamil Nadu and assessed relevance to a Koyambedu procurement application. The secondary statewide dataset covers 414,388 observations from 451 markets for eight commodities between January 2024 and April 2026. Forecasting scripts, feature engineering, model interpretation and a rule-based action layer are implemented. Tree-model results show lower recorded mean MAPE than static baseline summaries under their respective procedures, but differing protocols prevent definitive model selection.</w:t>
      </w:r>
    </w:p>
    <w:p>
      <w:pPr>
        <w:pStyle w:val="Heading2"/>
      </w:pPr>
      <w:r>
        <w:t>5.2 Recommendations</w:t>
      </w:r>
    </w:p>
    <w:p>
      <w:pPr>
        <w:pStyle w:val="ListNumber"/>
      </w:pPr>
      <w:r>
        <w:t>Document source provenance, licence, field meanings, price type and unit; retain raw data and a data dictionary.</w:t>
      </w:r>
    </w:p>
    <w:p>
      <w:pPr>
        <w:pStyle w:val="ListNumber"/>
      </w:pPr>
      <w:r>
        <w:t>Compare every model with common rolling origins, dates, horizons and metrics; report per-commodity MAE, RMSE and MAPE with prediction intervals.</w:t>
      </w:r>
    </w:p>
    <w:p>
      <w:pPr>
        <w:pStyle w:val="ListNumber"/>
      </w:pPr>
      <w:r>
        <w:t>Fix ADF return handling; inspect SARIMA convergence and Prophet seasonality before conclusions.</w:t>
      </w:r>
    </w:p>
    <w:p>
      <w:pPr>
        <w:pStyle w:val="ListNumber"/>
      </w:pPr>
      <w:r>
        <w:t>Review the ₹100,000 exclusion against original units and market rows; preserve and log flagged records.</w:t>
      </w:r>
    </w:p>
    <w:p>
      <w:pPr>
        <w:pStyle w:val="ListNumber"/>
      </w:pPr>
      <w:r>
        <w:t>Verify Koyambedu provider, market definition, grade, quote type, date/time, unit and collection method; compare synchronized prices prospectively with a wholesale reference.</w:t>
      </w:r>
    </w:p>
    <w:p>
      <w:pPr>
        <w:pStyle w:val="ListNumber"/>
      </w:pPr>
      <w:r>
        <w:t>Resolve conflicting procurement timing and quantity text. Display source date, horizon, expected range, uncertainty and rule.</w:t>
      </w:r>
    </w:p>
    <w:p>
      <w:pPr>
        <w:pStyle w:val="ListNumber"/>
      </w:pPr>
      <w:r>
        <w:t>Run a prospective buyer pilot recording purchase time, quantity, grade, invoice price, transport, spoilage and stockouts; define a baseline before estimating savings.</w:t>
      </w:r>
    </w:p>
    <w:p>
      <w:pPr>
        <w:pStyle w:val="ListNumber"/>
      </w:pPr>
      <w:r>
        <w:t>Monitor missing dates, unit changes, market coverage shifts and outliers; revalidate as data arrive.</w:t>
      </w:r>
    </w:p>
    <w:p>
      <w:pPr>
        <w:pStyle w:val="Heading2"/>
      </w:pPr>
      <w:r>
        <w:t>5.3 Limitations</w:t>
      </w:r>
    </w:p>
    <w:p>
      <w:pPr>
        <w:pStyle w:val="ListBullet"/>
      </w:pPr>
      <w:r>
        <w:t>Statewide aggregated data do not represent verified Koyambedu transactions.</w:t>
      </w:r>
    </w:p>
    <w:p>
      <w:pPr>
        <w:pStyle w:val="ListBullet"/>
      </w:pPr>
      <w:r>
        <w:t>Upstream collection of the secondary Agmarknet compilation was not independently audited.</w:t>
      </w:r>
    </w:p>
    <w:p>
      <w:pPr>
        <w:pStyle w:val="ListBullet"/>
      </w:pPr>
      <w:r>
        <w:t>Short history limits annual seasonality and rare-shock inference.</w:t>
      </w:r>
    </w:p>
    <w:p>
      <w:pPr>
        <w:pStyle w:val="ListBullet"/>
      </w:pPr>
      <w:r>
        <w:t>Evaluation strategies differ; scores are not a common benchmark.</w:t>
      </w:r>
    </w:p>
    <w:p>
      <w:pPr>
        <w:pStyle w:val="ListBullet"/>
      </w:pPr>
      <w:r>
        <w:t>ADF failed; SARIMA produced convergence warnings.</w:t>
      </w:r>
    </w:p>
    <w:p>
      <w:pPr>
        <w:pStyle w:val="ListBullet"/>
      </w:pPr>
      <w:r>
        <w:t>Tomato extremes and threshold exclusion need row-level review.</w:t>
      </w:r>
    </w:p>
    <w:p>
      <w:pPr>
        <w:pStyle w:val="ListBullet"/>
      </w:pPr>
      <w:r>
        <w:t>SHAP is model-specific and non-causal.</w:t>
      </w:r>
    </w:p>
    <w:p>
      <w:pPr>
        <w:pStyle w:val="ListBullet"/>
      </w:pPr>
      <w:r>
        <w:t>Procurement rules and savings fields lack outcome validation.</w:t>
      </w:r>
    </w:p>
    <w:p>
      <w:pPr>
        <w:pStyle w:val="ListBullet"/>
      </w:pPr>
      <w:r>
        <w:t>Local comparisons may differ in grade, market level or timing.</w:t>
      </w:r>
    </w:p>
    <w:p>
      <w:pPr>
        <w:pStyle w:val="Heading2"/>
      </w:pPr>
      <w:r>
        <w:t>5.4 Future research</w:t>
      </w:r>
    </w:p>
    <w:p>
      <w:r>
        <w:t>Create a verified Koyambedu panel with timestamped wholesale quotations and consistent grades; extend history; add arrivals and supply indicators where available; evaluate probabilistic forecasts; compare seasonal-naive and last-observation baselines; and measure outcomes prospectively. Later work can test whether forecast-informed purchasing lowers delivered cost while maintaining service and limiting spoilage.</w:t>
      </w:r>
    </w:p>
    <w:p>
      <w:pPr>
        <w:pStyle w:val="Heading2"/>
      </w:pPr>
      <w:r>
        <w:t>5.5 Final statement</w:t>
      </w:r>
    </w:p>
    <w:p>
      <w:r>
        <w:t>AgriSight is best positioned as a transparent research prototype for statewide monitoring. The next step is improving provenance and evaluation consistency, then validating market-specific recommendations with buyer records.</w:t>
      </w:r>
    </w:p>
    <w:p>
      <w:r>
        <w:br w:type="page"/>
      </w:r>
    </w:p>
    <w:p>
      <w:pPr>
        <w:pStyle w:val="Heading1"/>
      </w:pPr>
      <w:r>
        <w:t>REFERENCES</w:t>
      </w:r>
    </w:p>
    <w:p>
      <w:r>
        <w:t>Box, G. E. P., Jenkins, G. M., Reinsel, G. C., &amp; Ljung, G. M. (2015). Time Series Analysis: Forecasting and Control (5th ed.). Wiley.</w:t>
      </w:r>
    </w:p>
    <w:p>
      <w:r>
        <w:t>Breiman, L. (2001). Random forests. Machine Learning, 45, 5–32. https://doi.org/10.1023/A:1010933404324</w:t>
      </w:r>
    </w:p>
    <w:p>
      <w:r>
        <w:t>Chen, T., &amp; Guestrin, C. (2016). XGBoost: A scalable tree boosting system. Proceedings of the 22nd ACM SIGKDD International Conference on Knowledge Discovery and Data Mining, 785–794. https://doi.org/10.1145/2939672.2939785</w:t>
      </w:r>
    </w:p>
    <w:p>
      <w:r>
        <w:t>Hyndman, R. J., &amp; Athanasopoulos, G. (2021). Forecasting: Principles and Practice (3rd ed.). OTexts. https://otexts.com/fpp3/</w:t>
      </w:r>
    </w:p>
    <w:p>
      <w:r>
        <w:t>Lundberg, S. M., &amp; Lee, S.-I. (2017). A unified approach to interpreting model predictions. Advances in Neural Information Processing Systems, 30.</w:t>
      </w:r>
    </w:p>
    <w:p>
      <w:r>
        <w:t>Makridakis, S., Spiliotis, E., &amp; Assimakopoulos, V. (2018). The M4 Competition: Results, findings, conclusion and way forward. International Journal of Forecasting, 34(4), 802–808. https://doi.org/10.1016/j.ijforecast.2018.06.001</w:t>
      </w:r>
    </w:p>
    <w:p>
      <w:r>
        <w:t>Taylor, S. J., &amp; Letham, B. (2018). Forecasting at scale. The American Statistician, 72(1), 37–45. https://doi.org/10.1080/00031305.2017.1380080</w:t>
      </w:r>
    </w:p>
    <w:p>
      <w:r>
        <w:br w:type="page"/>
      </w:r>
    </w:p>
    <w:p>
      <w:pPr>
        <w:pStyle w:val="Heading1"/>
      </w:pPr>
      <w:r>
        <w:t>APPENDIX A - DATA DICTIONARY</w:t>
      </w:r>
    </w:p>
    <w:tbl>
      <w:tblPr>
        <w:tblStyle w:val="TableGrid"/>
        <w:tblW w:type="auto" w:w="0"/>
        <w:tblLook w:firstColumn="1" w:firstRow="1" w:lastColumn="0" w:lastRow="0" w:noHBand="0" w:noVBand="1" w:val="04A0"/>
      </w:tblPr>
      <w:tblGrid>
        <w:gridCol w:w="2816"/>
        <w:gridCol w:w="2816"/>
        <w:gridCol w:w="2816"/>
      </w:tblGrid>
      <w:tr>
        <w:tc>
          <w:tcPr>
            <w:tcW w:type="dxa" w:w="2816"/>
            <w:shd w:fill="D9E2F3"/>
          </w:tcPr>
          <w:p>
            <w:pPr>
              <w:spacing w:line="240" w:lineRule="auto" w:after="40"/>
            </w:pPr>
            <w:r>
              <w:rPr>
                <w:rFonts w:ascii="Times New Roman" w:hAnsi="Times New Roman"/>
                <w:sz w:val="18"/>
              </w:rPr>
              <w:t>Field</w:t>
            </w:r>
          </w:p>
        </w:tc>
        <w:tc>
          <w:tcPr>
            <w:tcW w:type="dxa" w:w="2816"/>
            <w:shd w:fill="D9E2F3"/>
          </w:tcPr>
          <w:p>
            <w:pPr>
              <w:spacing w:line="240" w:lineRule="auto" w:after="40"/>
            </w:pPr>
            <w:r>
              <w:rPr>
                <w:rFonts w:ascii="Times New Roman" w:hAnsi="Times New Roman"/>
                <w:sz w:val="18"/>
              </w:rPr>
              <w:t>Meaning</w:t>
            </w:r>
          </w:p>
        </w:tc>
        <w:tc>
          <w:tcPr>
            <w:tcW w:type="dxa" w:w="2816"/>
            <w:shd w:fill="D9E2F3"/>
          </w:tcPr>
          <w:p>
            <w:pPr>
              <w:spacing w:line="240" w:lineRule="auto" w:after="40"/>
            </w:pPr>
            <w:r>
              <w:rPr>
                <w:rFonts w:ascii="Times New Roman" w:hAnsi="Times New Roman"/>
                <w:sz w:val="18"/>
              </w:rPr>
              <w:t>Caution</w:t>
            </w:r>
          </w:p>
        </w:tc>
      </w:tr>
      <w:tr>
        <w:tc>
          <w:tcPr>
            <w:tcW w:type="dxa" w:w="2816"/>
          </w:tcPr>
          <w:p>
            <w:pPr>
              <w:spacing w:line="240" w:lineRule="auto" w:after="40"/>
            </w:pPr>
            <w:r>
              <w:rPr>
                <w:rFonts w:ascii="Times New Roman" w:hAnsi="Times New Roman"/>
                <w:sz w:val="18"/>
              </w:rPr>
              <w:t>Commodity</w:t>
            </w:r>
          </w:p>
        </w:tc>
        <w:tc>
          <w:tcPr>
            <w:tcW w:type="dxa" w:w="2816"/>
          </w:tcPr>
          <w:p>
            <w:pPr>
              <w:spacing w:line="240" w:lineRule="auto" w:after="40"/>
            </w:pPr>
            <w:r>
              <w:rPr>
                <w:rFonts w:ascii="Times New Roman" w:hAnsi="Times New Roman"/>
                <w:sz w:val="18"/>
              </w:rPr>
              <w:t>Selected vegetable</w:t>
            </w:r>
          </w:p>
        </w:tc>
        <w:tc>
          <w:tcPr>
            <w:tcW w:type="dxa" w:w="2816"/>
          </w:tcPr>
          <w:p>
            <w:pPr>
              <w:spacing w:line="240" w:lineRule="auto" w:after="40"/>
            </w:pPr>
            <w:r>
              <w:rPr>
                <w:rFonts w:ascii="Times New Roman" w:hAnsi="Times New Roman"/>
                <w:sz w:val="18"/>
              </w:rPr>
              <w:t>Standardize spelling and market equivalence</w:t>
            </w:r>
          </w:p>
        </w:tc>
      </w:tr>
      <w:tr>
        <w:tc>
          <w:tcPr>
            <w:tcW w:type="dxa" w:w="2816"/>
          </w:tcPr>
          <w:p>
            <w:pPr>
              <w:spacing w:line="240" w:lineRule="auto" w:after="40"/>
            </w:pPr>
            <w:r>
              <w:rPr>
                <w:rFonts w:ascii="Times New Roman" w:hAnsi="Times New Roman"/>
                <w:sz w:val="18"/>
              </w:rPr>
              <w:t>Date</w:t>
            </w:r>
          </w:p>
        </w:tc>
        <w:tc>
          <w:tcPr>
            <w:tcW w:type="dxa" w:w="2816"/>
          </w:tcPr>
          <w:p>
            <w:pPr>
              <w:spacing w:line="240" w:lineRule="auto" w:after="40"/>
            </w:pPr>
            <w:r>
              <w:rPr>
                <w:rFonts w:ascii="Times New Roman" w:hAnsi="Times New Roman"/>
                <w:sz w:val="18"/>
              </w:rPr>
              <w:t>Source record date</w:t>
            </w:r>
          </w:p>
        </w:tc>
        <w:tc>
          <w:tcPr>
            <w:tcW w:type="dxa" w:w="2816"/>
          </w:tcPr>
          <w:p>
            <w:pPr>
              <w:spacing w:line="240" w:lineRule="auto" w:after="40"/>
            </w:pPr>
            <w:r>
              <w:rPr>
                <w:rFonts w:ascii="Times New Roman" w:hAnsi="Times New Roman"/>
                <w:sz w:val="18"/>
              </w:rPr>
              <w:t>Confirm convention</w:t>
            </w:r>
          </w:p>
        </w:tc>
      </w:tr>
      <w:tr>
        <w:tc>
          <w:tcPr>
            <w:tcW w:type="dxa" w:w="2816"/>
          </w:tcPr>
          <w:p>
            <w:pPr>
              <w:spacing w:line="240" w:lineRule="auto" w:after="40"/>
            </w:pPr>
            <w:r>
              <w:rPr>
                <w:rFonts w:ascii="Times New Roman" w:hAnsi="Times New Roman"/>
                <w:sz w:val="18"/>
              </w:rPr>
              <w:t>Price</w:t>
            </w:r>
          </w:p>
        </w:tc>
        <w:tc>
          <w:tcPr>
            <w:tcW w:type="dxa" w:w="2816"/>
          </w:tcPr>
          <w:p>
            <w:pPr>
              <w:spacing w:line="240" w:lineRule="auto" w:after="40"/>
            </w:pPr>
            <w:r>
              <w:rPr>
                <w:rFonts w:ascii="Times New Roman" w:hAnsi="Times New Roman"/>
                <w:sz w:val="18"/>
              </w:rPr>
              <w:t>Reported measure</w:t>
            </w:r>
          </w:p>
        </w:tc>
        <w:tc>
          <w:tcPr>
            <w:tcW w:type="dxa" w:w="2816"/>
          </w:tcPr>
          <w:p>
            <w:pPr>
              <w:spacing w:line="240" w:lineRule="auto" w:after="40"/>
            </w:pPr>
            <w:r>
              <w:rPr>
                <w:rFonts w:ascii="Times New Roman" w:hAnsi="Times New Roman"/>
                <w:sz w:val="18"/>
              </w:rPr>
              <w:t>Confirm min/modal/max and market level</w:t>
            </w:r>
          </w:p>
        </w:tc>
      </w:tr>
      <w:tr>
        <w:tc>
          <w:tcPr>
            <w:tcW w:type="dxa" w:w="2816"/>
          </w:tcPr>
          <w:p>
            <w:pPr>
              <w:spacing w:line="240" w:lineRule="auto" w:after="40"/>
            </w:pPr>
            <w:r>
              <w:rPr>
                <w:rFonts w:ascii="Times New Roman" w:hAnsi="Times New Roman"/>
                <w:sz w:val="18"/>
              </w:rPr>
              <w:t>Market</w:t>
            </w:r>
          </w:p>
        </w:tc>
        <w:tc>
          <w:tcPr>
            <w:tcW w:type="dxa" w:w="2816"/>
          </w:tcPr>
          <w:p>
            <w:pPr>
              <w:spacing w:line="240" w:lineRule="auto" w:after="40"/>
            </w:pPr>
            <w:r>
              <w:rPr>
                <w:rFonts w:ascii="Times New Roman" w:hAnsi="Times New Roman"/>
                <w:sz w:val="18"/>
              </w:rPr>
              <w:t>Reported market name</w:t>
            </w:r>
          </w:p>
        </w:tc>
        <w:tc>
          <w:tcPr>
            <w:tcW w:type="dxa" w:w="2816"/>
          </w:tcPr>
          <w:p>
            <w:pPr>
              <w:spacing w:line="240" w:lineRule="auto" w:after="40"/>
            </w:pPr>
            <w:r>
              <w:rPr>
                <w:rFonts w:ascii="Times New Roman" w:hAnsi="Times New Roman"/>
                <w:sz w:val="18"/>
              </w:rPr>
              <w:t>451 TN market names</w:t>
            </w:r>
          </w:p>
        </w:tc>
      </w:tr>
      <w:tr>
        <w:tc>
          <w:tcPr>
            <w:tcW w:type="dxa" w:w="2816"/>
          </w:tcPr>
          <w:p>
            <w:pPr>
              <w:spacing w:line="240" w:lineRule="auto" w:after="40"/>
            </w:pPr>
            <w:r>
              <w:rPr>
                <w:rFonts w:ascii="Times New Roman" w:hAnsi="Times New Roman"/>
                <w:sz w:val="18"/>
              </w:rPr>
              <w:t>Lag price</w:t>
            </w:r>
          </w:p>
        </w:tc>
        <w:tc>
          <w:tcPr>
            <w:tcW w:type="dxa" w:w="2816"/>
          </w:tcPr>
          <w:p>
            <w:pPr>
              <w:spacing w:line="240" w:lineRule="auto" w:after="40"/>
            </w:pPr>
            <w:r>
              <w:rPr>
                <w:rFonts w:ascii="Times New Roman" w:hAnsi="Times New Roman"/>
                <w:sz w:val="18"/>
              </w:rPr>
              <w:t>Past observed value</w:t>
            </w:r>
          </w:p>
        </w:tc>
        <w:tc>
          <w:tcPr>
            <w:tcW w:type="dxa" w:w="2816"/>
          </w:tcPr>
          <w:p>
            <w:pPr>
              <w:spacing w:line="240" w:lineRule="auto" w:after="40"/>
            </w:pPr>
            <w:r>
              <w:rPr>
                <w:rFonts w:ascii="Times New Roman" w:hAnsi="Times New Roman"/>
                <w:sz w:val="18"/>
              </w:rPr>
              <w:t>Use past data only</w:t>
            </w:r>
          </w:p>
        </w:tc>
      </w:tr>
      <w:tr>
        <w:tc>
          <w:tcPr>
            <w:tcW w:type="dxa" w:w="2816"/>
          </w:tcPr>
          <w:p>
            <w:pPr>
              <w:spacing w:line="240" w:lineRule="auto" w:after="40"/>
            </w:pPr>
            <w:r>
              <w:rPr>
                <w:rFonts w:ascii="Times New Roman" w:hAnsi="Times New Roman"/>
                <w:sz w:val="18"/>
              </w:rPr>
              <w:t>Rolling statistic</w:t>
            </w:r>
          </w:p>
        </w:tc>
        <w:tc>
          <w:tcPr>
            <w:tcW w:type="dxa" w:w="2816"/>
          </w:tcPr>
          <w:p>
            <w:pPr>
              <w:spacing w:line="240" w:lineRule="auto" w:after="40"/>
            </w:pPr>
            <w:r>
              <w:rPr>
                <w:rFonts w:ascii="Times New Roman" w:hAnsi="Times New Roman"/>
                <w:sz w:val="18"/>
              </w:rPr>
              <w:t>Windowed historical summary</w:t>
            </w:r>
          </w:p>
        </w:tc>
        <w:tc>
          <w:tcPr>
            <w:tcW w:type="dxa" w:w="2816"/>
          </w:tcPr>
          <w:p>
            <w:pPr>
              <w:spacing w:line="240" w:lineRule="auto" w:after="40"/>
            </w:pPr>
            <w:r>
              <w:rPr>
                <w:rFonts w:ascii="Times New Roman" w:hAnsi="Times New Roman"/>
                <w:sz w:val="18"/>
              </w:rPr>
              <w:t>Exclude future observations</w:t>
            </w:r>
          </w:p>
        </w:tc>
      </w:tr>
      <w:tr>
        <w:tc>
          <w:tcPr>
            <w:tcW w:type="dxa" w:w="2816"/>
          </w:tcPr>
          <w:p>
            <w:pPr>
              <w:spacing w:line="240" w:lineRule="auto" w:after="40"/>
            </w:pPr>
            <w:r>
              <w:rPr>
                <w:rFonts w:ascii="Times New Roman" w:hAnsi="Times New Roman"/>
                <w:sz w:val="18"/>
              </w:rPr>
              <w:t>Weather</w:t>
            </w:r>
          </w:p>
        </w:tc>
        <w:tc>
          <w:tcPr>
            <w:tcW w:type="dxa" w:w="2816"/>
          </w:tcPr>
          <w:p>
            <w:pPr>
              <w:spacing w:line="240" w:lineRule="auto" w:after="40"/>
            </w:pPr>
            <w:r>
              <w:rPr>
                <w:rFonts w:ascii="Times New Roman" w:hAnsi="Times New Roman"/>
                <w:sz w:val="18"/>
              </w:rPr>
              <w:t>Local Chennai fields</w:t>
            </w:r>
          </w:p>
        </w:tc>
        <w:tc>
          <w:tcPr>
            <w:tcW w:type="dxa" w:w="2816"/>
          </w:tcPr>
          <w:p>
            <w:pPr>
              <w:spacing w:line="240" w:lineRule="auto" w:after="40"/>
            </w:pPr>
            <w:r>
              <w:rPr>
                <w:rFonts w:ascii="Times New Roman" w:hAnsi="Times New Roman"/>
                <w:sz w:val="18"/>
              </w:rPr>
              <w:t>Geographic proxy, not market-specific</w:t>
            </w:r>
          </w:p>
        </w:tc>
      </w:tr>
    </w:tbl>
    <w:p>
      <w:r>
        <w:br w:type="page"/>
      </w:r>
    </w:p>
    <w:p>
      <w:pPr>
        <w:pStyle w:val="Heading1"/>
      </w:pPr>
      <w:r>
        <w:t>APPENDIX B - MODEL AND DECISION RULES</w:t>
      </w:r>
    </w:p>
    <w:tbl>
      <w:tblPr>
        <w:tblStyle w:val="TableGrid"/>
        <w:tblW w:type="auto" w:w="0"/>
        <w:tblLook w:firstColumn="1" w:firstRow="1" w:lastColumn="0" w:lastRow="0" w:noHBand="0" w:noVBand="1" w:val="04A0"/>
      </w:tblPr>
      <w:tblGrid>
        <w:gridCol w:w="2816"/>
        <w:gridCol w:w="2816"/>
        <w:gridCol w:w="2816"/>
      </w:tblGrid>
      <w:tr>
        <w:tc>
          <w:tcPr>
            <w:tcW w:type="dxa" w:w="2816"/>
            <w:shd w:fill="D9E2F3"/>
          </w:tcPr>
          <w:p>
            <w:pPr>
              <w:spacing w:line="240" w:lineRule="auto" w:after="40"/>
            </w:pPr>
            <w:r>
              <w:rPr>
                <w:rFonts w:ascii="Times New Roman" w:hAnsi="Times New Roman"/>
                <w:sz w:val="18"/>
              </w:rPr>
              <w:t>Component</w:t>
            </w:r>
          </w:p>
        </w:tc>
        <w:tc>
          <w:tcPr>
            <w:tcW w:type="dxa" w:w="2816"/>
            <w:shd w:fill="D9E2F3"/>
          </w:tcPr>
          <w:p>
            <w:pPr>
              <w:spacing w:line="240" w:lineRule="auto" w:after="40"/>
            </w:pPr>
            <w:r>
              <w:rPr>
                <w:rFonts w:ascii="Times New Roman" w:hAnsi="Times New Roman"/>
                <w:sz w:val="18"/>
              </w:rPr>
              <w:t>Approach</w:t>
            </w:r>
          </w:p>
        </w:tc>
        <w:tc>
          <w:tcPr>
            <w:tcW w:type="dxa" w:w="2816"/>
            <w:shd w:fill="D9E2F3"/>
          </w:tcPr>
          <w:p>
            <w:pPr>
              <w:spacing w:line="240" w:lineRule="auto" w:after="40"/>
            </w:pPr>
            <w:r>
              <w:rPr>
                <w:rFonts w:ascii="Times New Roman" w:hAnsi="Times New Roman"/>
                <w:sz w:val="18"/>
              </w:rPr>
              <w:t>Limitation</w:t>
            </w:r>
          </w:p>
        </w:tc>
      </w:tr>
      <w:tr>
        <w:tc>
          <w:tcPr>
            <w:tcW w:type="dxa" w:w="2816"/>
          </w:tcPr>
          <w:p>
            <w:pPr>
              <w:spacing w:line="240" w:lineRule="auto" w:after="40"/>
            </w:pPr>
            <w:r>
              <w:rPr>
                <w:rFonts w:ascii="Times New Roman" w:hAnsi="Times New Roman"/>
                <w:sz w:val="18"/>
              </w:rPr>
              <w:t>SARIMA</w:t>
            </w:r>
          </w:p>
        </w:tc>
        <w:tc>
          <w:tcPr>
            <w:tcW w:type="dxa" w:w="2816"/>
          </w:tcPr>
          <w:p>
            <w:pPr>
              <w:spacing w:line="240" w:lineRule="auto" w:after="40"/>
            </w:pPr>
            <w:r>
              <w:rPr>
                <w:rFonts w:ascii="Times New Roman" w:hAnsi="Times New Roman"/>
                <w:sz w:val="18"/>
              </w:rPr>
              <w:t>Seasonal ARIMA baseline</w:t>
            </w:r>
          </w:p>
        </w:tc>
        <w:tc>
          <w:tcPr>
            <w:tcW w:type="dxa" w:w="2816"/>
          </w:tcPr>
          <w:p>
            <w:pPr>
              <w:spacing w:line="240" w:lineRule="auto" w:after="40"/>
            </w:pPr>
            <w:r>
              <w:rPr>
                <w:rFonts w:ascii="Times New Roman" w:hAnsi="Times New Roman"/>
                <w:sz w:val="18"/>
              </w:rPr>
              <w:t>Convergence and diagnostics</w:t>
            </w:r>
          </w:p>
        </w:tc>
      </w:tr>
      <w:tr>
        <w:tc>
          <w:tcPr>
            <w:tcW w:type="dxa" w:w="2816"/>
          </w:tcPr>
          <w:p>
            <w:pPr>
              <w:spacing w:line="240" w:lineRule="auto" w:after="40"/>
            </w:pPr>
            <w:r>
              <w:rPr>
                <w:rFonts w:ascii="Times New Roman" w:hAnsi="Times New Roman"/>
                <w:sz w:val="18"/>
              </w:rPr>
              <w:t>Prophet</w:t>
            </w:r>
          </w:p>
        </w:tc>
        <w:tc>
          <w:tcPr>
            <w:tcW w:type="dxa" w:w="2816"/>
          </w:tcPr>
          <w:p>
            <w:pPr>
              <w:spacing w:line="240" w:lineRule="auto" w:after="40"/>
            </w:pPr>
            <w:r>
              <w:rPr>
                <w:rFonts w:ascii="Times New Roman" w:hAnsi="Times New Roman"/>
                <w:sz w:val="18"/>
              </w:rPr>
              <w:t>Trend and seasonal components</w:t>
            </w:r>
          </w:p>
        </w:tc>
        <w:tc>
          <w:tcPr>
            <w:tcW w:type="dxa" w:w="2816"/>
          </w:tcPr>
          <w:p>
            <w:pPr>
              <w:spacing w:line="240" w:lineRule="auto" w:after="40"/>
            </w:pPr>
            <w:r>
              <w:rPr>
                <w:rFonts w:ascii="Times New Roman" w:hAnsi="Times New Roman"/>
                <w:sz w:val="18"/>
              </w:rPr>
              <w:t>Annual-seasonality warning</w:t>
            </w:r>
          </w:p>
        </w:tc>
      </w:tr>
      <w:tr>
        <w:tc>
          <w:tcPr>
            <w:tcW w:type="dxa" w:w="2816"/>
          </w:tcPr>
          <w:p>
            <w:pPr>
              <w:spacing w:line="240" w:lineRule="auto" w:after="40"/>
            </w:pPr>
            <w:r>
              <w:rPr>
                <w:rFonts w:ascii="Times New Roman" w:hAnsi="Times New Roman"/>
                <w:sz w:val="18"/>
              </w:rPr>
              <w:t>Random Forest</w:t>
            </w:r>
          </w:p>
        </w:tc>
        <w:tc>
          <w:tcPr>
            <w:tcW w:type="dxa" w:w="2816"/>
          </w:tcPr>
          <w:p>
            <w:pPr>
              <w:spacing w:line="240" w:lineRule="auto" w:after="40"/>
            </w:pPr>
            <w:r>
              <w:rPr>
                <w:rFonts w:ascii="Times New Roman" w:hAnsi="Times New Roman"/>
                <w:sz w:val="18"/>
              </w:rPr>
              <w:t>Tree ensemble</w:t>
            </w:r>
          </w:p>
        </w:tc>
        <w:tc>
          <w:tcPr>
            <w:tcW w:type="dxa" w:w="2816"/>
          </w:tcPr>
          <w:p>
            <w:pPr>
              <w:spacing w:line="240" w:lineRule="auto" w:after="40"/>
            </w:pPr>
            <w:r>
              <w:rPr>
                <w:rFonts w:ascii="Times New Roman" w:hAnsi="Times New Roman"/>
                <w:sz w:val="18"/>
              </w:rPr>
              <w:t>Evaluation differs</w:t>
            </w:r>
          </w:p>
        </w:tc>
      </w:tr>
      <w:tr>
        <w:tc>
          <w:tcPr>
            <w:tcW w:type="dxa" w:w="2816"/>
          </w:tcPr>
          <w:p>
            <w:pPr>
              <w:spacing w:line="240" w:lineRule="auto" w:after="40"/>
            </w:pPr>
            <w:r>
              <w:rPr>
                <w:rFonts w:ascii="Times New Roman" w:hAnsi="Times New Roman"/>
                <w:sz w:val="18"/>
              </w:rPr>
              <w:t>XGBoost</w:t>
            </w:r>
          </w:p>
        </w:tc>
        <w:tc>
          <w:tcPr>
            <w:tcW w:type="dxa" w:w="2816"/>
          </w:tcPr>
          <w:p>
            <w:pPr>
              <w:spacing w:line="240" w:lineRule="auto" w:after="40"/>
            </w:pPr>
            <w:r>
              <w:rPr>
                <w:rFonts w:ascii="Times New Roman" w:hAnsi="Times New Roman"/>
                <w:sz w:val="18"/>
              </w:rPr>
              <w:t>Gradient-boosted trees</w:t>
            </w:r>
          </w:p>
        </w:tc>
        <w:tc>
          <w:tcPr>
            <w:tcW w:type="dxa" w:w="2816"/>
          </w:tcPr>
          <w:p>
            <w:pPr>
              <w:spacing w:line="240" w:lineRule="auto" w:after="40"/>
            </w:pPr>
            <w:r>
              <w:rPr>
                <w:rFonts w:ascii="Times New Roman" w:hAnsi="Times New Roman"/>
                <w:sz w:val="18"/>
              </w:rPr>
              <w:t>Lowest score under its protocol</w:t>
            </w:r>
          </w:p>
        </w:tc>
      </w:tr>
      <w:tr>
        <w:tc>
          <w:tcPr>
            <w:tcW w:type="dxa" w:w="2816"/>
          </w:tcPr>
          <w:p>
            <w:pPr>
              <w:spacing w:line="240" w:lineRule="auto" w:after="40"/>
            </w:pPr>
            <w:r>
              <w:rPr>
                <w:rFonts w:ascii="Times New Roman" w:hAnsi="Times New Roman"/>
                <w:sz w:val="18"/>
              </w:rPr>
              <w:t>SHAP</w:t>
            </w:r>
          </w:p>
        </w:tc>
        <w:tc>
          <w:tcPr>
            <w:tcW w:type="dxa" w:w="2816"/>
          </w:tcPr>
          <w:p>
            <w:pPr>
              <w:spacing w:line="240" w:lineRule="auto" w:after="40"/>
            </w:pPr>
            <w:r>
              <w:rPr>
                <w:rFonts w:ascii="Times New Roman" w:hAnsi="Times New Roman"/>
                <w:sz w:val="18"/>
              </w:rPr>
              <w:t>Feature contribution</w:t>
            </w:r>
          </w:p>
        </w:tc>
        <w:tc>
          <w:tcPr>
            <w:tcW w:type="dxa" w:w="2816"/>
          </w:tcPr>
          <w:p>
            <w:pPr>
              <w:spacing w:line="240" w:lineRule="auto" w:after="40"/>
            </w:pPr>
            <w:r>
              <w:rPr>
                <w:rFonts w:ascii="Times New Roman" w:hAnsi="Times New Roman"/>
                <w:sz w:val="18"/>
              </w:rPr>
              <w:t>Not causal</w:t>
            </w:r>
          </w:p>
        </w:tc>
      </w:tr>
      <w:tr>
        <w:tc>
          <w:tcPr>
            <w:tcW w:type="dxa" w:w="2816"/>
          </w:tcPr>
          <w:p>
            <w:pPr>
              <w:spacing w:line="240" w:lineRule="auto" w:after="40"/>
            </w:pPr>
            <w:r>
              <w:rPr>
                <w:rFonts w:ascii="Times New Roman" w:hAnsi="Times New Roman"/>
                <w:sz w:val="18"/>
              </w:rPr>
              <w:t>Procurement layer</w:t>
            </w:r>
          </w:p>
        </w:tc>
        <w:tc>
          <w:tcPr>
            <w:tcW w:type="dxa" w:w="2816"/>
          </w:tcPr>
          <w:p>
            <w:pPr>
              <w:spacing w:line="240" w:lineRule="auto" w:after="40"/>
            </w:pPr>
            <w:r>
              <w:rPr>
                <w:rFonts w:ascii="Times New Roman" w:hAnsi="Times New Roman"/>
                <w:sz w:val="18"/>
              </w:rPr>
              <w:t>Rule-based action</w:t>
            </w:r>
          </w:p>
        </w:tc>
        <w:tc>
          <w:tcPr>
            <w:tcW w:type="dxa" w:w="2816"/>
          </w:tcPr>
          <w:p>
            <w:pPr>
              <w:spacing w:line="240" w:lineRule="auto" w:after="40"/>
            </w:pPr>
            <w:r>
              <w:rPr>
                <w:rFonts w:ascii="Times New Roman" w:hAnsi="Times New Roman"/>
                <w:sz w:val="18"/>
              </w:rPr>
              <w:t>HOLD; no outcome validation</w:t>
            </w:r>
          </w:p>
        </w:tc>
      </w:tr>
    </w:tbl>
    <w:p>
      <w:r>
        <w:t>A decision aid should show source date, forecast horizon, expected range, uncertainty and triggering rule. It should abstain when data are stale, mapping is ambiguous or inputs fall outside the validated range.</w:t>
      </w:r>
    </w:p>
    <w:p>
      <w:r>
        <w:br w:type="page"/>
      </w:r>
    </w:p>
    <w:p>
      <w:pPr>
        <w:pStyle w:val="Heading1"/>
      </w:pPr>
      <w:r>
        <w:t>APPENDIX C - REPRODUCIBILITY AND VIVA CERTIFICATE</w:t>
      </w:r>
    </w:p>
    <w:p>
      <w:r>
        <w:t>Analytical outputs reviewed for this report are stored in the local end-to-end run folder dated 15 October 2026, with source extracts, processed data, figures, model outputs, logs and dashboard records. The Streamlit process used for the run has been stopped. Re-runs should record environment and package versions, source hashes, timestamp and commands.</w:t>
      </w:r>
    </w:p>
    <w:p>
      <w:r>
        <w:t>Viva voce examination certificate</w:t>
      </w:r>
    </w:p>
    <w:p>
      <w:r>
        <w:t>This project report submitted by Vignesh Natarajan (Roll No. 24060BA0046; Registration No. 69124100162) has been examined on __________________. The project is approved / not approved for the MBA degree, Anna University.</w:t>
      </w:r>
    </w:p>
    <w:tbl>
      <w:tblPr>
        <w:tblStyle w:val="TableGrid"/>
        <w:tblW w:type="auto" w:w="0"/>
        <w:tblLook w:firstColumn="1" w:firstRow="1" w:lastColumn="0" w:lastRow="0" w:noHBand="0" w:noVBand="1" w:val="04A0"/>
      </w:tblPr>
      <w:tblGrid>
        <w:gridCol w:w="4224"/>
        <w:gridCol w:w="4224"/>
      </w:tblGrid>
      <w:tr>
        <w:tc>
          <w:tcPr>
            <w:tcW w:type="dxa" w:w="4224"/>
            <w:shd w:fill="D9E2F3"/>
          </w:tcPr>
          <w:p>
            <w:pPr>
              <w:spacing w:line="240" w:lineRule="auto" w:after="40"/>
            </w:pPr>
            <w:r>
              <w:rPr>
                <w:rFonts w:ascii="Times New Roman" w:hAnsi="Times New Roman"/>
                <w:sz w:val="18"/>
              </w:rPr>
              <w:t>Internal Examiner</w:t>
            </w:r>
          </w:p>
        </w:tc>
        <w:tc>
          <w:tcPr>
            <w:tcW w:type="dxa" w:w="4224"/>
            <w:shd w:fill="D9E2F3"/>
          </w:tcPr>
          <w:p>
            <w:pPr>
              <w:spacing w:line="240" w:lineRule="auto" w:after="40"/>
            </w:pPr>
            <w:r>
              <w:rPr>
                <w:rFonts w:ascii="Times New Roman" w:hAnsi="Times New Roman"/>
                <w:sz w:val="18"/>
              </w:rPr>
              <w:t>External Examiner</w:t>
            </w:r>
          </w:p>
        </w:tc>
      </w:tr>
      <w:tr>
        <w:tc>
          <w:tcPr>
            <w:tcW w:type="dxa" w:w="4224"/>
          </w:tcPr>
          <w:p>
            <w:pPr>
              <w:spacing w:line="240" w:lineRule="auto" w:after="40"/>
            </w:pPr>
            <w:r>
              <w:rPr>
                <w:rFonts w:ascii="Times New Roman" w:hAnsi="Times New Roman"/>
                <w:sz w:val="18"/>
              </w:rPr>
              <w:t>Name: __________________</w:t>
            </w:r>
          </w:p>
        </w:tc>
        <w:tc>
          <w:tcPr>
            <w:tcW w:type="dxa" w:w="4224"/>
          </w:tcPr>
          <w:p>
            <w:pPr>
              <w:spacing w:line="240" w:lineRule="auto" w:after="40"/>
            </w:pPr>
            <w:r>
              <w:rPr>
                <w:rFonts w:ascii="Times New Roman" w:hAnsi="Times New Roman"/>
                <w:sz w:val="18"/>
              </w:rPr>
              <w:t>Name: __________________</w:t>
            </w:r>
          </w:p>
        </w:tc>
      </w:tr>
      <w:tr>
        <w:tc>
          <w:tcPr>
            <w:tcW w:type="dxa" w:w="4224"/>
          </w:tcPr>
          <w:p>
            <w:pPr>
              <w:spacing w:line="240" w:lineRule="auto" w:after="40"/>
            </w:pPr>
            <w:r>
              <w:rPr>
                <w:rFonts w:ascii="Times New Roman" w:hAnsi="Times New Roman"/>
                <w:sz w:val="18"/>
              </w:rPr>
              <w:t>Signature: ______________</w:t>
            </w:r>
          </w:p>
        </w:tc>
        <w:tc>
          <w:tcPr>
            <w:tcW w:type="dxa" w:w="4224"/>
          </w:tcPr>
          <w:p>
            <w:pPr>
              <w:spacing w:line="240" w:lineRule="auto" w:after="40"/>
            </w:pPr>
            <w:r>
              <w:rPr>
                <w:rFonts w:ascii="Times New Roman" w:hAnsi="Times New Roman"/>
                <w:sz w:val="18"/>
              </w:rPr>
              <w:t>Signature: ______________</w:t>
            </w:r>
          </w:p>
        </w:tc>
      </w:tr>
      <w:tr>
        <w:tc>
          <w:tcPr>
            <w:tcW w:type="dxa" w:w="4224"/>
          </w:tcPr>
          <w:p>
            <w:pPr>
              <w:spacing w:line="240" w:lineRule="auto" w:after="40"/>
            </w:pPr>
            <w:r>
              <w:rPr>
                <w:rFonts w:ascii="Times New Roman" w:hAnsi="Times New Roman"/>
                <w:sz w:val="18"/>
              </w:rPr>
              <w:t>Date: __________________</w:t>
            </w:r>
          </w:p>
        </w:tc>
        <w:tc>
          <w:tcPr>
            <w:tcW w:type="dxa" w:w="4224"/>
          </w:tcPr>
          <w:p>
            <w:pPr>
              <w:spacing w:line="240" w:lineRule="auto" w:after="40"/>
            </w:pPr>
            <w:r>
              <w:rPr>
                <w:rFonts w:ascii="Times New Roman" w:hAnsi="Times New Roman"/>
                <w:sz w:val="18"/>
              </w:rPr>
              <w:t>Date: __________________</w:t>
            </w:r>
          </w:p>
        </w:tc>
      </w:tr>
    </w:tbl>
    <w:p>
      <w:r>
        <w:br w:type="page"/>
      </w:r>
    </w:p>
    <w:p>
      <w:pPr>
        <w:pStyle w:val="Title"/>
      </w:pPr>
      <w:r>
        <w:t>APPENDIX D - EXTENDED RESEARCH DESIGN AND ANALYTICAL PROTOCOL</w:t>
      </w:r>
    </w:p>
    <w:p>
      <w:pPr>
        <w:pStyle w:val="Heading1"/>
      </w:pPr>
      <w:r>
        <w:t>D.1 Research logic and analytical boundaries</w:t>
      </w:r>
    </w:p>
    <w:p>
      <w:r>
        <w:t>The research logic begins with a distinction between a forecasting question and a source-validity question. Forecasting asks whether historical observations contain useful information about later values under a defined geographic scope and horizon. Source validation asks what each observation represents and whether its meaning is stable over time. A high-volume dataset can support the first question while still having limitations for the second. Accordingly, statewide forecasting results in this project are not used as indirect proof of the Koyambedu series. This separation is essential because geographic aggregation can obscure local price differences and because the two source streams do not share an independently verified market definition.</w:t>
      </w:r>
    </w:p>
    <w:p>
      <w:r>
        <w:t>The study is retrospective and observational. Its estimates describe relationships in the supplied historical records under particular software implementations. They do not measure the effect of using a forecast on a buyer’s costs, and they do not identify causal drivers of commodity prices. Weather features, calendar variables and lagged prices can be useful predictors even when their causal interpretation is not established. The report therefore uses terms such as association, model contribution and recorded error, and avoids interpreting them as policy effects or guaranteed procurement savings.</w:t>
      </w:r>
    </w:p>
    <w:p>
      <w:r>
        <w:t>The practical unit of a procurement decision is more detailed than a commodity-day average. Buyers usually consider grade, supplier, quantity, delivery time, transport, payment terms and expected spoilage. The model series does not contain all these fields. A statewide price forecast can be a contextual signal, but it cannot by itself choose a supplier or determine an economically optimal purchase quantity. This difference defines the boundary between the current research prototype and a validated decision system.</w:t>
      </w:r>
    </w:p>
    <w:p>
      <w:pPr>
        <w:pStyle w:val="Heading1"/>
      </w:pPr>
      <w:r>
        <w:t>D.2 Study design matrix</w:t>
      </w:r>
    </w:p>
    <w:p>
      <w:r>
        <w:t>The descriptive component profiles sample size, dates, markets, commodities and completeness. Its output is a coverage statement rather than a population estimate of every Tamil Nadu transaction. Market counts indicate breadth of names represented in the filtered source, not equal coverage of each market or continuous daily trading for every commodity. Any comparison of markets should therefore include observation counts and date coverage rather than relying only on average prices.</w:t>
      </w:r>
    </w:p>
    <w:p>
      <w:r>
        <w:t>The predictive component estimates next-period prices from prior information. Its credibility depends on the order of splitting, the exact forecast horizon, feature construction and the handling of missing observations. Features must be available at the time a forecast would have been issued. Where rolling windows are used, they must exclude future values. A retrospective pipeline can inadvertently violate this rule if aggregation, imputation or feature calculation uses the full time series; the code should be audited to confirm temporal isolation.</w:t>
      </w:r>
    </w:p>
    <w:p>
      <w:r>
        <w:t>The interpretive component examines feature attribution within fitted tree models. This answers which inputs the fitted model used relatively strongly over the analysed data. It does not answer which intervention would change prices, nor does it establish that the feature will remain dominant in a later season. Repeated evaluation across time windows and sensitivity checks would show whether the ranking is stable.</w:t>
      </w:r>
    </w:p>
    <w:p>
      <w:r>
        <w:t>The source-assessment component considers whether local price information can be interpreted and applied to a defined market. It does not substitute for provider documentation or a prospective matched comparison. Source meaning and collection practice must be established before the information is treated as wholesale ground truth.</w:t>
      </w:r>
    </w:p>
    <w:p>
      <w:pPr>
        <w:pStyle w:val="Heading1"/>
      </w:pPr>
      <w:r>
        <w:t>D.3 Population, sample and unit of analysis</w:t>
      </w:r>
    </w:p>
    <w:p>
      <w:r>
        <w:t>The source population of interest is the stream of vegetable price observations represented in the local Agmarknet compilation. The analysed frame narrows this population to Tamil Nadu and eight selected commodities. The data include 414,388 filtered raw records, but a raw row is not necessarily a unique daily price for a commodity-market pair. Duplicate handling, market-specific coverage and field definitions should be verified from the raw schema. The project’s daily analytical table then aggregates information to 4,041 commodity-date rows, so the modelling sample is an aggregate series rather than a panel retaining every market as an independent unit.</w:t>
      </w:r>
    </w:p>
    <w:p>
      <w:r>
        <w:t>Aggregation changes the estimand. A forecast of a daily statewide summary represents the next value of that constructed summary under the pipeline’s aggregation rule. It is not a forecast for a randomly selected trader, a specific wholesale yard, or a buyer’s invoice. This distinction matters when interpreting an error percentage. A good aggregate forecast can coexist with large errors for particular markets; conversely, local volatility may be smoothed in the aggregate.</w:t>
      </w:r>
    </w:p>
    <w:p>
      <w:pPr>
        <w:pStyle w:val="Heading1"/>
      </w:pPr>
      <w:r>
        <w:t>D.4 Variable taxonomy and timing rules</w:t>
      </w:r>
    </w:p>
    <w:p>
      <w:r>
        <w:t>Outcome variables are the price measures used as targets by the modeling scripts. Their interpretation depends on the source field: a minimum, maximum, modal or average price can have different distributions and operational meaning. The project report treats the target as the pipeline’s reported price measure and recommends confirming this definition in the source metadata before future analysis. No target should be relabelled as a wholesale modal price unless the upstream documentation supports that description.</w:t>
      </w:r>
    </w:p>
    <w:p>
      <w:r>
        <w:t>Historical price predictors include lagged values and rolling summaries. A lag at one day means the prior available observation only if the series is complete and indexed on calendar days; otherwise, it may mean the prior trading observation. Rolling features also depend on the window convention and missing-day treatment. These choices should be explicit in code comments and the data dictionary because they alter the information presented to the model.</w:t>
      </w:r>
    </w:p>
    <w:p>
      <w:r>
        <w:t>Calendar predictors encode recurring timing, such as month, weekday or festival proximity. They capture regularities in the recorded sample but may also proxy for unmeasured supply and demand cycles. Weather predictors may represent Chennai conditions joined to a broader Tamil Nadu series. The spatial mismatch means that weather should be treated as a local proxy, not a statewide measurement. A future design should obtain weather observations at or near the relevant markets and record the join distance and source date.</w:t>
      </w:r>
    </w:p>
    <w:p>
      <w:r>
        <w:t>The as-of-time rule governs every predictor: a variable is eligible only if a buyer could know it at the forecast issue time. Realized weather values for the target date would constitute future information for a real-time forecast unless they are replaced with a weather forecast available then. This distinction is particularly important when the local weather file contains historical actuals that extend beyond a training cut-off.</w:t>
      </w:r>
    </w:p>
    <w:p>
      <w:pPr>
        <w:pStyle w:val="Heading1"/>
      </w:pPr>
      <w:r>
        <w:t>D.5 Data-quality control framework</w:t>
      </w:r>
    </w:p>
    <w:p>
      <w:r>
        <w:t>At field level, data checks should distinguish missing, zero, negative and unusually large values. Zero may be a valid code or a missing-value placeholder depending on the source. Negative prices would usually require investigation but should not be silently removed without checking semantics. Extreme values should be linked to original record identifiers, commodity, market, date and all source price fields. The Tomato value identified in the local EDA summary should be handled through this traceable review rather than an undocumented blanket exclusion.</w:t>
      </w:r>
    </w:p>
    <w:p>
      <w:r>
        <w:t>At time-series level, checks should identify gaps by commodity and market, abrupt changes in the number of reporting markets, repeated values that may signal stale feeds, and discontinuities around source or schema changes. A statewide aggregate can change because prices move or because the set of contributing markets changes. The number of markets contributing to each daily aggregate should therefore be stored alongside the price.</w:t>
      </w:r>
    </w:p>
    <w:p>
      <w:r>
        <w:t>At merge time, checks should validate key uniqueness, date alignment, units and join coverage. A weather join should report the proportion of price dates with weather values and identify whether a single Chennai series is copied across all markets. If a join multiplies rows, the pipeline should fail rather than silently alter the sample. These controls make the output reproducible and help distinguish genuine market movements from data-processing artifacts.</w:t>
      </w:r>
    </w:p>
    <w:p>
      <w:r>
        <w:br w:type="page"/>
      </w:r>
    </w:p>
    <w:p>
      <w:pPr>
        <w:pStyle w:val="Title"/>
      </w:pPr>
      <w:r>
        <w:t>APPENDIX E - EXTENDED MODEL VALIDATION AND FORECAST USE</w:t>
      </w:r>
    </w:p>
    <w:p>
      <w:pPr>
        <w:pStyle w:val="Heading1"/>
      </w:pPr>
      <w:r>
        <w:t>E.1 Why chronological validation is required</w:t>
      </w:r>
    </w:p>
    <w:p>
      <w:r>
        <w:t>Price forecasting is a temporal prediction task. A random train-test split can place later observations in training while earlier observations are used for testing, allowing information from the future to influence an apparent past prediction. Even when direct leakage is absent, random splits can place adjacent, highly similar dates in both sets and overstate how well a model handles a genuinely later period. A chronological split preserves the forecasting direction and better represents deployment, where only past observations are known.</w:t>
      </w:r>
    </w:p>
    <w:p>
      <w:r>
        <w:t>A single terminal holdout is useful as a first check but can be unusually easy or difficult depending on the period. Agricultural prices can exhibit seasonal cycles, abrupt supply changes and temporary spikes. Repeating the forecast from several historical cut-off dates provides a more informative distribution of errors. Each origin should use only observations available up to that date, produce a fixed forecast horizon and score predictions against the corresponding later observations.</w:t>
      </w:r>
    </w:p>
    <w:p>
      <w:r>
        <w:t>The saved pipeline contains more than one validation design. The static 90-day summaries, the seven-day block walk-forward result, and the expanding 30-day blocks should be presented as separate experiments. Averaging them into one leaderboard would imply equivalence that has not been established. The reported values in this report retain the run’s labels and are used to motivate a common future evaluation rather than to select a winner.</w:t>
      </w:r>
    </w:p>
    <w:p>
      <w:pPr>
        <w:pStyle w:val="Heading1"/>
      </w:pPr>
      <w:r>
        <w:t>E.2 Proposed common rolling-origin protocol</w:t>
      </w:r>
    </w:p>
    <w:p>
      <w:r>
        <w:t>For a future benchmark, define the forecast use case first. If a buyer plans one-week purchasing, the primary horizon should be seven days; if planning a month, use a separate 30-day horizon. Do not pool horizon-specific errors. Choose a minimum training history that permits the candidate seasonal structure to be estimated, then set a sequence of cut-off dates spaced by a week or month. At every origin, refit each candidate model from the same training dates and forecast the same target dates.</w:t>
      </w:r>
    </w:p>
    <w:p>
      <w:r>
        <w:t>All feature transformations should be fitted on the training slice only. Imputation parameters, scaling, commodity mappings and any data-driven thresholds must be learned without access to the test period. The target aggregation rule must remain identical across models. The benchmark should include simple persistence and seasonal-naive baselines, because a complex model is useful only if it adds value over straightforward rules that buyers can understand.</w:t>
      </w:r>
    </w:p>
    <w:p>
      <w:r>
        <w:t>For each commodity, report the number of scored days, MAE, RMSE and MAPE with clear zero/near-zero handling. Show the median error across origins as well as its range or interquartile interval. A pooled score should state whether it weights each date equally, each commodity equally or each unit of price equally. This prevents a high-volume series or a commodity with larger price magnitudes from silently dominating the overall result.</w:t>
      </w:r>
    </w:p>
    <w:p>
      <w:r>
        <w:t>After the benchmark is frozen, preserve the cut-off dates, model parameters, software versions and forecast files. Any subsequent tuning should use a separate development period or nested time-series procedure. This reduces the risk of repeatedly looking at the final holdout and tailoring choices to it.</w:t>
      </w:r>
    </w:p>
    <w:p>
      <w:pPr>
        <w:pStyle w:val="Heading1"/>
      </w:pPr>
      <w:r>
        <w:t>E.3 Interpreting the recorded MAPE values</w:t>
      </w:r>
    </w:p>
    <w:p>
      <w:r>
        <w:t>The recorded mean MAPE of 6.40% for XGBoost is the lowest value among the selected pipeline summaries, but it is not a universal estimate of future error. It is conditional on the processed sample, the feature set, the window design and the metric implementation. Because the SARIMA and Prophet summaries use a static 90-day holdout while tree models use expanding blocks, the numerical values do not represent an apples-to-apples comparison. The report therefore avoids the statement that XGBoost is proven best.</w:t>
      </w:r>
    </w:p>
    <w:p>
      <w:r>
        <w:t>MAPE has intuitive units but can become very large when actual values are close to zero. It is also asymmetric in practical interpretation: a percentage error on a low-priced commodity may have a small rupee consequence, while a similar percentage on a high-priced commodity may matter more to a buyer. A complete procurement evaluation should pair percentage error with rupee-denominated MAE and a buyer-weighted loss reflecting actual purchase volumes and the relative cost of under- versus over-forecasting.</w:t>
      </w:r>
    </w:p>
    <w:p>
      <w:r>
        <w:t>Aggregate means can conceal commodity-level weakness. The project output indicates that XGBoost has lower MAPE than Random Forest on six of eight commodities, with Beans and Onion as exceptions. This demonstrates why a single overall score should not determine deployment. Commodity-specific performance, data sufficiency and the consequence of errors should guide whether a model is enabled for a given item.</w:t>
      </w:r>
    </w:p>
    <w:p>
      <w:pPr>
        <w:pStyle w:val="Heading1"/>
      </w:pPr>
      <w:r>
        <w:t>E.4 Baselines, uncertainty and forecast presentation</w:t>
      </w:r>
    </w:p>
    <w:p>
      <w:r>
        <w:t>A useful benchmark begins with simple methods: last observation carried forward, recent moving average and seasonal-naive values where enough comparable history exists. These methods create a transparent performance floor. If a complex method does not outperform a baseline consistently across rolling origins, the simpler method may be safer and easier to maintain. Baselines also help detect whether a reported score is unusually strong because a series changes slowly.</w:t>
      </w:r>
    </w:p>
    <w:p>
      <w:r>
        <w:t>Point forecasts alone hide uncertainty. A buyer needs to know whether the forecast is stable or whether a wide range of future prices is plausible. Future work should estimate prediction intervals and assess their coverage: for example, whether a nominal interval contains the observed price at the expected rate across test dates. Interval width matters too; extremely wide intervals may be calibrated but not useful. The current project outputs do not establish calibrated intervals, so none are presented as such.</w:t>
      </w:r>
    </w:p>
    <w:p>
      <w:r>
        <w:t>Forecast displays should state the origin date, the last observed data date, the horizon, the target definition and the method. They should separate the actual historical value from the forecast and visually distinguish uncertainty. If the input data are stale or the target commodity mapping is uncertain, the system should display a data-quality status and withhold the action rather than produce a confident-looking recommendation.</w:t>
      </w:r>
    </w:p>
    <w:p>
      <w:pPr>
        <w:pStyle w:val="Heading1"/>
      </w:pPr>
      <w:r>
        <w:t>E.5 Error review and model monitoring</w:t>
      </w:r>
    </w:p>
    <w:p>
      <w:r>
        <w:t>An error review should inspect the largest absolute misses and identify whether they coincide with source gaps, unusual market coverage, sudden price shocks or a data-processing change. The review should retain both absolute and percentage error so small denominators do not dominate interpretation. Error categories should be recorded consistently and assigned to an owner for follow-up.</w:t>
      </w:r>
    </w:p>
    <w:p>
      <w:r>
        <w:t>In production, model performance can change as reporting markets, commodity grades or supply patterns shift. Monitoring should track data freshness, missingness, market counts, input ranges, forecast errors after outcomes arrive and the frequency of each decision action. A change in the input distribution is a warning to investigate, not automatic evidence that the model is wrong. Retraining should follow documented criteria and a fresh evaluation, not a calendar trigger alone.</w:t>
      </w:r>
    </w:p>
    <w:p>
      <w:r>
        <w:t>Every model release should have a version identifier and a rollback path. The system should preserve previous forecasts and the data state from which they were generated. Without that record, it is difficult to explain why a recommendation changed or to evaluate whether the system improved. The present local run provides a useful snapshot; the next iteration should make these artifacts a standard pipeline output.</w:t>
      </w:r>
    </w:p>
    <w:p>
      <w:pPr>
        <w:pStyle w:val="Heading1"/>
      </w:pPr>
      <w:r>
        <w:t>E.6 Diagnostic and implementation repairs</w:t>
      </w:r>
    </w:p>
    <w:p>
      <w:r>
        <w:t>The recorded Augmented Dickey-Fuller failure is an implementation error rather than evidence for or against stationarity. The script should be checked against the installed statsmodels return contract, with explicit handling of the statistic, p-value and critical values. A diagnostic should also record the sample size and any differencing or missing-value treatment. Even a successful stationarity test would not prove a forecasting model is appropriate; it is one diagnostic among several.</w:t>
      </w:r>
    </w:p>
    <w:p>
      <w:r>
        <w:t>SARIMA convergence warnings should be retained in model status and investigated through residual diagnostics, alternative initialization, parameter constraints and a reasonable search space. The system should not silently treat a warning run as equivalent to a clean fit. If a model fails, the fallback baseline and status should be explicit. The Prophet annual-seasonality warning suggests that annual terms should be disabled or interpreted cautiously when history is too short to estimate a stable yearly cycle.</w:t>
      </w:r>
    </w:p>
    <w:p>
      <w:r>
        <w:t>The feature-stage ₹100,000 cutoff requires a source-level audit. Review each affected row in context, compare it with related min/modal/max fields, verify units and determine whether the record is a valid extreme or a data error. If a robust cap or transformation is ultimately chosen, document its rationale and estimate its effect on both training coverage and forecast errors. The threshold should not be described as a validated market boundary unless independent evidence supports it.</w:t>
      </w:r>
    </w:p>
    <w:p>
      <w:pPr>
        <w:pStyle w:val="Heading1"/>
      </w:pPr>
      <w:r>
        <w:t>E.7 SHAP interpretation and stability</w:t>
      </w:r>
    </w:p>
    <w:p>
      <w:r>
        <w:t>The common top ranking for the 52-week relative-price-position feature indicates that recent historical position is informative to the fitted tree models. It may summarize several related signals, including level relative to the past year and recent market regime. Its prominence is consistent with autoregressive information being useful in short-horizon prices, but it does not identify a structural cause. A feature can be predictive because it proxies for unobserved variables or because of its correlation with other inputs.</w:t>
      </w:r>
    </w:p>
    <w:p>
      <w:r>
        <w:t>A robust interpretation should compare rankings across commodities, rolling-origin windows and model versions. It should examine direction and distribution of SHAP contributions, not only mean absolute importance. Dependence plots can show whether a feature’s contribution varies nonlinearly, but correlated predictors can make individual attributions unstable. Permutation checks on held-out periods can complement SHAP, provided that temporal structure and feature correlation are considered.</w:t>
      </w:r>
    </w:p>
    <w:p>
      <w:r>
        <w:t>Explainability should serve the buyer’s understanding rather than create a false impression of certainty. A concise explanation may say that a forecast is influenced by recent relative price position and recent lags, while noting that the model does not establish a causal mechanism. The system should avoid statements such as “weather caused the predicted increase” unless a causal study with an appropriate design supports that claim.</w:t>
      </w:r>
    </w:p>
    <w:p>
      <w:r>
        <w:br w:type="page"/>
      </w:r>
    </w:p>
    <w:p>
      <w:pPr>
        <w:pStyle w:val="Title"/>
      </w:pPr>
      <w:r>
        <w:t>APPENDIX F - KOYAMBEDU SOURCE VERIFICATION AND PROCUREMENT PILOT</w:t>
      </w:r>
    </w:p>
    <w:p>
      <w:pPr>
        <w:pStyle w:val="Heading1"/>
      </w:pPr>
      <w:r>
        <w:t>F.1 Source verification questions</w:t>
      </w:r>
    </w:p>
    <w:p>
      <w:r>
        <w:t>Before Koyambedu values are used as a procurement reference, the provider should identify the source of every observation and state whether it is collected directly, transcribed from another source, calculated, or displayed as an indicative price. The responsible organisation, collection channel and date on which the data were first published should be documented. If the provider cannot answer these questions, the series should remain a contextual reference and not be presented as an independently verified wholesale quote.</w:t>
      </w:r>
    </w:p>
    <w:p>
      <w:r>
        <w:t>The market definition should specify the physical market or trading area, whether the observation represents wholesale, retail or another segment, and whether the quote is observed at the market gate, a trader counter, an online storefront or a consumer listing. The data should state whether the displayed measure is a minimum, maximum, modal, mean or single quotation. “Price per kilogram” describes a unit but not the transaction concept.</w:t>
      </w:r>
    </w:p>
    <w:p>
      <w:r>
        <w:t>Commodity identity requires equivalent care. The provider should define local and common names, variety, grade, size, maturity, origin and packaging. A price for one grade of tomato is not necessarily comparable with another. If the source combines varieties or grades, the aggregation rule should be supplied. A change in naming or product mix may produce a time-series discontinuity even when individual prices are unchanged.</w:t>
      </w:r>
    </w:p>
    <w:p>
      <w:r>
        <w:t>Time information should include the observation date, time of collection, publication time, time zone and any rule for carrying forward a stale quote. A date-only history can conceal intraday variation or delayed updates. The provider should explain whether a value persists on non-trading days and how missing dates are distinguished from a market holiday or no report.</w:t>
      </w:r>
    </w:p>
    <w:p>
      <w:pPr>
        <w:pStyle w:val="Heading1"/>
      </w:pPr>
      <w:r>
        <w:t>F.2 Reconciliation plan for local comparisons</w:t>
      </w:r>
    </w:p>
    <w:p>
      <w:r>
        <w:t>A prospective reconciliation should collect the Koyambedu value and an independent wholesale reference on the same date, within a defined time window, for the same commodity grade and unit. It should record the exact outlet or market section and quote type. This turns a general comparison into a matched pair and allows differences to be interpreted fairly.</w:t>
      </w:r>
    </w:p>
    <w:p>
      <w:r>
        <w:t>The comparison log should retain the original published value, a copy or archived reference, publication timestamp, reporter or provider, market location and any range rather than a single point. When a report describes a range, the log should preserve both bounds and record whether the Koyambedu value lies within it. A range should not be converted to its midpoint without a predeclared reason.</w:t>
      </w:r>
    </w:p>
    <w:p>
      <w:r>
        <w:t>Reconciliation should span ordinary and volatile periods and cover all priority commodities, rather than selecting only dates where sources are readily available. The sample plan should be set before the values are inspected. Each unresolved mismatch should be classified as possible grade mismatch, time mismatch, market mismatch, unit conversion, transcription error or unexplained difference. Unexplained cases should remain visible in the final validation summary.</w:t>
      </w:r>
    </w:p>
    <w:p>
      <w:r>
        <w:t>The decision threshold for acceptance should be pre-registered with the guide and project stakeholders. It can specify tolerable absolute or relative differences and minimum matched coverage, but the threshold must reflect the intended procurement use and source variability. The current handful of retrospective checks is not enough to estimate such a threshold reliably, so this report does not invent an acceptance percentage.</w:t>
      </w:r>
    </w:p>
    <w:p>
      <w:pPr>
        <w:pStyle w:val="Heading1"/>
      </w:pPr>
      <w:r>
        <w:t>F.3 Handling missing and anomalous observations</w:t>
      </w:r>
    </w:p>
    <w:p>
      <w:r>
        <w:t>For historical charts, any imputation should be visually marked and documented. Carrying a previous price forward can make a line look stable when no observation was available; interpolation can imply knowledge of a path that was never observed. Imputed values should not be used as verified targets for model scoring. The preferred analytical representation is to preserve nulls and let methods that can handle gaps or a predeclared treatment operate transparently.</w:t>
      </w:r>
    </w:p>
    <w:p>
      <w:r>
        <w:t>Anomalous values should be traced to the source page and compared with adjacent dates, related commodities, and independent reports where available. If a correction is made, the original value should remain in an audit field with the correction reason and date. That version history makes it possible to reproduce analyses made before and after a correction.</w:t>
      </w:r>
    </w:p>
    <w:p>
      <w:pPr>
        <w:pStyle w:val="Heading1"/>
      </w:pPr>
      <w:r>
        <w:t>F.4 Prospective procurement pilot design</w:t>
      </w:r>
    </w:p>
    <w:p>
      <w:r>
        <w:t>A buyer pilot should begin with a decision protocol, not with a target savings claim. Define participating buyers, product grades, order cadence, minimum service level, typical purchase size and the decisions that the dashboard is allowed to inform. Decide whether the system is advisory only or whether buyers may follow a recommendation without additional approval. During the early phase, advice should be logged in parallel with normal practice so the system does not introduce unmeasured operational risk.</w:t>
      </w:r>
    </w:p>
    <w:p>
      <w:r>
        <w:t>The observation record should capture buyer, date and time, commodity, grade, quantity, supplier, quoted price, final invoice price, delivery cost, payment terms, rejected quantity, usable quantity, spoilage and any stockout. It should also record the forecast shown, data freshness, uncertainty, recommendation, buyer’s chosen action and reason for overriding it. Without these fields, it will be impossible to distinguish forecast quality from negotiation, supplier availability or execution effects.</w:t>
      </w:r>
    </w:p>
    <w:p>
      <w:r>
        <w:t>Where feasible, compare forecast-informed purchasing with a baseline over matched buyer-days or use a phased introduction. A simple before-after comparison can be confounded by season, supplier changes and broader market movements. The evaluation plan should therefore define a comparison group or matching strategy, retain the pre-intervention period and log factors that affect delivered cost. The academic guide should review the design before any buyer data are collected.</w:t>
      </w:r>
    </w:p>
    <w:p>
      <w:r>
        <w:t>Primary outcomes should include total delivered cost for equivalent usable quantity, spoilage-adjusted cost, stockout frequency and service level. Secondary measures can include forecast error, recommendation acceptance, override reasons and buyer time spent. A lower quoted price alone is not sufficient if transport, quality loss or stockouts increase. Results should report uncertainty and sample size, and should not claim causal benefit unless the design supports that conclusion.</w:t>
      </w:r>
    </w:p>
    <w:p>
      <w:pPr>
        <w:pStyle w:val="Heading1"/>
      </w:pPr>
      <w:r>
        <w:t>F.5 Procurement decision framework</w:t>
      </w:r>
    </w:p>
    <w:p>
      <w:r>
        <w:t>A transparent rule should connect a forecast to a decision only through explicit business assumptions. For a perishable item, relevant inputs include expected consumption, current usable stock, lead time, supplier reliability, remaining shelf life and the cost of a stockout. Price direction is one input among these. A forecast that prices may rise does not automatically imply an early purchase when the buyer has adequate stock or limited storage.</w:t>
      </w:r>
    </w:p>
    <w:p>
      <w:r>
        <w:t>An economic comparison can be expressed without assigning unsupported numerical values. Let expected total cost under the current purchasing policy be compared with expected total cost under a candidate policy. The latter includes purchase expenditure, delivery, holding, spoilage, shortage and transaction costs. Any claimed benefit is the difference between comparable policies under equivalent service requirements. The model currently lacks transaction and inventory fields to estimate this quantity; the equation is a design framework for future data collection, not a result of this study.</w:t>
      </w:r>
    </w:p>
    <w:p>
      <w:r>
        <w:t>Action thresholds should be calibrated on past data and reviewed with buyers. A HOLD action can mean that the forecast does not justify changing the normal replenishment cycle; it should not be interpreted as “do nothing” if stock is low. The user interface should make that distinction. Rules should be commodity-specific only when there is enough historical evidence and a clear business rationale for the difference.</w:t>
      </w:r>
    </w:p>
    <w:p>
      <w:r>
        <w:t>The decision layer should include an abstention state. It should withhold a directional recommendation when the latest data are stale, the prediction interval is too wide, source validation is incomplete, the model fails diagnostics or the observed input is outside the training range. An abstention is a valid system outcome and can protect the buyer from false precision.</w:t>
      </w:r>
    </w:p>
    <w:p>
      <w:pPr>
        <w:pStyle w:val="Heading1"/>
      </w:pPr>
      <w:r>
        <w:t>F.6 Pilot governance and participant protection</w:t>
      </w:r>
    </w:p>
    <w:p>
      <w:r>
        <w:t>Any buyer pilot should explain what information is collected, who can access it, how long it is retained and how results will be reported. Invoices and supplier terms can be commercially sensitive. Use unique study identifiers in analytical files, restrict identifiable data to approved personnel and aggregate results where possible. Participation should be voluntary and should not affect a buyer’s access to suppliers or the dashboard.</w:t>
      </w:r>
    </w:p>
    <w:p>
      <w:r>
        <w:t>The pilot should avoid promising financial gains. Participants should be told that the forecast is under evaluation and that they retain decision authority. If an action could materially change order size or stock levels, the buyer should follow existing internal controls. Adverse outcomes, including avoidable spoilage or missed purchases, should be recorded and reviewed rather than omitted from the evaluation.</w:t>
      </w:r>
    </w:p>
    <w:p>
      <w:r>
        <w:t>The academic project should seek any institutional or programme guidance required before collecting primary business records. Consent wording, data handling, access permissions and retention should be settled in advance. These steps make the work more credible and protect the businesses that provide evidence.</w:t>
      </w:r>
    </w:p>
    <w:p>
      <w:r>
        <w:br w:type="page"/>
      </w:r>
    </w:p>
    <w:p>
      <w:pPr>
        <w:pStyle w:val="Title"/>
      </w:pPr>
      <w:r>
        <w:t>APPENDIX G - IMPLEMENTATION, DASHBOARD AND GOVERNANCE SPECIFICATION</w:t>
      </w:r>
    </w:p>
    <w:p>
      <w:pPr>
        <w:pStyle w:val="Heading1"/>
      </w:pPr>
      <w:r>
        <w:t>G.1 System boundary and data flow</w:t>
      </w:r>
    </w:p>
    <w:p>
      <w:r>
        <w:t>The analytical system should be understood as a chain of controlled transformations. Source acquisition creates a dated copy of each input. Validation checks schema, units, dates, uniqueness and coverage. Preparation produces a documented daily target and feature table. Model fitting uses a frozen configuration and chronological training window. Forecast generation writes a dated output with uncertainty and diagnostics. The decision layer evaluates explicit rules and emits an action or abstention. The dashboard presents the outputs with source date and limitations. Each stage should write an auditable record so a user can trace an action back to the data and model that produced it.</w:t>
      </w:r>
    </w:p>
    <w:p>
      <w:r>
        <w:t>The current end-to-end run demonstrates that the scripts, data products and dashboard can be assembled locally. A repeatable research run is not yet the same as a continuously refreshed production service. Production would require scheduling, credential handling if protected sources are introduced, feed monitoring, error notification, data retention and an owner responsible for resolving failures. Until these are in place, users should treat the dashboard as a local analytical interface and not assume its values refresh automatically.</w:t>
      </w:r>
    </w:p>
    <w:p>
      <w:r>
        <w:t>Each transformation should have an explicit input contract and output contract. The contract should state the required columns, types, allowed commodity values, date range, unit, uniqueness key and behavior when the contract fails. A breaking schema change should stop the pipeline with a clear message rather than create partially valid features. The process should write a run manifest that records file hashes, row counts, versions and status for each step.</w:t>
      </w:r>
    </w:p>
    <w:p>
      <w:pPr>
        <w:pStyle w:val="Heading1"/>
      </w:pPr>
      <w:r>
        <w:t>G.2 Dashboard content requirements</w:t>
      </w:r>
    </w:p>
    <w:p>
      <w:r>
        <w:t>The first screen should state the scope in plain language: statewide Tamil Nadu analysis, selected commodities, last observed date and price definition. A visible data-freshness indicator should distinguish the latest observation date from the time the dashboard was opened. If the underlying series is not Koyambedu-specific, the screen should not label the result as a Koyambedu quote. Clear scope prevents a user from applying a state-level forecast to a single market without noticing the change in geography.</w:t>
      </w:r>
    </w:p>
    <w:p>
      <w:r>
        <w:t>Each commodity view should display the recent actual series, forecast horizon, forecast value or range, model identifier, training cut-off and quality status. The chart should visually distinguish observations from forecasts and show uncertainty if validated intervals become available. The view should include a compact statement of the current action rule and the reason it fired. It should also show when no action is recommended and explain why the system is abstaining.</w:t>
      </w:r>
    </w:p>
    <w:p>
      <w:r>
        <w:t>Users should be able to inspect source coverage and important caveats without leaving the workflow. A data-quality panel can show missingness, outlier flags and the number of markets contributing to the daily aggregate. It should not overwhelm the decision screen; concise summaries can link to a detailed audit table. Exported reports should retain the date of generation and carry the same scope and limitation notes as the screen.</w:t>
      </w:r>
    </w:p>
    <w:p>
      <w:r>
        <w:t>Interaction controls should not silently alter the statistical target. Commodity selection and date filters are appropriate; an aggregation option should describe how it changes the value. If the dashboard permits an alternative model or time horizon, it should show the evaluation evidence for that option and avoid presenting an unvalidated combination as production-ready. Every control that changes a result should be reproducible from saved parameters.</w:t>
      </w:r>
    </w:p>
    <w:p>
      <w:pPr>
        <w:pStyle w:val="Heading1"/>
      </w:pPr>
      <w:r>
        <w:t>G.3 Decision and safety controls</w:t>
      </w:r>
    </w:p>
    <w:p>
      <w:r>
        <w:t>The current rule output has all eight commodities at HOLD. That should be interpreted as no change under the implemented rule, not as a conclusion that prices are stable, procurement is unnecessary or stock is adequate. The user’s inventory position is not included. The dashboard should state which variables the rule does and does not use, so users do not assume the action reflects stock or supplier conditions.</w:t>
      </w:r>
    </w:p>
    <w:p>
      <w:r>
        <w:t>A recommendation should include an explanation in terms of measurable inputs and a rule identifier. For example, the system can state that a threshold was not crossed or that forecast uncertainty prevented a directional signal. It should avoid generic text such as “buy now” unless the supporting rule, horizon and evidence have been reviewed. Advice should be phrased as an analytical signal requiring buyer judgment, especially while the model remains in retrospective evaluation.</w:t>
      </w:r>
    </w:p>
    <w:p>
      <w:r>
        <w:t>Access to manual overrides is useful, but overrides should be logged with user, time and reason. A log enables future evaluation of whether users rejected recommendations because of known operational facts or because the system was hard to interpret. Manual input should not retroactively alter the stored forecast. The forecast and the actual decision should remain separate records.</w:t>
      </w:r>
    </w:p>
    <w:p>
      <w:r>
        <w:t>If a data or model check fails, the dashboard should clearly identify the affected commodity and display the last valid date. It should not quietly reuse a stale value without labeling it. A visible warning is preferable to a precise-looking number whose inputs are no longer current.</w:t>
      </w:r>
    </w:p>
    <w:p>
      <w:pPr>
        <w:pStyle w:val="Heading1"/>
      </w:pPr>
      <w:r>
        <w:t>G.4 Model release and change management</w:t>
      </w:r>
    </w:p>
    <w:p>
      <w:r>
        <w:t>A candidate model should move through distinct stages: development, retrospective validation, shadow operation, limited pilot and monitored use. In development, analysts can tune features and parameters. In retrospective validation, the evaluation protocol is frozen. Shadow operation records forecasts without influencing purchases. A limited pilot evaluates the human workflow and realized outcomes with safeguards. Broader use should follow documented acceptance criteria approved by the project owner and guide.</w:t>
      </w:r>
    </w:p>
    <w:p>
      <w:r>
        <w:t>Every release should have a model card describing its intended use, geography, commodities, target, horizon, training dates, evaluation design, known limitations and contact owner. The card should include the exact package versions and the source data snapshot or hashes. A release should also carry a change log that explains alterations in feature engineering, thresholds and decision rules.</w:t>
      </w:r>
    </w:p>
    <w:p>
      <w:r>
        <w:t>Rollback should be possible if a new version fails a data check, degrades on the agreed monitoring metric or produces implausible outputs. The prior model and its outputs should be retained rather than overwritten. A rollback trigger should be established before deployment so that the response does not depend on informal judgment after a poor outcome.</w:t>
      </w:r>
    </w:p>
    <w:p>
      <w:r>
        <w:t>Changes to source definitions deserve the same care as model changes. A revised unit, product name, market coverage or quote type can invalidate historical comparability. Such changes should create a new data version and may require a new training series. The dashboard should communicate when a source revision affects continuity.</w:t>
      </w:r>
    </w:p>
    <w:p>
      <w:pPr>
        <w:pStyle w:val="Heading1"/>
      </w:pPr>
      <w:r>
        <w:t>G.5 Project implementation sequence</w:t>
      </w:r>
    </w:p>
    <w:p>
      <w:r>
        <w:t>Phase one is evidence hardening. Confirm dataset provenance and licenses, verify the outcome field and units, review duplicates and extremes, repair diagnostics and document the aggregation rule. The deliverable is a versioned analysis dataset with a quality report. This phase should not optimize a procurement rule until the target and source meaning are clear.</w:t>
      </w:r>
    </w:p>
    <w:p>
      <w:r>
        <w:t>Phase two is benchmark repair. Freeze the common rolling-origin evaluation plan, implement the seasonal-naive and persistence baselines, align all candidate methods on the same cut-offs and horizons, and report per-commodity metrics. Review prediction intervals and error cases. The deliverable is a model comparison that can support a defensible choice or show that a simple baseline is adequate.</w:t>
      </w:r>
    </w:p>
    <w:p>
      <w:r>
        <w:t>Phase three is Koyambedu verification. Obtain provider documentation, create a matched prospective comparison, and record grade, market, time and quote type. Set an acceptance criterion with the guide before analysis. The outcome may be acceptance, conditional use or rejection for wholesale decisions; all three are valid evidence-based conclusions.</w:t>
      </w:r>
    </w:p>
    <w:p>
      <w:r>
        <w:t>Phase four is buyer workflow design. Interview or consult intended users, define the purchase decision and service constraints, prototype explanation text, and test whether users understand the signal and limitations. The system should remain in shadow mode while interface defects and rule inconsistencies are corrected.</w:t>
      </w:r>
    </w:p>
    <w:p>
      <w:r>
        <w:t>Phase five is outcome evaluation. Run a prospective pilot with a predefined comparator and collect transaction, delivery, quality and inventory outcomes. Estimate effect only if the design supports it. If evidence is inconclusive, extend the study or narrow the claim; do not turn an uncertain estimate into a savings promise.</w:t>
      </w:r>
    </w:p>
    <w:p>
      <w:pPr>
        <w:pStyle w:val="Heading1"/>
      </w:pPr>
      <w:r>
        <w:t>G.6 Operational ownership and governance</w:t>
      </w:r>
    </w:p>
    <w:p>
      <w:r>
        <w:t>A named data owner should be responsible for source permission, retrieval, schema changes and issue escalation. A model owner should maintain code, evaluation and release records. A business owner should define how actions relate to purchasing constraints and who approves exceptions. These roles can be held by a small project team, but responsibilities should be explicit so that a technical forecast is not mistaken for an approved purchase instruction.</w:t>
      </w:r>
    </w:p>
    <w:p>
      <w:r>
        <w:t>Governance should include a periodic review of model usefulness, input quality and user overrides. The review should consider performance by commodity and season, not only a pooled score. It should document whether a model continues to serve the intended geographic scope. If market coverage changes or the Koyambedu source is validated later, that should trigger a formal scope revision rather than an informal relabeling.</w:t>
      </w:r>
    </w:p>
    <w:p>
      <w:r>
        <w:t>When the system is used for academic demonstration, the user interface should identify the analysis date and the secondary nature of the evidence. It should not hide material caveats in a separate appendix. A short explanation at the point of use protects users from assuming that model output is a direct observation or a guarantee.</w:t>
      </w:r>
    </w:p>
    <w:p>
      <w:r>
        <w:br w:type="page"/>
      </w:r>
    </w:p>
    <w:p>
      <w:pPr>
        <w:pStyle w:val="Title"/>
      </w:pPr>
      <w:r>
        <w:t>APPENDIX H - RESEARCH INSTRUMENTS AND QUALITY TEMPLATES</w:t>
      </w:r>
    </w:p>
    <w:p>
      <w:pPr>
        <w:pStyle w:val="Heading1"/>
      </w:pPr>
      <w:r>
        <w:t>H.1 Source registration form</w:t>
      </w:r>
    </w:p>
    <w:p>
      <w:r>
        <w:t>Every source entering a repeat run should have a registration record. The record should be completed before processing begins and revised only through a documented change. It supports traceability and ensures the analyst does not infer a measurement definition from a column label alone. The form below is a project control template, not a claim that all fields have already been verified.</w:t>
      </w:r>
    </w:p>
    <w:tbl>
      <w:tblPr>
        <w:tblStyle w:val="TableGrid"/>
        <w:tblW w:type="auto" w:w="0"/>
        <w:tblLook w:firstColumn="1" w:firstRow="1" w:lastColumn="0" w:lastRow="0" w:noHBand="0" w:noVBand="1" w:val="04A0"/>
      </w:tblPr>
      <w:tblGrid>
        <w:gridCol w:w="4224"/>
        <w:gridCol w:w="4224"/>
      </w:tblGrid>
      <w:tr>
        <w:tc>
          <w:tcPr>
            <w:tcW w:type="dxa" w:w="4224"/>
          </w:tcPr>
          <w:p>
            <w:pPr>
              <w:spacing w:line="240" w:lineRule="auto"/>
            </w:pPr>
            <w:r>
              <w:rPr>
                <w:sz w:val="18"/>
              </w:rPr>
              <w:t>Field</w:t>
            </w:r>
          </w:p>
        </w:tc>
        <w:tc>
          <w:tcPr>
            <w:tcW w:type="dxa" w:w="4224"/>
          </w:tcPr>
          <w:p>
            <w:pPr>
              <w:spacing w:line="240" w:lineRule="auto"/>
            </w:pPr>
            <w:r>
              <w:rPr>
                <w:sz w:val="18"/>
              </w:rPr>
              <w:t>Entry to capture</w:t>
            </w:r>
          </w:p>
        </w:tc>
      </w:tr>
      <w:tr>
        <w:tc>
          <w:tcPr>
            <w:tcW w:type="dxa" w:w="4224"/>
          </w:tcPr>
          <w:p>
            <w:pPr>
              <w:spacing w:line="240" w:lineRule="auto"/>
            </w:pPr>
            <w:r>
              <w:rPr>
                <w:sz w:val="18"/>
              </w:rPr>
              <w:t>Source name / provider</w:t>
            </w:r>
          </w:p>
        </w:tc>
        <w:tc>
          <w:tcPr>
            <w:tcW w:type="dxa" w:w="4224"/>
          </w:tcPr>
          <w:p>
            <w:pPr>
              <w:spacing w:line="240" w:lineRule="auto"/>
            </w:pPr>
            <w:r>
              <w:rPr>
                <w:sz w:val="18"/>
              </w:rPr>
            </w:r>
          </w:p>
        </w:tc>
      </w:tr>
      <w:tr>
        <w:tc>
          <w:tcPr>
            <w:tcW w:type="dxa" w:w="4224"/>
          </w:tcPr>
          <w:p>
            <w:pPr>
              <w:spacing w:line="240" w:lineRule="auto"/>
            </w:pPr>
            <w:r>
              <w:rPr>
                <w:sz w:val="18"/>
              </w:rPr>
              <w:t>Source URL or local path</w:t>
            </w:r>
          </w:p>
        </w:tc>
        <w:tc>
          <w:tcPr>
            <w:tcW w:type="dxa" w:w="4224"/>
          </w:tcPr>
          <w:p>
            <w:pPr>
              <w:spacing w:line="240" w:lineRule="auto"/>
            </w:pPr>
            <w:r>
              <w:rPr>
                <w:sz w:val="18"/>
              </w:rPr>
            </w:r>
          </w:p>
        </w:tc>
      </w:tr>
      <w:tr>
        <w:tc>
          <w:tcPr>
            <w:tcW w:type="dxa" w:w="4224"/>
          </w:tcPr>
          <w:p>
            <w:pPr>
              <w:spacing w:line="240" w:lineRule="auto"/>
            </w:pPr>
            <w:r>
              <w:rPr>
                <w:sz w:val="18"/>
              </w:rPr>
              <w:t>Retrieval date and time</w:t>
            </w:r>
          </w:p>
        </w:tc>
        <w:tc>
          <w:tcPr>
            <w:tcW w:type="dxa" w:w="4224"/>
          </w:tcPr>
          <w:p>
            <w:pPr>
              <w:spacing w:line="240" w:lineRule="auto"/>
            </w:pPr>
            <w:r>
              <w:rPr>
                <w:sz w:val="18"/>
              </w:rPr>
            </w:r>
          </w:p>
        </w:tc>
      </w:tr>
      <w:tr>
        <w:tc>
          <w:tcPr>
            <w:tcW w:type="dxa" w:w="4224"/>
          </w:tcPr>
          <w:p>
            <w:pPr>
              <w:spacing w:line="240" w:lineRule="auto"/>
            </w:pPr>
            <w:r>
              <w:rPr>
                <w:sz w:val="18"/>
              </w:rPr>
              <w:t>Owner and permission status</w:t>
            </w:r>
          </w:p>
        </w:tc>
        <w:tc>
          <w:tcPr>
            <w:tcW w:type="dxa" w:w="4224"/>
          </w:tcPr>
          <w:p>
            <w:pPr>
              <w:spacing w:line="240" w:lineRule="auto"/>
            </w:pPr>
            <w:r>
              <w:rPr>
                <w:sz w:val="18"/>
              </w:rPr>
            </w:r>
          </w:p>
        </w:tc>
      </w:tr>
      <w:tr>
        <w:tc>
          <w:tcPr>
            <w:tcW w:type="dxa" w:w="4224"/>
          </w:tcPr>
          <w:p>
            <w:r>
              <w:t>Unit / target definition</w:t>
            </w:r>
          </w:p>
        </w:tc>
        <w:tc>
          <w:tcPr>
            <w:tcW w:type="dxa" w:w="4224"/>
          </w:tcPr>
          <w:p>
            <w:pPr>
              <w:spacing w:line="240" w:lineRule="auto"/>
            </w:pPr>
            <w:r>
              <w:rPr>
                <w:sz w:val="18"/>
              </w:rPr>
            </w:r>
          </w:p>
        </w:tc>
      </w:tr>
      <w:tr>
        <w:tc>
          <w:tcPr>
            <w:tcW w:type="dxa" w:w="4224"/>
          </w:tcPr>
          <w:p>
            <w:pPr>
              <w:spacing w:line="240" w:lineRule="auto"/>
            </w:pPr>
            <w:r>
              <w:rPr>
                <w:sz w:val="18"/>
              </w:rPr>
              <w:t>Market and geography</w:t>
            </w:r>
          </w:p>
        </w:tc>
        <w:tc>
          <w:tcPr>
            <w:tcW w:type="dxa" w:w="4224"/>
          </w:tcPr>
          <w:p>
            <w:pPr>
              <w:spacing w:line="240" w:lineRule="auto"/>
            </w:pPr>
            <w:r>
              <w:rPr>
                <w:sz w:val="18"/>
              </w:rPr>
            </w:r>
          </w:p>
        </w:tc>
      </w:tr>
      <w:tr>
        <w:tc>
          <w:tcPr>
            <w:tcW w:type="dxa" w:w="4224"/>
          </w:tcPr>
          <w:p>
            <w:pPr>
              <w:spacing w:line="240" w:lineRule="auto"/>
            </w:pPr>
            <w:r>
              <w:rPr>
                <w:sz w:val="18"/>
              </w:rPr>
              <w:t>Commodity / grade mapping</w:t>
            </w:r>
          </w:p>
        </w:tc>
        <w:tc>
          <w:tcPr>
            <w:tcW w:type="dxa" w:w="4224"/>
          </w:tcPr>
          <w:p>
            <w:pPr>
              <w:spacing w:line="240" w:lineRule="auto"/>
            </w:pPr>
            <w:r>
              <w:rPr>
                <w:sz w:val="18"/>
              </w:rPr>
            </w:r>
          </w:p>
        </w:tc>
      </w:tr>
      <w:tr>
        <w:tc>
          <w:tcPr>
            <w:tcW w:type="dxa" w:w="4224"/>
          </w:tcPr>
          <w:p>
            <w:pPr>
              <w:spacing w:line="240" w:lineRule="auto"/>
            </w:pPr>
            <w:r>
              <w:rPr>
                <w:sz w:val="18"/>
              </w:rPr>
              <w:t>Update frequency and publication lag</w:t>
            </w:r>
          </w:p>
        </w:tc>
        <w:tc>
          <w:tcPr>
            <w:tcW w:type="dxa" w:w="4224"/>
          </w:tcPr>
          <w:p>
            <w:pPr>
              <w:spacing w:line="240" w:lineRule="auto"/>
            </w:pPr>
            <w:r>
              <w:rPr>
                <w:sz w:val="18"/>
              </w:rPr>
            </w:r>
          </w:p>
        </w:tc>
      </w:tr>
      <w:tr>
        <w:tc>
          <w:tcPr>
            <w:tcW w:type="dxa" w:w="4224"/>
          </w:tcPr>
          <w:p>
            <w:pPr>
              <w:spacing w:line="240" w:lineRule="auto"/>
            </w:pPr>
            <w:r>
              <w:rPr>
                <w:sz w:val="18"/>
              </w:rPr>
              <w:t>File hash and source version</w:t>
            </w:r>
          </w:p>
        </w:tc>
        <w:tc>
          <w:tcPr>
            <w:tcW w:type="dxa" w:w="4224"/>
          </w:tcPr>
          <w:p>
            <w:pPr>
              <w:spacing w:line="240" w:lineRule="auto"/>
            </w:pPr>
            <w:r>
              <w:rPr>
                <w:sz w:val="18"/>
              </w:rPr>
            </w:r>
          </w:p>
        </w:tc>
      </w:tr>
      <w:tr>
        <w:tc>
          <w:tcPr>
            <w:tcW w:type="dxa" w:w="4224"/>
          </w:tcPr>
          <w:p>
            <w:pPr>
              <w:spacing w:line="240" w:lineRule="auto"/>
            </w:pPr>
            <w:r>
              <w:rPr>
                <w:sz w:val="18"/>
              </w:rPr>
              <w:t>Known transformations upstream</w:t>
            </w:r>
          </w:p>
        </w:tc>
        <w:tc>
          <w:tcPr>
            <w:tcW w:type="dxa" w:w="4224"/>
          </w:tcPr>
          <w:p>
            <w:pPr>
              <w:spacing w:line="240" w:lineRule="auto"/>
            </w:pPr>
            <w:r>
              <w:rPr>
                <w:sz w:val="18"/>
              </w:rPr>
            </w:r>
          </w:p>
        </w:tc>
      </w:tr>
    </w:tbl>
    <w:p>
      <w:pPr>
        <w:pStyle w:val="Heading1"/>
      </w:pPr>
      <w:r>
        <w:t>H.2 Raw-data inspection checklist</w:t>
      </w:r>
    </w:p>
    <w:p>
      <w:r>
        <w:t>An inspection checklist provides a consistent review before feature construction. It should be saved with the run, including checks that pass and checks that require action. A failed check should identify the affected field, number of records, example identifiers and resolution status. If no correction is appropriate, the reason for retaining the records should also be recorded.</w:t>
      </w:r>
    </w:p>
    <w:tbl>
      <w:tblPr>
        <w:tblStyle w:val="TableGrid"/>
        <w:tblW w:type="auto" w:w="0"/>
        <w:tblLook w:firstColumn="1" w:firstRow="1" w:lastColumn="0" w:lastRow="0" w:noHBand="0" w:noVBand="1" w:val="04A0"/>
      </w:tblPr>
      <w:tblGrid>
        <w:gridCol w:w="2816"/>
        <w:gridCol w:w="2816"/>
        <w:gridCol w:w="2816"/>
      </w:tblGrid>
      <w:tr>
        <w:tc>
          <w:tcPr>
            <w:tcW w:type="dxa" w:w="2816"/>
          </w:tcPr>
          <w:p>
            <w:pPr>
              <w:spacing w:line="240" w:lineRule="auto"/>
            </w:pPr>
            <w:r>
              <w:rPr>
                <w:sz w:val="18"/>
              </w:rPr>
              <w:t>Check</w:t>
            </w:r>
          </w:p>
        </w:tc>
        <w:tc>
          <w:tcPr>
            <w:tcW w:type="dxa" w:w="2816"/>
          </w:tcPr>
          <w:p>
            <w:pPr>
              <w:spacing w:line="240" w:lineRule="auto"/>
            </w:pPr>
            <w:r>
              <w:rPr>
                <w:sz w:val="18"/>
              </w:rPr>
              <w:t>Evidence recorded</w:t>
            </w:r>
          </w:p>
        </w:tc>
        <w:tc>
          <w:tcPr>
            <w:tcW w:type="dxa" w:w="2816"/>
          </w:tcPr>
          <w:p>
            <w:pPr>
              <w:spacing w:line="240" w:lineRule="auto"/>
            </w:pPr>
            <w:r>
              <w:rPr>
                <w:sz w:val="18"/>
              </w:rPr>
              <w:t>Pass / follow-up</w:t>
            </w:r>
          </w:p>
        </w:tc>
      </w:tr>
      <w:tr>
        <w:tc>
          <w:tcPr>
            <w:tcW w:type="dxa" w:w="2816"/>
          </w:tcPr>
          <w:p>
            <w:pPr>
              <w:spacing w:line="240" w:lineRule="auto"/>
            </w:pPr>
            <w:r>
              <w:rPr>
                <w:sz w:val="18"/>
              </w:rPr>
              <w:t>File readable; schema matches contract</w:t>
            </w:r>
          </w:p>
        </w:tc>
        <w:tc>
          <w:tcPr>
            <w:tcW w:type="dxa" w:w="2816"/>
          </w:tcPr>
          <w:p>
            <w:pPr>
              <w:spacing w:line="240" w:lineRule="auto"/>
            </w:pPr>
            <w:r>
              <w:rPr>
                <w:sz w:val="18"/>
              </w:rPr>
              <w:t>Columns, types, file hash</w:t>
            </w:r>
          </w:p>
        </w:tc>
        <w:tc>
          <w:tcPr>
            <w:tcW w:type="dxa" w:w="2816"/>
          </w:tcPr>
          <w:p>
            <w:pPr>
              <w:spacing w:line="240" w:lineRule="auto"/>
            </w:pPr>
            <w:r>
              <w:rPr>
                <w:sz w:val="18"/>
              </w:rPr>
            </w:r>
          </w:p>
        </w:tc>
      </w:tr>
      <w:tr>
        <w:tc>
          <w:tcPr>
            <w:tcW w:type="dxa" w:w="2816"/>
          </w:tcPr>
          <w:p>
            <w:pPr>
              <w:spacing w:line="240" w:lineRule="auto"/>
            </w:pPr>
            <w:r>
              <w:rPr>
                <w:sz w:val="18"/>
              </w:rPr>
              <w:t>Dates parse and fall in expected range</w:t>
            </w:r>
          </w:p>
        </w:tc>
        <w:tc>
          <w:tcPr>
            <w:tcW w:type="dxa" w:w="2816"/>
          </w:tcPr>
          <w:p>
            <w:pPr>
              <w:spacing w:line="240" w:lineRule="auto"/>
            </w:pPr>
            <w:r>
              <w:rPr>
                <w:sz w:val="18"/>
              </w:rPr>
              <w:t>Min/max and invalid count</w:t>
            </w:r>
          </w:p>
        </w:tc>
        <w:tc>
          <w:tcPr>
            <w:tcW w:type="dxa" w:w="2816"/>
          </w:tcPr>
          <w:p>
            <w:pPr>
              <w:spacing w:line="240" w:lineRule="auto"/>
            </w:pPr>
            <w:r>
              <w:rPr>
                <w:sz w:val="18"/>
              </w:rPr>
            </w:r>
          </w:p>
        </w:tc>
      </w:tr>
      <w:tr>
        <w:tc>
          <w:tcPr>
            <w:tcW w:type="dxa" w:w="2816"/>
          </w:tcPr>
          <w:p>
            <w:pPr>
              <w:spacing w:line="240" w:lineRule="auto"/>
            </w:pPr>
            <w:r>
              <w:rPr>
                <w:sz w:val="18"/>
              </w:rPr>
              <w:t>Observation keys are unique or duplicates explained</w:t>
            </w:r>
          </w:p>
        </w:tc>
        <w:tc>
          <w:tcPr>
            <w:tcW w:type="dxa" w:w="2816"/>
          </w:tcPr>
          <w:p>
            <w:pPr>
              <w:spacing w:line="240" w:lineRule="auto"/>
            </w:pPr>
            <w:r>
              <w:rPr>
                <w:sz w:val="18"/>
              </w:rPr>
              <w:t>Duplicate key count</w:t>
            </w:r>
          </w:p>
        </w:tc>
        <w:tc>
          <w:tcPr>
            <w:tcW w:type="dxa" w:w="2816"/>
          </w:tcPr>
          <w:p>
            <w:pPr>
              <w:spacing w:line="240" w:lineRule="auto"/>
            </w:pPr>
            <w:r>
              <w:rPr>
                <w:sz w:val="18"/>
              </w:rPr>
            </w:r>
          </w:p>
        </w:tc>
      </w:tr>
      <w:tr>
        <w:tc>
          <w:tcPr>
            <w:tcW w:type="dxa" w:w="2816"/>
          </w:tcPr>
          <w:p>
            <w:pPr>
              <w:spacing w:line="240" w:lineRule="auto"/>
            </w:pPr>
            <w:r>
              <w:rPr>
                <w:sz w:val="18"/>
              </w:rPr>
              <w:t>Price values numeric and units documented</w:t>
            </w:r>
          </w:p>
        </w:tc>
        <w:tc>
          <w:tcPr>
            <w:tcW w:type="dxa" w:w="2816"/>
          </w:tcPr>
          <w:p>
            <w:pPr>
              <w:spacing w:line="240" w:lineRule="auto"/>
            </w:pPr>
            <w:r>
              <w:rPr>
                <w:sz w:val="18"/>
              </w:rPr>
              <w:t>Invalid, zero, negative counts</w:t>
            </w:r>
          </w:p>
        </w:tc>
        <w:tc>
          <w:tcPr>
            <w:tcW w:type="dxa" w:w="2816"/>
          </w:tcPr>
          <w:p>
            <w:pPr>
              <w:spacing w:line="240" w:lineRule="auto"/>
            </w:pPr>
            <w:r>
              <w:rPr>
                <w:sz w:val="18"/>
              </w:rPr>
            </w:r>
          </w:p>
        </w:tc>
      </w:tr>
      <w:tr>
        <w:tc>
          <w:tcPr>
            <w:tcW w:type="dxa" w:w="2816"/>
          </w:tcPr>
          <w:p>
            <w:pPr>
              <w:spacing w:line="240" w:lineRule="auto"/>
            </w:pPr>
            <w:r>
              <w:rPr>
                <w:sz w:val="18"/>
              </w:rPr>
              <w:t>Missingness mapped by date and commodity</w:t>
            </w:r>
          </w:p>
        </w:tc>
        <w:tc>
          <w:tcPr>
            <w:tcW w:type="dxa" w:w="2816"/>
          </w:tcPr>
          <w:p>
            <w:pPr>
              <w:spacing w:line="240" w:lineRule="auto"/>
            </w:pPr>
            <w:r>
              <w:rPr>
                <w:sz w:val="18"/>
              </w:rPr>
              <w:t>Gap counts and heat map</w:t>
            </w:r>
          </w:p>
        </w:tc>
        <w:tc>
          <w:tcPr>
            <w:tcW w:type="dxa" w:w="2816"/>
          </w:tcPr>
          <w:p>
            <w:pPr>
              <w:spacing w:line="240" w:lineRule="auto"/>
            </w:pPr>
            <w:r>
              <w:rPr>
                <w:sz w:val="18"/>
              </w:rPr>
            </w:r>
          </w:p>
        </w:tc>
      </w:tr>
      <w:tr>
        <w:tc>
          <w:tcPr>
            <w:tcW w:type="dxa" w:w="2816"/>
          </w:tcPr>
          <w:p>
            <w:pPr>
              <w:spacing w:line="240" w:lineRule="auto"/>
            </w:pPr>
            <w:r>
              <w:rPr>
                <w:sz w:val="18"/>
              </w:rPr>
              <w:t>Market participation recorded per date</w:t>
            </w:r>
          </w:p>
        </w:tc>
        <w:tc>
          <w:tcPr>
            <w:tcW w:type="dxa" w:w="2816"/>
          </w:tcPr>
          <w:p>
            <w:pPr>
              <w:spacing w:line="240" w:lineRule="auto"/>
            </w:pPr>
            <w:r>
              <w:rPr>
                <w:sz w:val="18"/>
              </w:rPr>
              <w:t>Contributing market counts</w:t>
            </w:r>
          </w:p>
        </w:tc>
        <w:tc>
          <w:tcPr>
            <w:tcW w:type="dxa" w:w="2816"/>
          </w:tcPr>
          <w:p>
            <w:pPr>
              <w:spacing w:line="240" w:lineRule="auto"/>
            </w:pPr>
            <w:r>
              <w:rPr>
                <w:sz w:val="18"/>
              </w:rPr>
            </w:r>
          </w:p>
        </w:tc>
      </w:tr>
      <w:tr>
        <w:tc>
          <w:tcPr>
            <w:tcW w:type="dxa" w:w="2816"/>
          </w:tcPr>
          <w:p>
            <w:pPr>
              <w:spacing w:line="240" w:lineRule="auto"/>
            </w:pPr>
            <w:r>
              <w:rPr>
                <w:sz w:val="18"/>
              </w:rPr>
              <w:t>Extreme records traceable to source rows</w:t>
            </w:r>
          </w:p>
        </w:tc>
        <w:tc>
          <w:tcPr>
            <w:tcW w:type="dxa" w:w="2816"/>
          </w:tcPr>
          <w:p>
            <w:pPr>
              <w:spacing w:line="240" w:lineRule="auto"/>
            </w:pPr>
            <w:r>
              <w:rPr>
                <w:sz w:val="18"/>
              </w:rPr>
              <w:t>Identifiers and review outcome</w:t>
            </w:r>
          </w:p>
        </w:tc>
        <w:tc>
          <w:tcPr>
            <w:tcW w:type="dxa" w:w="2816"/>
          </w:tcPr>
          <w:p>
            <w:pPr>
              <w:spacing w:line="240" w:lineRule="auto"/>
            </w:pPr>
            <w:r>
              <w:rPr>
                <w:sz w:val="18"/>
              </w:rPr>
            </w:r>
          </w:p>
        </w:tc>
      </w:tr>
      <w:tr>
        <w:tc>
          <w:tcPr>
            <w:tcW w:type="dxa" w:w="2816"/>
          </w:tcPr>
          <w:p>
            <w:pPr>
              <w:spacing w:line="240" w:lineRule="auto"/>
            </w:pPr>
            <w:r>
              <w:rPr>
                <w:sz w:val="18"/>
              </w:rPr>
              <w:t>Merge keys preserve intended row count</w:t>
            </w:r>
          </w:p>
        </w:tc>
        <w:tc>
          <w:tcPr>
            <w:tcW w:type="dxa" w:w="2816"/>
          </w:tcPr>
          <w:p>
            <w:pPr>
              <w:spacing w:line="240" w:lineRule="auto"/>
            </w:pPr>
            <w:r>
              <w:rPr>
                <w:sz w:val="18"/>
              </w:rPr>
              <w:t>Before/after row totals</w:t>
            </w:r>
          </w:p>
        </w:tc>
        <w:tc>
          <w:tcPr>
            <w:tcW w:type="dxa" w:w="2816"/>
          </w:tcPr>
          <w:p>
            <w:pPr>
              <w:spacing w:line="240" w:lineRule="auto"/>
            </w:pPr>
            <w:r>
              <w:rPr>
                <w:sz w:val="18"/>
              </w:rPr>
            </w:r>
          </w:p>
        </w:tc>
      </w:tr>
      <w:tr>
        <w:tc>
          <w:tcPr>
            <w:tcW w:type="dxa" w:w="2816"/>
          </w:tcPr>
          <w:p>
            <w:pPr>
              <w:spacing w:line="240" w:lineRule="auto"/>
            </w:pPr>
            <w:r>
              <w:rPr>
                <w:sz w:val="18"/>
              </w:rPr>
              <w:t>Features available at forecast issue time</w:t>
            </w:r>
          </w:p>
        </w:tc>
        <w:tc>
          <w:tcPr>
            <w:tcW w:type="dxa" w:w="2816"/>
          </w:tcPr>
          <w:p>
            <w:pPr>
              <w:spacing w:line="240" w:lineRule="auto"/>
            </w:pPr>
            <w:r>
              <w:rPr>
                <w:sz w:val="18"/>
              </w:rPr>
              <w:t>Leakage review</w:t>
            </w:r>
          </w:p>
        </w:tc>
        <w:tc>
          <w:tcPr>
            <w:tcW w:type="dxa" w:w="2816"/>
          </w:tcPr>
          <w:p>
            <w:pPr>
              <w:spacing w:line="240" w:lineRule="auto"/>
            </w:pPr>
            <w:r>
              <w:rPr>
                <w:sz w:val="18"/>
              </w:rPr>
            </w:r>
          </w:p>
        </w:tc>
      </w:tr>
      <w:tr>
        <w:tc>
          <w:tcPr>
            <w:tcW w:type="dxa" w:w="2816"/>
          </w:tcPr>
          <w:p>
            <w:pPr>
              <w:spacing w:line="240" w:lineRule="auto"/>
            </w:pPr>
            <w:r>
              <w:rPr>
                <w:sz w:val="18"/>
              </w:rPr>
              <w:t>Processing thresholds reviewed</w:t>
            </w:r>
          </w:p>
        </w:tc>
        <w:tc>
          <w:tcPr>
            <w:tcW w:type="dxa" w:w="2816"/>
          </w:tcPr>
          <w:p>
            <w:pPr>
              <w:spacing w:line="240" w:lineRule="auto"/>
            </w:pPr>
            <w:r>
              <w:rPr>
                <w:sz w:val="18"/>
              </w:rPr>
              <w:t>Rationale and affected rows</w:t>
            </w:r>
          </w:p>
        </w:tc>
        <w:tc>
          <w:tcPr>
            <w:tcW w:type="dxa" w:w="2816"/>
          </w:tcPr>
          <w:p>
            <w:pPr>
              <w:spacing w:line="240" w:lineRule="auto"/>
            </w:pPr>
            <w:r>
              <w:rPr>
                <w:sz w:val="18"/>
              </w:rPr>
            </w:r>
          </w:p>
        </w:tc>
      </w:tr>
    </w:tbl>
    <w:p>
      <w:pPr>
        <w:pStyle w:val="Heading1"/>
      </w:pPr>
      <w:r>
        <w:t>H.3 Forecast evaluation record</w:t>
      </w:r>
    </w:p>
    <w:p>
      <w:r>
        <w:t>Each reported model score should have a complete evaluation record. Keeping this record prevents static holdout results from being confused with walk-forward results, and allows another analyst to reproduce the score. Values must be populated from an executed run; blanks are intentional fields rather than estimates.</w:t>
      </w:r>
    </w:p>
    <w:tbl>
      <w:tblPr>
        <w:tblStyle w:val="TableGrid"/>
        <w:tblW w:type="auto" w:w="0"/>
        <w:tblLook w:firstColumn="1" w:firstRow="1" w:lastColumn="0" w:lastRow="0" w:noHBand="0" w:noVBand="1" w:val="04A0"/>
      </w:tblPr>
      <w:tblGrid>
        <w:gridCol w:w="4224"/>
        <w:gridCol w:w="4224"/>
      </w:tblGrid>
      <w:tr>
        <w:tc>
          <w:tcPr>
            <w:tcW w:type="dxa" w:w="4224"/>
          </w:tcPr>
          <w:p>
            <w:pPr>
              <w:spacing w:line="240" w:lineRule="auto"/>
            </w:pPr>
            <w:r>
              <w:rPr>
                <w:sz w:val="18"/>
              </w:rPr>
              <w:t>Evaluation item</w:t>
            </w:r>
          </w:p>
        </w:tc>
        <w:tc>
          <w:tcPr>
            <w:tcW w:type="dxa" w:w="4224"/>
          </w:tcPr>
          <w:p>
            <w:pPr>
              <w:spacing w:line="240" w:lineRule="auto"/>
            </w:pPr>
            <w:r>
              <w:rPr>
                <w:sz w:val="18"/>
              </w:rPr>
              <w:t>Required entry</w:t>
            </w:r>
          </w:p>
        </w:tc>
      </w:tr>
      <w:tr>
        <w:tc>
          <w:tcPr>
            <w:tcW w:type="dxa" w:w="4224"/>
          </w:tcPr>
          <w:p>
            <w:pPr>
              <w:spacing w:line="240" w:lineRule="auto"/>
            </w:pPr>
            <w:r>
              <w:rPr>
                <w:sz w:val="18"/>
              </w:rPr>
              <w:t>Target and price definition</w:t>
            </w:r>
          </w:p>
        </w:tc>
        <w:tc>
          <w:tcPr>
            <w:tcW w:type="dxa" w:w="4224"/>
          </w:tcPr>
          <w:p>
            <w:pPr>
              <w:spacing w:line="240" w:lineRule="auto"/>
            </w:pPr>
            <w:r>
              <w:rPr>
                <w:sz w:val="18"/>
              </w:rPr>
            </w:r>
          </w:p>
        </w:tc>
      </w:tr>
      <w:tr>
        <w:tc>
          <w:tcPr>
            <w:tcW w:type="dxa" w:w="4224"/>
          </w:tcPr>
          <w:p>
            <w:pPr>
              <w:spacing w:line="240" w:lineRule="auto"/>
            </w:pPr>
            <w:r>
              <w:rPr>
                <w:sz w:val="18"/>
              </w:rPr>
              <w:t>Commodity and geographic scope</w:t>
            </w:r>
          </w:p>
        </w:tc>
        <w:tc>
          <w:tcPr>
            <w:tcW w:type="dxa" w:w="4224"/>
          </w:tcPr>
          <w:p>
            <w:pPr>
              <w:spacing w:line="240" w:lineRule="auto"/>
            </w:pPr>
            <w:r>
              <w:rPr>
                <w:sz w:val="18"/>
              </w:rPr>
            </w:r>
          </w:p>
        </w:tc>
      </w:tr>
      <w:tr>
        <w:tc>
          <w:tcPr>
            <w:tcW w:type="dxa" w:w="4224"/>
          </w:tcPr>
          <w:p>
            <w:pPr>
              <w:spacing w:line="240" w:lineRule="auto"/>
            </w:pPr>
            <w:r>
              <w:rPr>
                <w:sz w:val="18"/>
              </w:rPr>
              <w:t>Forecast horizon</w:t>
            </w:r>
          </w:p>
        </w:tc>
        <w:tc>
          <w:tcPr>
            <w:tcW w:type="dxa" w:w="4224"/>
          </w:tcPr>
          <w:p>
            <w:pPr>
              <w:spacing w:line="240" w:lineRule="auto"/>
            </w:pPr>
            <w:r>
              <w:rPr>
                <w:sz w:val="18"/>
              </w:rPr>
            </w:r>
          </w:p>
        </w:tc>
      </w:tr>
      <w:tr>
        <w:tc>
          <w:tcPr>
            <w:tcW w:type="dxa" w:w="4224"/>
          </w:tcPr>
          <w:p>
            <w:pPr>
              <w:spacing w:line="240" w:lineRule="auto"/>
            </w:pPr>
            <w:r>
              <w:rPr>
                <w:sz w:val="18"/>
              </w:rPr>
              <w:t>Training cut-off dates</w:t>
            </w:r>
          </w:p>
        </w:tc>
        <w:tc>
          <w:tcPr>
            <w:tcW w:type="dxa" w:w="4224"/>
          </w:tcPr>
          <w:p>
            <w:pPr>
              <w:spacing w:line="240" w:lineRule="auto"/>
            </w:pPr>
            <w:r>
              <w:rPr>
                <w:sz w:val="18"/>
              </w:rPr>
            </w:r>
          </w:p>
        </w:tc>
      </w:tr>
      <w:tr>
        <w:tc>
          <w:tcPr>
            <w:tcW w:type="dxa" w:w="4224"/>
          </w:tcPr>
          <w:p>
            <w:pPr>
              <w:spacing w:line="240" w:lineRule="auto"/>
            </w:pPr>
            <w:r>
              <w:rPr>
                <w:sz w:val="18"/>
              </w:rPr>
              <w:t>Test dates per origin</w:t>
            </w:r>
          </w:p>
        </w:tc>
        <w:tc>
          <w:tcPr>
            <w:tcW w:type="dxa" w:w="4224"/>
          </w:tcPr>
          <w:p>
            <w:pPr>
              <w:spacing w:line="240" w:lineRule="auto"/>
            </w:pPr>
            <w:r>
              <w:rPr>
                <w:sz w:val="18"/>
              </w:rPr>
            </w:r>
          </w:p>
        </w:tc>
      </w:tr>
      <w:tr>
        <w:tc>
          <w:tcPr>
            <w:tcW w:type="dxa" w:w="4224"/>
          </w:tcPr>
          <w:p>
            <w:pPr>
              <w:spacing w:line="240" w:lineRule="auto"/>
            </w:pPr>
            <w:r>
              <w:rPr>
                <w:sz w:val="18"/>
              </w:rPr>
              <w:t>Feature availability rule</w:t>
            </w:r>
          </w:p>
        </w:tc>
        <w:tc>
          <w:tcPr>
            <w:tcW w:type="dxa" w:w="4224"/>
          </w:tcPr>
          <w:p>
            <w:pPr>
              <w:spacing w:line="240" w:lineRule="auto"/>
            </w:pPr>
            <w:r>
              <w:rPr>
                <w:sz w:val="18"/>
              </w:rPr>
            </w:r>
          </w:p>
        </w:tc>
      </w:tr>
      <w:tr>
        <w:tc>
          <w:tcPr>
            <w:tcW w:type="dxa" w:w="4224"/>
          </w:tcPr>
          <w:p>
            <w:pPr>
              <w:spacing w:line="240" w:lineRule="auto"/>
            </w:pPr>
            <w:r>
              <w:rPr>
                <w:sz w:val="18"/>
              </w:rPr>
              <w:t>Model version and parameters</w:t>
            </w:r>
          </w:p>
        </w:tc>
        <w:tc>
          <w:tcPr>
            <w:tcW w:type="dxa" w:w="4224"/>
          </w:tcPr>
          <w:p>
            <w:pPr>
              <w:spacing w:line="240" w:lineRule="auto"/>
            </w:pPr>
            <w:r>
              <w:rPr>
                <w:sz w:val="18"/>
              </w:rPr>
            </w:r>
          </w:p>
        </w:tc>
      </w:tr>
      <w:tr>
        <w:tc>
          <w:tcPr>
            <w:tcW w:type="dxa" w:w="4224"/>
          </w:tcPr>
          <w:p>
            <w:pPr>
              <w:spacing w:line="240" w:lineRule="auto"/>
            </w:pPr>
            <w:r>
              <w:rPr>
                <w:sz w:val="18"/>
              </w:rPr>
              <w:t>Baseline methods</w:t>
            </w:r>
          </w:p>
        </w:tc>
        <w:tc>
          <w:tcPr>
            <w:tcW w:type="dxa" w:w="4224"/>
          </w:tcPr>
          <w:p>
            <w:pPr>
              <w:spacing w:line="240" w:lineRule="auto"/>
            </w:pPr>
            <w:r>
              <w:rPr>
                <w:sz w:val="18"/>
              </w:rPr>
            </w:r>
          </w:p>
        </w:tc>
      </w:tr>
      <w:tr>
        <w:tc>
          <w:tcPr>
            <w:tcW w:type="dxa" w:w="4224"/>
          </w:tcPr>
          <w:p>
            <w:pPr>
              <w:spacing w:line="240" w:lineRule="auto"/>
            </w:pPr>
            <w:r>
              <w:rPr>
                <w:sz w:val="18"/>
              </w:rPr>
              <w:t>Metric definitions and denominator handling</w:t>
            </w:r>
          </w:p>
        </w:tc>
        <w:tc>
          <w:tcPr>
            <w:tcW w:type="dxa" w:w="4224"/>
          </w:tcPr>
          <w:p>
            <w:pPr>
              <w:spacing w:line="240" w:lineRule="auto"/>
            </w:pPr>
            <w:r>
              <w:rPr>
                <w:sz w:val="18"/>
              </w:rPr>
            </w:r>
          </w:p>
        </w:tc>
      </w:tr>
      <w:tr>
        <w:tc>
          <w:tcPr>
            <w:tcW w:type="dxa" w:w="4224"/>
          </w:tcPr>
          <w:p>
            <w:pPr>
              <w:spacing w:line="240" w:lineRule="auto"/>
            </w:pPr>
            <w:r>
              <w:rPr>
                <w:sz w:val="18"/>
              </w:rPr>
              <w:t>Per-commodity errors</w:t>
            </w:r>
          </w:p>
        </w:tc>
        <w:tc>
          <w:tcPr>
            <w:tcW w:type="dxa" w:w="4224"/>
          </w:tcPr>
          <w:p>
            <w:pPr>
              <w:spacing w:line="240" w:lineRule="auto"/>
            </w:pPr>
            <w:r>
              <w:rPr>
                <w:sz w:val="18"/>
              </w:rPr>
            </w:r>
          </w:p>
        </w:tc>
      </w:tr>
      <w:tr>
        <w:tc>
          <w:tcPr>
            <w:tcW w:type="dxa" w:w="4224"/>
          </w:tcPr>
          <w:p>
            <w:pPr>
              <w:spacing w:line="240" w:lineRule="auto"/>
            </w:pPr>
            <w:r>
              <w:rPr>
                <w:sz w:val="18"/>
              </w:rPr>
              <w:t>Warnings and failed fits</w:t>
            </w:r>
          </w:p>
        </w:tc>
        <w:tc>
          <w:tcPr>
            <w:tcW w:type="dxa" w:w="4224"/>
          </w:tcPr>
          <w:p>
            <w:pPr>
              <w:spacing w:line="240" w:lineRule="auto"/>
            </w:pPr>
            <w:r>
              <w:rPr>
                <w:sz w:val="18"/>
              </w:rPr>
            </w:r>
          </w:p>
        </w:tc>
      </w:tr>
      <w:tr>
        <w:tc>
          <w:tcPr>
            <w:tcW w:type="dxa" w:w="4224"/>
          </w:tcPr>
          <w:p>
            <w:pPr>
              <w:spacing w:line="240" w:lineRule="auto"/>
            </w:pPr>
            <w:r>
              <w:rPr>
                <w:sz w:val="18"/>
              </w:rPr>
              <w:t>Interval calibration, if applicable</w:t>
            </w:r>
          </w:p>
        </w:tc>
        <w:tc>
          <w:tcPr>
            <w:tcW w:type="dxa" w:w="4224"/>
          </w:tcPr>
          <w:p>
            <w:pPr>
              <w:spacing w:line="240" w:lineRule="auto"/>
            </w:pPr>
            <w:r>
              <w:rPr>
                <w:sz w:val="18"/>
              </w:rPr>
            </w:r>
          </w:p>
        </w:tc>
      </w:tr>
      <w:tr>
        <w:tc>
          <w:tcPr>
            <w:tcW w:type="dxa" w:w="4224"/>
          </w:tcPr>
          <w:p>
            <w:pPr>
              <w:spacing w:line="240" w:lineRule="auto"/>
            </w:pPr>
            <w:r>
              <w:rPr>
                <w:sz w:val="18"/>
              </w:rPr>
              <w:t>Run hash / package versions</w:t>
            </w:r>
          </w:p>
        </w:tc>
        <w:tc>
          <w:tcPr>
            <w:tcW w:type="dxa" w:w="4224"/>
          </w:tcPr>
          <w:p>
            <w:pPr>
              <w:spacing w:line="240" w:lineRule="auto"/>
            </w:pPr>
            <w:r>
              <w:rPr>
                <w:sz w:val="18"/>
              </w:rPr>
            </w:r>
          </w:p>
        </w:tc>
      </w:tr>
    </w:tbl>
    <w:p>
      <w:pPr>
        <w:pStyle w:val="Heading1"/>
      </w:pPr>
      <w:r>
        <w:t>H.4 Koyambedu matched-quote observation form</w:t>
      </w:r>
    </w:p>
    <w:p>
      <w:r>
        <w:t>This form is designed for a prospective validation period. It records the contextual fields required to decide whether two prices refer to comparable products and market conditions. An entry should be retained even if the comparison cannot be matched; excluding unmatched pairs would bias the validation toward convenient observations.</w:t>
      </w:r>
    </w:p>
    <w:tbl>
      <w:tblPr>
        <w:tblStyle w:val="TableGrid"/>
        <w:tblW w:type="auto" w:w="0"/>
        <w:tblLook w:firstColumn="1" w:firstRow="1" w:lastColumn="0" w:lastRow="0" w:noHBand="0" w:noVBand="1" w:val="04A0"/>
      </w:tblPr>
      <w:tblGrid>
        <w:gridCol w:w="4224"/>
        <w:gridCol w:w="4224"/>
      </w:tblGrid>
      <w:tr>
        <w:tc>
          <w:tcPr>
            <w:tcW w:type="dxa" w:w="4224"/>
          </w:tcPr>
          <w:p>
            <w:pPr>
              <w:spacing w:line="240" w:lineRule="auto"/>
            </w:pPr>
            <w:r>
              <w:rPr>
                <w:sz w:val="18"/>
              </w:rPr>
              <w:t>Matched comparison field</w:t>
            </w:r>
          </w:p>
        </w:tc>
        <w:tc>
          <w:tcPr>
            <w:tcW w:type="dxa" w:w="4224"/>
          </w:tcPr>
          <w:p>
            <w:pPr>
              <w:spacing w:line="240" w:lineRule="auto"/>
            </w:pPr>
            <w:r>
              <w:rPr>
                <w:sz w:val="18"/>
              </w:rPr>
              <w:t>Entry</w:t>
            </w:r>
          </w:p>
        </w:tc>
      </w:tr>
      <w:tr>
        <w:tc>
          <w:tcPr>
            <w:tcW w:type="dxa" w:w="4224"/>
          </w:tcPr>
          <w:p>
            <w:pPr>
              <w:spacing w:line="240" w:lineRule="auto"/>
            </w:pPr>
            <w:r>
              <w:rPr>
                <w:sz w:val="18"/>
              </w:rPr>
              <w:t>Observation date and time</w:t>
            </w:r>
          </w:p>
        </w:tc>
        <w:tc>
          <w:tcPr>
            <w:tcW w:type="dxa" w:w="4224"/>
          </w:tcPr>
          <w:p>
            <w:pPr>
              <w:spacing w:line="240" w:lineRule="auto"/>
            </w:pPr>
            <w:r>
              <w:rPr>
                <w:sz w:val="18"/>
              </w:rPr>
            </w:r>
          </w:p>
        </w:tc>
      </w:tr>
      <w:tr>
        <w:tc>
          <w:tcPr>
            <w:tcW w:type="dxa" w:w="4224"/>
          </w:tcPr>
          <w:p>
            <w:pPr>
              <w:spacing w:line="240" w:lineRule="auto"/>
            </w:pPr>
            <w:r>
              <w:rPr>
                <w:sz w:val="18"/>
              </w:rPr>
              <w:t>Koyambedu provider value / unit</w:t>
            </w:r>
          </w:p>
        </w:tc>
        <w:tc>
          <w:tcPr>
            <w:tcW w:type="dxa" w:w="4224"/>
          </w:tcPr>
          <w:p>
            <w:pPr>
              <w:spacing w:line="240" w:lineRule="auto"/>
            </w:pPr>
            <w:r>
              <w:rPr>
                <w:sz w:val="18"/>
              </w:rPr>
            </w:r>
          </w:p>
        </w:tc>
      </w:tr>
      <w:tr>
        <w:tc>
          <w:tcPr>
            <w:tcW w:type="dxa" w:w="4224"/>
          </w:tcPr>
          <w:p>
            <w:pPr>
              <w:spacing w:line="240" w:lineRule="auto"/>
            </w:pPr>
            <w:r>
              <w:rPr>
                <w:sz w:val="18"/>
              </w:rPr>
              <w:t>Provider quote type and publication time</w:t>
            </w:r>
          </w:p>
        </w:tc>
        <w:tc>
          <w:tcPr>
            <w:tcW w:type="dxa" w:w="4224"/>
          </w:tcPr>
          <w:p>
            <w:pPr>
              <w:spacing w:line="240" w:lineRule="auto"/>
            </w:pPr>
            <w:r>
              <w:rPr>
                <w:sz w:val="18"/>
              </w:rPr>
            </w:r>
          </w:p>
        </w:tc>
      </w:tr>
      <w:tr>
        <w:tc>
          <w:tcPr>
            <w:tcW w:type="dxa" w:w="4224"/>
          </w:tcPr>
          <w:p>
            <w:pPr>
              <w:spacing w:line="240" w:lineRule="auto"/>
            </w:pPr>
            <w:r>
              <w:rPr>
                <w:sz w:val="18"/>
              </w:rPr>
              <w:t>Market section and location</w:t>
            </w:r>
          </w:p>
        </w:tc>
        <w:tc>
          <w:tcPr>
            <w:tcW w:type="dxa" w:w="4224"/>
          </w:tcPr>
          <w:p>
            <w:pPr>
              <w:spacing w:line="240" w:lineRule="auto"/>
            </w:pPr>
            <w:r>
              <w:rPr>
                <w:sz w:val="18"/>
              </w:rPr>
            </w:r>
          </w:p>
        </w:tc>
      </w:tr>
      <w:tr>
        <w:tc>
          <w:tcPr>
            <w:tcW w:type="dxa" w:w="4224"/>
          </w:tcPr>
          <w:p>
            <w:pPr>
              <w:spacing w:line="240" w:lineRule="auto"/>
            </w:pPr>
            <w:r>
              <w:rPr>
                <w:sz w:val="18"/>
              </w:rPr>
              <w:t>Commodity variety, grade and size</w:t>
            </w:r>
          </w:p>
        </w:tc>
        <w:tc>
          <w:tcPr>
            <w:tcW w:type="dxa" w:w="4224"/>
          </w:tcPr>
          <w:p>
            <w:pPr>
              <w:spacing w:line="240" w:lineRule="auto"/>
            </w:pPr>
            <w:r>
              <w:rPr>
                <w:sz w:val="18"/>
              </w:rPr>
            </w:r>
          </w:p>
        </w:tc>
      </w:tr>
      <w:tr>
        <w:tc>
          <w:tcPr>
            <w:tcW w:type="dxa" w:w="4224"/>
          </w:tcPr>
          <w:p>
            <w:pPr>
              <w:spacing w:line="240" w:lineRule="auto"/>
            </w:pPr>
            <w:r>
              <w:rPr>
                <w:sz w:val="18"/>
              </w:rPr>
              <w:t>Independent reference source and URL</w:t>
            </w:r>
          </w:p>
        </w:tc>
        <w:tc>
          <w:tcPr>
            <w:tcW w:type="dxa" w:w="4224"/>
          </w:tcPr>
          <w:p>
            <w:pPr>
              <w:spacing w:line="240" w:lineRule="auto"/>
            </w:pPr>
            <w:r>
              <w:rPr>
                <w:sz w:val="18"/>
              </w:rPr>
            </w:r>
          </w:p>
        </w:tc>
      </w:tr>
      <w:tr>
        <w:tc>
          <w:tcPr>
            <w:tcW w:type="dxa" w:w="4224"/>
          </w:tcPr>
          <w:p>
            <w:pPr>
              <w:spacing w:line="240" w:lineRule="auto"/>
            </w:pPr>
            <w:r>
              <w:rPr>
                <w:sz w:val="18"/>
              </w:rPr>
              <w:t>Reference value or range / unit</w:t>
            </w:r>
          </w:p>
        </w:tc>
        <w:tc>
          <w:tcPr>
            <w:tcW w:type="dxa" w:w="4224"/>
          </w:tcPr>
          <w:p>
            <w:pPr>
              <w:spacing w:line="240" w:lineRule="auto"/>
            </w:pPr>
            <w:r>
              <w:rPr>
                <w:sz w:val="18"/>
              </w:rPr>
            </w:r>
          </w:p>
        </w:tc>
      </w:tr>
      <w:tr>
        <w:tc>
          <w:tcPr>
            <w:tcW w:type="dxa" w:w="4224"/>
          </w:tcPr>
          <w:p>
            <w:pPr>
              <w:spacing w:line="240" w:lineRule="auto"/>
            </w:pPr>
            <w:r>
              <w:rPr>
                <w:sz w:val="18"/>
              </w:rPr>
              <w:t>Time difference between quotes</w:t>
            </w:r>
          </w:p>
        </w:tc>
        <w:tc>
          <w:tcPr>
            <w:tcW w:type="dxa" w:w="4224"/>
          </w:tcPr>
          <w:p>
            <w:pPr>
              <w:spacing w:line="240" w:lineRule="auto"/>
            </w:pPr>
            <w:r>
              <w:rPr>
                <w:sz w:val="18"/>
              </w:rPr>
            </w:r>
          </w:p>
        </w:tc>
      </w:tr>
      <w:tr>
        <w:tc>
          <w:tcPr>
            <w:tcW w:type="dxa" w:w="4224"/>
          </w:tcPr>
          <w:p>
            <w:pPr>
              <w:spacing w:line="240" w:lineRule="auto"/>
            </w:pPr>
            <w:r>
              <w:rPr>
                <w:sz w:val="18"/>
              </w:rPr>
              <w:t>Matched / unmatched reason</w:t>
            </w:r>
          </w:p>
        </w:tc>
        <w:tc>
          <w:tcPr>
            <w:tcW w:type="dxa" w:w="4224"/>
          </w:tcPr>
          <w:p>
            <w:pPr>
              <w:spacing w:line="240" w:lineRule="auto"/>
            </w:pPr>
            <w:r>
              <w:rPr>
                <w:sz w:val="18"/>
              </w:rPr>
            </w:r>
          </w:p>
        </w:tc>
      </w:tr>
      <w:tr>
        <w:tc>
          <w:tcPr>
            <w:tcW w:type="dxa" w:w="4224"/>
          </w:tcPr>
          <w:p>
            <w:pPr>
              <w:spacing w:line="240" w:lineRule="auto"/>
            </w:pPr>
            <w:r>
              <w:rPr>
                <w:sz w:val="18"/>
              </w:rPr>
              <w:t>Difference calculation and interpretation</w:t>
            </w:r>
          </w:p>
        </w:tc>
        <w:tc>
          <w:tcPr>
            <w:tcW w:type="dxa" w:w="4224"/>
          </w:tcPr>
          <w:p>
            <w:pPr>
              <w:spacing w:line="240" w:lineRule="auto"/>
            </w:pPr>
            <w:r>
              <w:rPr>
                <w:sz w:val="18"/>
              </w:rPr>
            </w:r>
          </w:p>
        </w:tc>
      </w:tr>
      <w:tr>
        <w:tc>
          <w:tcPr>
            <w:tcW w:type="dxa" w:w="4224"/>
          </w:tcPr>
          <w:p>
            <w:pPr>
              <w:spacing w:line="240" w:lineRule="auto"/>
            </w:pPr>
            <w:r>
              <w:rPr>
                <w:sz w:val="18"/>
              </w:rPr>
              <w:t>Archived evidence and reviewer</w:t>
            </w:r>
          </w:p>
        </w:tc>
        <w:tc>
          <w:tcPr>
            <w:tcW w:type="dxa" w:w="4224"/>
          </w:tcPr>
          <w:p>
            <w:pPr>
              <w:spacing w:line="240" w:lineRule="auto"/>
            </w:pPr>
            <w:r>
              <w:rPr>
                <w:sz w:val="18"/>
              </w:rPr>
            </w:r>
          </w:p>
        </w:tc>
      </w:tr>
    </w:tbl>
    <w:p>
      <w:pPr>
        <w:pStyle w:val="Heading1"/>
      </w:pPr>
      <w:r>
        <w:t>H.5 Buyer pilot transaction record</w:t>
      </w:r>
    </w:p>
    <w:p>
      <w:r>
        <w:t>The buyer record separates the system recommendation from the action taken and the outcome observed. This makes it possible to evaluate model performance and decision impact as different questions. Sensitive supplier and invoice fields should be access controlled and reported only at an approved level of aggregation.</w:t>
      </w:r>
    </w:p>
    <w:tbl>
      <w:tblPr>
        <w:tblStyle w:val="TableGrid"/>
        <w:tblW w:type="auto" w:w="0"/>
        <w:tblLook w:firstColumn="1" w:firstRow="1" w:lastColumn="0" w:lastRow="0" w:noHBand="0" w:noVBand="1" w:val="04A0"/>
      </w:tblPr>
      <w:tblGrid>
        <w:gridCol w:w="4224"/>
        <w:gridCol w:w="4224"/>
      </w:tblGrid>
      <w:tr>
        <w:tc>
          <w:tcPr>
            <w:tcW w:type="dxa" w:w="4224"/>
          </w:tcPr>
          <w:p>
            <w:pPr>
              <w:spacing w:line="240" w:lineRule="auto"/>
            </w:pPr>
            <w:r>
              <w:rPr>
                <w:sz w:val="18"/>
              </w:rPr>
              <w:t>Buyer outcome field</w:t>
            </w:r>
          </w:p>
        </w:tc>
        <w:tc>
          <w:tcPr>
            <w:tcW w:type="dxa" w:w="4224"/>
          </w:tcPr>
          <w:p>
            <w:pPr>
              <w:spacing w:line="240" w:lineRule="auto"/>
            </w:pPr>
            <w:r>
              <w:rPr>
                <w:sz w:val="18"/>
              </w:rPr>
              <w:t>Entry</w:t>
            </w:r>
          </w:p>
        </w:tc>
      </w:tr>
      <w:tr>
        <w:tc>
          <w:tcPr>
            <w:tcW w:type="dxa" w:w="4224"/>
          </w:tcPr>
          <w:p>
            <w:pPr>
              <w:spacing w:line="240" w:lineRule="auto"/>
            </w:pPr>
            <w:r>
              <w:rPr>
                <w:sz w:val="18"/>
              </w:rPr>
              <w:t>Study code / buyer-day</w:t>
            </w:r>
          </w:p>
        </w:tc>
        <w:tc>
          <w:tcPr>
            <w:tcW w:type="dxa" w:w="4224"/>
          </w:tcPr>
          <w:p>
            <w:pPr>
              <w:spacing w:line="240" w:lineRule="auto"/>
            </w:pPr>
            <w:r>
              <w:rPr>
                <w:sz w:val="18"/>
              </w:rPr>
            </w:r>
          </w:p>
        </w:tc>
      </w:tr>
      <w:tr>
        <w:tc>
          <w:tcPr>
            <w:tcW w:type="dxa" w:w="4224"/>
          </w:tcPr>
          <w:p>
            <w:pPr>
              <w:spacing w:line="240" w:lineRule="auto"/>
            </w:pPr>
            <w:r>
              <w:rPr>
                <w:sz w:val="18"/>
              </w:rPr>
              <w:t>Commodity / grade / usable quantity</w:t>
            </w:r>
          </w:p>
        </w:tc>
        <w:tc>
          <w:tcPr>
            <w:tcW w:type="dxa" w:w="4224"/>
          </w:tcPr>
          <w:p>
            <w:pPr>
              <w:spacing w:line="240" w:lineRule="auto"/>
            </w:pPr>
            <w:r>
              <w:rPr>
                <w:sz w:val="18"/>
              </w:rPr>
            </w:r>
          </w:p>
        </w:tc>
      </w:tr>
      <w:tr>
        <w:tc>
          <w:tcPr>
            <w:tcW w:type="dxa" w:w="4224"/>
          </w:tcPr>
          <w:p>
            <w:pPr>
              <w:spacing w:line="240" w:lineRule="auto"/>
            </w:pPr>
            <w:r>
              <w:rPr>
                <w:sz w:val="18"/>
              </w:rPr>
              <w:t>Forecast shown / issue time / horizon</w:t>
            </w:r>
          </w:p>
        </w:tc>
        <w:tc>
          <w:tcPr>
            <w:tcW w:type="dxa" w:w="4224"/>
          </w:tcPr>
          <w:p>
            <w:pPr>
              <w:spacing w:line="240" w:lineRule="auto"/>
            </w:pPr>
            <w:r>
              <w:rPr>
                <w:sz w:val="18"/>
              </w:rPr>
            </w:r>
          </w:p>
        </w:tc>
      </w:tr>
      <w:tr>
        <w:tc>
          <w:tcPr>
            <w:tcW w:type="dxa" w:w="4224"/>
          </w:tcPr>
          <w:p>
            <w:pPr>
              <w:spacing w:line="240" w:lineRule="auto"/>
            </w:pPr>
            <w:r>
              <w:rPr>
                <w:sz w:val="18"/>
              </w:rPr>
              <w:t>Input data freshness / quality status</w:t>
            </w:r>
          </w:p>
        </w:tc>
        <w:tc>
          <w:tcPr>
            <w:tcW w:type="dxa" w:w="4224"/>
          </w:tcPr>
          <w:p>
            <w:pPr>
              <w:spacing w:line="240" w:lineRule="auto"/>
            </w:pPr>
            <w:r>
              <w:rPr>
                <w:sz w:val="18"/>
              </w:rPr>
            </w:r>
          </w:p>
        </w:tc>
      </w:tr>
      <w:tr>
        <w:tc>
          <w:tcPr>
            <w:tcW w:type="dxa" w:w="4224"/>
          </w:tcPr>
          <w:p>
            <w:pPr>
              <w:spacing w:line="240" w:lineRule="auto"/>
            </w:pPr>
            <w:r>
              <w:rPr>
                <w:sz w:val="18"/>
              </w:rPr>
              <w:t>Recommendation and rule ID</w:t>
            </w:r>
          </w:p>
        </w:tc>
        <w:tc>
          <w:tcPr>
            <w:tcW w:type="dxa" w:w="4224"/>
          </w:tcPr>
          <w:p>
            <w:pPr>
              <w:spacing w:line="240" w:lineRule="auto"/>
            </w:pPr>
            <w:r>
              <w:rPr>
                <w:sz w:val="18"/>
              </w:rPr>
            </w:r>
          </w:p>
        </w:tc>
      </w:tr>
      <w:tr>
        <w:tc>
          <w:tcPr>
            <w:tcW w:type="dxa" w:w="4224"/>
          </w:tcPr>
          <w:p>
            <w:pPr>
              <w:spacing w:line="240" w:lineRule="auto"/>
            </w:pPr>
            <w:r>
              <w:rPr>
                <w:sz w:val="18"/>
              </w:rPr>
              <w:t>Buyer decision / override reason</w:t>
            </w:r>
          </w:p>
        </w:tc>
        <w:tc>
          <w:tcPr>
            <w:tcW w:type="dxa" w:w="4224"/>
          </w:tcPr>
          <w:p>
            <w:pPr>
              <w:spacing w:line="240" w:lineRule="auto"/>
            </w:pPr>
            <w:r>
              <w:rPr>
                <w:sz w:val="18"/>
              </w:rPr>
            </w:r>
          </w:p>
        </w:tc>
      </w:tr>
      <w:tr>
        <w:tc>
          <w:tcPr>
            <w:tcW w:type="dxa" w:w="4224"/>
          </w:tcPr>
          <w:p>
            <w:pPr>
              <w:spacing w:line="240" w:lineRule="auto"/>
            </w:pPr>
            <w:r>
              <w:rPr>
                <w:sz w:val="18"/>
              </w:rPr>
              <w:t>Supplier and final invoice price</w:t>
            </w:r>
          </w:p>
        </w:tc>
        <w:tc>
          <w:tcPr>
            <w:tcW w:type="dxa" w:w="4224"/>
          </w:tcPr>
          <w:p>
            <w:pPr>
              <w:spacing w:line="240" w:lineRule="auto"/>
            </w:pPr>
            <w:r>
              <w:rPr>
                <w:sz w:val="18"/>
              </w:rPr>
            </w:r>
          </w:p>
        </w:tc>
      </w:tr>
      <w:tr>
        <w:tc>
          <w:tcPr>
            <w:tcW w:type="dxa" w:w="4224"/>
          </w:tcPr>
          <w:p>
            <w:pPr>
              <w:spacing w:line="240" w:lineRule="auto"/>
            </w:pPr>
            <w:r>
              <w:rPr>
                <w:sz w:val="18"/>
              </w:rPr>
              <w:t>Transport / handling / payment costs</w:t>
            </w:r>
          </w:p>
        </w:tc>
        <w:tc>
          <w:tcPr>
            <w:tcW w:type="dxa" w:w="4224"/>
          </w:tcPr>
          <w:p>
            <w:pPr>
              <w:spacing w:line="240" w:lineRule="auto"/>
            </w:pPr>
            <w:r>
              <w:rPr>
                <w:sz w:val="18"/>
              </w:rPr>
            </w:r>
          </w:p>
        </w:tc>
      </w:tr>
      <w:tr>
        <w:tc>
          <w:tcPr>
            <w:tcW w:type="dxa" w:w="4224"/>
          </w:tcPr>
          <w:p>
            <w:pPr>
              <w:spacing w:line="240" w:lineRule="auto"/>
            </w:pPr>
            <w:r>
              <w:rPr>
                <w:sz w:val="18"/>
              </w:rPr>
              <w:t>Rejected and spoiled quantities</w:t>
            </w:r>
          </w:p>
        </w:tc>
        <w:tc>
          <w:tcPr>
            <w:tcW w:type="dxa" w:w="4224"/>
          </w:tcPr>
          <w:p>
            <w:pPr>
              <w:spacing w:line="240" w:lineRule="auto"/>
            </w:pPr>
            <w:r>
              <w:rPr>
                <w:sz w:val="18"/>
              </w:rPr>
            </w:r>
          </w:p>
        </w:tc>
      </w:tr>
      <w:tr>
        <w:tc>
          <w:tcPr>
            <w:tcW w:type="dxa" w:w="4224"/>
          </w:tcPr>
          <w:p>
            <w:pPr>
              <w:spacing w:line="240" w:lineRule="auto"/>
            </w:pPr>
            <w:r>
              <w:rPr>
                <w:sz w:val="18"/>
              </w:rPr>
              <w:t>Stockout / service outcome</w:t>
            </w:r>
          </w:p>
        </w:tc>
        <w:tc>
          <w:tcPr>
            <w:tcW w:type="dxa" w:w="4224"/>
          </w:tcPr>
          <w:p>
            <w:pPr>
              <w:spacing w:line="240" w:lineRule="auto"/>
            </w:pPr>
            <w:r>
              <w:rPr>
                <w:sz w:val="18"/>
              </w:rPr>
            </w:r>
          </w:p>
        </w:tc>
      </w:tr>
      <w:tr>
        <w:tc>
          <w:tcPr>
            <w:tcW w:type="dxa" w:w="4224"/>
          </w:tcPr>
          <w:p>
            <w:pPr>
              <w:spacing w:line="240" w:lineRule="auto"/>
            </w:pPr>
            <w:r>
              <w:rPr>
                <w:sz w:val="18"/>
              </w:rPr>
              <w:t>Comparison policy / baseline</w:t>
            </w:r>
          </w:p>
        </w:tc>
        <w:tc>
          <w:tcPr>
            <w:tcW w:type="dxa" w:w="4224"/>
          </w:tcPr>
          <w:p>
            <w:pPr>
              <w:spacing w:line="240" w:lineRule="auto"/>
            </w:pPr>
            <w:r>
              <w:rPr>
                <w:sz w:val="18"/>
              </w:rPr>
            </w:r>
          </w:p>
        </w:tc>
      </w:tr>
      <w:tr>
        <w:tc>
          <w:tcPr>
            <w:tcW w:type="dxa" w:w="4224"/>
          </w:tcPr>
          <w:p>
            <w:pPr>
              <w:spacing w:line="240" w:lineRule="auto"/>
            </w:pPr>
            <w:r>
              <w:rPr>
                <w:sz w:val="18"/>
              </w:rPr>
              <w:t>Reviewer and data access status</w:t>
            </w:r>
          </w:p>
        </w:tc>
        <w:tc>
          <w:tcPr>
            <w:tcW w:type="dxa" w:w="4224"/>
          </w:tcPr>
          <w:p>
            <w:pPr>
              <w:spacing w:line="240" w:lineRule="auto"/>
            </w:pPr>
            <w:r>
              <w:rPr>
                <w:sz w:val="18"/>
              </w:rPr>
            </w:r>
          </w:p>
        </w:tc>
      </w:tr>
    </w:tbl>
    <w:p>
      <w:pPr>
        <w:pStyle w:val="Heading1"/>
      </w:pPr>
      <w:r>
        <w:t>H.6 Risk register and response plan</w:t>
      </w:r>
    </w:p>
    <w:p>
      <w:r>
        <w:t>A risk register assigns a practical response to evidence and implementation risks. Owners and review dates should be completed before a pilot. The sample entries below reflect issues already identified in the project and do not imply that each risk has occurred in a live deployment.</w:t>
      </w:r>
    </w:p>
    <w:tbl>
      <w:tblPr>
        <w:tblStyle w:val="TableGrid"/>
        <w:tblW w:type="auto" w:w="0"/>
        <w:tblLook w:firstColumn="1" w:firstRow="1" w:lastColumn="0" w:lastRow="0" w:noHBand="0" w:noVBand="1" w:val="04A0"/>
      </w:tblPr>
      <w:tblGrid>
        <w:gridCol w:w="2112"/>
        <w:gridCol w:w="2112"/>
        <w:gridCol w:w="2112"/>
        <w:gridCol w:w="2112"/>
      </w:tblGrid>
      <w:tr>
        <w:tc>
          <w:tcPr>
            <w:tcW w:type="dxa" w:w="2112"/>
          </w:tcPr>
          <w:p>
            <w:pPr>
              <w:spacing w:line="240" w:lineRule="auto"/>
            </w:pPr>
            <w:r>
              <w:rPr>
                <w:sz w:val="18"/>
              </w:rPr>
              <w:t>Risk</w:t>
            </w:r>
          </w:p>
        </w:tc>
        <w:tc>
          <w:tcPr>
            <w:tcW w:type="dxa" w:w="2112"/>
          </w:tcPr>
          <w:p>
            <w:pPr>
              <w:spacing w:line="240" w:lineRule="auto"/>
            </w:pPr>
            <w:r>
              <w:rPr>
                <w:sz w:val="18"/>
              </w:rPr>
              <w:t>Potential consequence</w:t>
            </w:r>
          </w:p>
        </w:tc>
        <w:tc>
          <w:tcPr>
            <w:tcW w:type="dxa" w:w="2112"/>
          </w:tcPr>
          <w:p>
            <w:pPr>
              <w:spacing w:line="240" w:lineRule="auto"/>
            </w:pPr>
            <w:r>
              <w:rPr>
                <w:sz w:val="18"/>
              </w:rPr>
              <w:t>Control / response</w:t>
            </w:r>
          </w:p>
        </w:tc>
        <w:tc>
          <w:tcPr>
            <w:tcW w:type="dxa" w:w="2112"/>
          </w:tcPr>
          <w:p>
            <w:pPr>
              <w:spacing w:line="240" w:lineRule="auto"/>
            </w:pPr>
            <w:r>
              <w:rPr>
                <w:sz w:val="18"/>
              </w:rPr>
              <w:t>Owner</w:t>
            </w:r>
          </w:p>
        </w:tc>
      </w:tr>
      <w:tr>
        <w:tc>
          <w:tcPr>
            <w:tcW w:type="dxa" w:w="2112"/>
          </w:tcPr>
          <w:p>
            <w:pPr>
              <w:spacing w:line="240" w:lineRule="auto"/>
            </w:pPr>
            <w:r>
              <w:rPr>
                <w:sz w:val="18"/>
              </w:rPr>
              <w:t>Ambiguous source price meaning</w:t>
            </w:r>
          </w:p>
        </w:tc>
        <w:tc>
          <w:tcPr>
            <w:tcW w:type="dxa" w:w="2112"/>
          </w:tcPr>
          <w:p>
            <w:pPr>
              <w:spacing w:line="240" w:lineRule="auto"/>
            </w:pPr>
            <w:r>
              <w:rPr>
                <w:sz w:val="18"/>
              </w:rPr>
              <w:t>Wrong interpretation</w:t>
            </w:r>
          </w:p>
        </w:tc>
        <w:tc>
          <w:tcPr>
            <w:tcW w:type="dxa" w:w="2112"/>
          </w:tcPr>
          <w:p>
            <w:pPr>
              <w:spacing w:line="240" w:lineRule="auto"/>
            </w:pPr>
            <w:r>
              <w:rPr>
                <w:sz w:val="18"/>
              </w:rPr>
              <w:t>Confirm provider definition and retain caveat</w:t>
            </w:r>
          </w:p>
        </w:tc>
        <w:tc>
          <w:tcPr>
            <w:tcW w:type="dxa" w:w="2112"/>
          </w:tcPr>
          <w:p>
            <w:pPr>
              <w:spacing w:line="240" w:lineRule="auto"/>
            </w:pPr>
            <w:r>
              <w:rPr>
                <w:sz w:val="18"/>
              </w:rPr>
            </w:r>
          </w:p>
        </w:tc>
      </w:tr>
      <w:tr>
        <w:tc>
          <w:tcPr>
            <w:tcW w:type="dxa" w:w="2112"/>
          </w:tcPr>
          <w:p>
            <w:pPr>
              <w:spacing w:line="240" w:lineRule="auto"/>
            </w:pPr>
            <w:r>
              <w:rPr>
                <w:sz w:val="18"/>
              </w:rPr>
              <w:t>Stale or missing price inputs</w:t>
            </w:r>
          </w:p>
        </w:tc>
        <w:tc>
          <w:tcPr>
            <w:tcW w:type="dxa" w:w="2112"/>
          </w:tcPr>
          <w:p>
            <w:pPr>
              <w:spacing w:line="240" w:lineRule="auto"/>
            </w:pPr>
            <w:r>
              <w:rPr>
                <w:sz w:val="18"/>
              </w:rPr>
              <w:t>Misleading forecast</w:t>
            </w:r>
          </w:p>
        </w:tc>
        <w:tc>
          <w:tcPr>
            <w:tcW w:type="dxa" w:w="2112"/>
          </w:tcPr>
          <w:p>
            <w:pPr>
              <w:spacing w:line="240" w:lineRule="auto"/>
            </w:pPr>
            <w:r>
              <w:rPr>
                <w:sz w:val="18"/>
              </w:rPr>
              <w:t>Freshness check and abstention rule</w:t>
            </w:r>
          </w:p>
        </w:tc>
        <w:tc>
          <w:tcPr>
            <w:tcW w:type="dxa" w:w="2112"/>
          </w:tcPr>
          <w:p>
            <w:pPr>
              <w:spacing w:line="240" w:lineRule="auto"/>
            </w:pPr>
            <w:r>
              <w:rPr>
                <w:sz w:val="18"/>
              </w:rPr>
            </w:r>
          </w:p>
        </w:tc>
      </w:tr>
      <w:tr>
        <w:tc>
          <w:tcPr>
            <w:tcW w:type="dxa" w:w="2112"/>
          </w:tcPr>
          <w:p>
            <w:pPr>
              <w:spacing w:line="240" w:lineRule="auto"/>
            </w:pPr>
            <w:r>
              <w:rPr>
                <w:sz w:val="18"/>
              </w:rPr>
              <w:t>Non-comparable model scores</w:t>
            </w:r>
          </w:p>
        </w:tc>
        <w:tc>
          <w:tcPr>
            <w:tcW w:type="dxa" w:w="2112"/>
          </w:tcPr>
          <w:p>
            <w:pPr>
              <w:spacing w:line="240" w:lineRule="auto"/>
            </w:pPr>
            <w:r>
              <w:rPr>
                <w:sz w:val="18"/>
              </w:rPr>
              <w:t>False model selection</w:t>
            </w:r>
          </w:p>
        </w:tc>
        <w:tc>
          <w:tcPr>
            <w:tcW w:type="dxa" w:w="2112"/>
          </w:tcPr>
          <w:p>
            <w:pPr>
              <w:spacing w:line="240" w:lineRule="auto"/>
            </w:pPr>
            <w:r>
              <w:rPr>
                <w:sz w:val="18"/>
              </w:rPr>
              <w:t>Common rolling-origin benchmark</w:t>
            </w:r>
          </w:p>
        </w:tc>
        <w:tc>
          <w:tcPr>
            <w:tcW w:type="dxa" w:w="2112"/>
          </w:tcPr>
          <w:p>
            <w:pPr>
              <w:spacing w:line="240" w:lineRule="auto"/>
            </w:pPr>
            <w:r>
              <w:rPr>
                <w:sz w:val="18"/>
              </w:rPr>
            </w:r>
          </w:p>
        </w:tc>
      </w:tr>
      <w:tr>
        <w:tc>
          <w:tcPr>
            <w:tcW w:type="dxa" w:w="2112"/>
          </w:tcPr>
          <w:p>
            <w:pPr>
              <w:spacing w:line="240" w:lineRule="auto"/>
            </w:pPr>
            <w:r>
              <w:rPr>
                <w:sz w:val="18"/>
              </w:rPr>
              <w:t>Extreme-value handling error</w:t>
            </w:r>
          </w:p>
        </w:tc>
        <w:tc>
          <w:tcPr>
            <w:tcW w:type="dxa" w:w="2112"/>
          </w:tcPr>
          <w:p>
            <w:pPr>
              <w:spacing w:line="240" w:lineRule="auto"/>
            </w:pPr>
            <w:r>
              <w:rPr>
                <w:sz w:val="18"/>
              </w:rPr>
              <w:t>Distorted training series</w:t>
            </w:r>
          </w:p>
        </w:tc>
        <w:tc>
          <w:tcPr>
            <w:tcW w:type="dxa" w:w="2112"/>
          </w:tcPr>
          <w:p>
            <w:pPr>
              <w:spacing w:line="240" w:lineRule="auto"/>
            </w:pPr>
            <w:r>
              <w:rPr>
                <w:sz w:val="18"/>
              </w:rPr>
              <w:t>Row-level review and audit log</w:t>
            </w:r>
          </w:p>
        </w:tc>
        <w:tc>
          <w:tcPr>
            <w:tcW w:type="dxa" w:w="2112"/>
          </w:tcPr>
          <w:p>
            <w:pPr>
              <w:spacing w:line="240" w:lineRule="auto"/>
            </w:pPr>
            <w:r>
              <w:rPr>
                <w:sz w:val="18"/>
              </w:rPr>
            </w:r>
          </w:p>
        </w:tc>
      </w:tr>
      <w:tr>
        <w:tc>
          <w:tcPr>
            <w:tcW w:type="dxa" w:w="2112"/>
          </w:tcPr>
          <w:p>
            <w:pPr>
              <w:spacing w:line="240" w:lineRule="auto"/>
            </w:pPr>
            <w:r>
              <w:rPr>
                <w:sz w:val="18"/>
              </w:rPr>
              <w:t>Procurement text inconsistency</w:t>
            </w:r>
          </w:p>
        </w:tc>
        <w:tc>
          <w:tcPr>
            <w:tcW w:type="dxa" w:w="2112"/>
          </w:tcPr>
          <w:p>
            <w:pPr>
              <w:spacing w:line="240" w:lineRule="auto"/>
            </w:pPr>
            <w:r>
              <w:rPr>
                <w:sz w:val="18"/>
              </w:rPr>
              <w:t>Confusing action</w:t>
            </w:r>
          </w:p>
        </w:tc>
        <w:tc>
          <w:tcPr>
            <w:tcW w:type="dxa" w:w="2112"/>
          </w:tcPr>
          <w:p>
            <w:pPr>
              <w:spacing w:line="240" w:lineRule="auto"/>
            </w:pPr>
            <w:r>
              <w:rPr>
                <w:sz w:val="18"/>
              </w:rPr>
              <w:t>Rule review and user acceptance check</w:t>
            </w:r>
          </w:p>
        </w:tc>
        <w:tc>
          <w:tcPr>
            <w:tcW w:type="dxa" w:w="2112"/>
          </w:tcPr>
          <w:p>
            <w:pPr>
              <w:spacing w:line="240" w:lineRule="auto"/>
            </w:pPr>
            <w:r>
              <w:rPr>
                <w:sz w:val="18"/>
              </w:rPr>
            </w:r>
          </w:p>
        </w:tc>
      </w:tr>
      <w:tr>
        <w:tc>
          <w:tcPr>
            <w:tcW w:type="dxa" w:w="2112"/>
          </w:tcPr>
          <w:p>
            <w:pPr>
              <w:spacing w:line="240" w:lineRule="auto"/>
            </w:pPr>
            <w:r>
              <w:rPr>
                <w:sz w:val="18"/>
              </w:rPr>
              <w:t>Unmeasured buyer outcomes</w:t>
            </w:r>
          </w:p>
        </w:tc>
        <w:tc>
          <w:tcPr>
            <w:tcW w:type="dxa" w:w="2112"/>
          </w:tcPr>
          <w:p>
            <w:pPr>
              <w:spacing w:line="240" w:lineRule="auto"/>
            </w:pPr>
            <w:r>
              <w:rPr>
                <w:sz w:val="18"/>
              </w:rPr>
              <w:t>Unsupported savings claim</w:t>
            </w:r>
          </w:p>
        </w:tc>
        <w:tc>
          <w:tcPr>
            <w:tcW w:type="dxa" w:w="2112"/>
          </w:tcPr>
          <w:p>
            <w:pPr>
              <w:spacing w:line="240" w:lineRule="auto"/>
            </w:pPr>
            <w:r>
              <w:rPr>
                <w:sz w:val="18"/>
              </w:rPr>
              <w:t>Prospective controlled pilot</w:t>
            </w:r>
          </w:p>
        </w:tc>
        <w:tc>
          <w:tcPr>
            <w:tcW w:type="dxa" w:w="2112"/>
          </w:tcPr>
          <w:p>
            <w:pPr>
              <w:spacing w:line="240" w:lineRule="auto"/>
            </w:pPr>
            <w:r>
              <w:rPr>
                <w:sz w:val="18"/>
              </w:rPr>
            </w:r>
          </w:p>
        </w:tc>
      </w:tr>
      <w:tr>
        <w:tc>
          <w:tcPr>
            <w:tcW w:type="dxa" w:w="2112"/>
          </w:tcPr>
          <w:p>
            <w:pPr>
              <w:spacing w:line="240" w:lineRule="auto"/>
            </w:pPr>
            <w:r>
              <w:rPr>
                <w:sz w:val="18"/>
              </w:rPr>
              <w:t>Sensitive transaction data</w:t>
            </w:r>
          </w:p>
        </w:tc>
        <w:tc>
          <w:tcPr>
            <w:tcW w:type="dxa" w:w="2112"/>
          </w:tcPr>
          <w:p>
            <w:pPr>
              <w:spacing w:line="240" w:lineRule="auto"/>
            </w:pPr>
            <w:r>
              <w:rPr>
                <w:sz w:val="18"/>
              </w:rPr>
              <w:t>Commercial exposure</w:t>
            </w:r>
          </w:p>
        </w:tc>
        <w:tc>
          <w:tcPr>
            <w:tcW w:type="dxa" w:w="2112"/>
          </w:tcPr>
          <w:p>
            <w:pPr>
              <w:spacing w:line="240" w:lineRule="auto"/>
            </w:pPr>
            <w:r>
              <w:rPr>
                <w:sz w:val="18"/>
              </w:rPr>
              <w:t>Access control and retention policy</w:t>
            </w:r>
          </w:p>
        </w:tc>
        <w:tc>
          <w:tcPr>
            <w:tcW w:type="dxa" w:w="2112"/>
          </w:tcPr>
          <w:p>
            <w:pPr>
              <w:spacing w:line="240" w:lineRule="auto"/>
            </w:pPr>
            <w:r>
              <w:rPr>
                <w:sz w:val="18"/>
              </w:rPr>
            </w:r>
          </w:p>
        </w:tc>
      </w:tr>
    </w:tbl>
    <w:p>
      <w:r>
        <w:br w:type="page"/>
      </w:r>
    </w:p>
    <w:p>
      <w:pPr>
        <w:pStyle w:val="Title"/>
      </w:pPr>
      <w:r>
        <w:t>APPENDIX I - INTERPRETATION GUIDE AND GLOSSARY</w:t>
      </w:r>
    </w:p>
    <w:tbl>
      <w:tblPr>
        <w:tblStyle w:val="TableGrid"/>
        <w:tblW w:type="auto" w:w="0"/>
        <w:tblLook w:firstColumn="1" w:firstRow="1" w:lastColumn="0" w:lastRow="0" w:noHBand="0" w:noVBand="1" w:val="04A0"/>
      </w:tblPr>
      <w:tblGrid>
        <w:gridCol w:w="4224"/>
        <w:gridCol w:w="4224"/>
      </w:tblGrid>
      <w:tr>
        <w:tc>
          <w:tcPr>
            <w:tcW w:type="dxa" w:w="4224"/>
          </w:tcPr>
          <w:p>
            <w:pPr>
              <w:spacing w:line="240" w:lineRule="auto"/>
            </w:pPr>
            <w:r>
              <w:rPr>
                <w:sz w:val="18"/>
              </w:rPr>
              <w:t>Term</w:t>
            </w:r>
          </w:p>
        </w:tc>
        <w:tc>
          <w:tcPr>
            <w:tcW w:type="dxa" w:w="4224"/>
          </w:tcPr>
          <w:p>
            <w:pPr>
              <w:spacing w:line="240" w:lineRule="auto"/>
            </w:pPr>
            <w:r>
              <w:rPr>
                <w:sz w:val="18"/>
              </w:rPr>
              <w:t>Working meaning in this report</w:t>
            </w:r>
          </w:p>
        </w:tc>
      </w:tr>
      <w:tr>
        <w:tc>
          <w:tcPr>
            <w:tcW w:type="dxa" w:w="4224"/>
          </w:tcPr>
          <w:p>
            <w:pPr>
              <w:spacing w:line="240" w:lineRule="auto"/>
            </w:pPr>
            <w:r>
              <w:rPr>
                <w:sz w:val="18"/>
              </w:rPr>
              <w:t>Aggregate daily price</w:t>
            </w:r>
          </w:p>
        </w:tc>
        <w:tc>
          <w:tcPr>
            <w:tcW w:type="dxa" w:w="4224"/>
          </w:tcPr>
          <w:p>
            <w:pPr>
              <w:spacing w:line="240" w:lineRule="auto"/>
            </w:pPr>
            <w:r>
              <w:rPr>
                <w:sz w:val="18"/>
              </w:rPr>
              <w:t>A daily commodity value produced after combining source observations according to a specified rule. It is not automatically an individual market quote.</w:t>
            </w:r>
          </w:p>
        </w:tc>
      </w:tr>
      <w:tr>
        <w:tc>
          <w:tcPr>
            <w:tcW w:type="dxa" w:w="4224"/>
          </w:tcPr>
          <w:p>
            <w:pPr>
              <w:spacing w:line="240" w:lineRule="auto"/>
            </w:pPr>
            <w:r>
              <w:rPr>
                <w:sz w:val="18"/>
              </w:rPr>
              <w:t>As-of time</w:t>
            </w:r>
          </w:p>
        </w:tc>
        <w:tc>
          <w:tcPr>
            <w:tcW w:type="dxa" w:w="4224"/>
          </w:tcPr>
          <w:p>
            <w:pPr>
              <w:spacing w:line="240" w:lineRule="auto"/>
            </w:pPr>
            <w:r>
              <w:rPr>
                <w:sz w:val="18"/>
              </w:rPr>
              <w:t>The latest time at which information is available when a forecast is issued. Inputs after this time are not permitted.</w:t>
            </w:r>
          </w:p>
        </w:tc>
      </w:tr>
      <w:tr>
        <w:tc>
          <w:tcPr>
            <w:tcW w:type="dxa" w:w="4224"/>
          </w:tcPr>
          <w:p>
            <w:pPr>
              <w:spacing w:line="240" w:lineRule="auto"/>
            </w:pPr>
            <w:r>
              <w:rPr>
                <w:sz w:val="18"/>
              </w:rPr>
              <w:t>Backtest</w:t>
            </w:r>
          </w:p>
        </w:tc>
        <w:tc>
          <w:tcPr>
            <w:tcW w:type="dxa" w:w="4224"/>
          </w:tcPr>
          <w:p>
            <w:pPr>
              <w:spacing w:line="240" w:lineRule="auto"/>
            </w:pPr>
            <w:r>
              <w:rPr>
                <w:sz w:val="18"/>
              </w:rPr>
              <w:t>A retrospective simulation of forecasting at earlier dates using only information that would then have been available.</w:t>
            </w:r>
          </w:p>
        </w:tc>
      </w:tr>
      <w:tr>
        <w:tc>
          <w:tcPr>
            <w:tcW w:type="dxa" w:w="4224"/>
          </w:tcPr>
          <w:p>
            <w:pPr>
              <w:spacing w:line="240" w:lineRule="auto"/>
            </w:pPr>
            <w:r>
              <w:rPr>
                <w:sz w:val="18"/>
              </w:rPr>
              <w:t>Data leakage</w:t>
            </w:r>
          </w:p>
        </w:tc>
        <w:tc>
          <w:tcPr>
            <w:tcW w:type="dxa" w:w="4224"/>
          </w:tcPr>
          <w:p>
            <w:pPr>
              <w:spacing w:line="240" w:lineRule="auto"/>
            </w:pPr>
            <w:r>
              <w:rPr>
                <w:sz w:val="18"/>
              </w:rPr>
              <w:t>Use of information unavailable at prediction time, often causing overly optimistic evaluation.</w:t>
            </w:r>
          </w:p>
        </w:tc>
      </w:tr>
      <w:tr>
        <w:tc>
          <w:tcPr>
            <w:tcW w:type="dxa" w:w="4224"/>
          </w:tcPr>
          <w:p>
            <w:pPr>
              <w:spacing w:line="240" w:lineRule="auto"/>
            </w:pPr>
            <w:r>
              <w:rPr>
                <w:sz w:val="18"/>
              </w:rPr>
              <w:t>Expanding window</w:t>
            </w:r>
          </w:p>
        </w:tc>
        <w:tc>
          <w:tcPr>
            <w:tcW w:type="dxa" w:w="4224"/>
          </w:tcPr>
          <w:p>
            <w:pPr>
              <w:spacing w:line="240" w:lineRule="auto"/>
            </w:pPr>
            <w:r>
              <w:rPr>
                <w:sz w:val="18"/>
              </w:rPr>
              <w:t>A validation approach that increases the training sample as the forecast origin moves forward.</w:t>
            </w:r>
          </w:p>
        </w:tc>
      </w:tr>
      <w:tr>
        <w:tc>
          <w:tcPr>
            <w:tcW w:type="dxa" w:w="4224"/>
          </w:tcPr>
          <w:p>
            <w:pPr>
              <w:spacing w:line="240" w:lineRule="auto"/>
            </w:pPr>
            <w:r>
              <w:rPr>
                <w:sz w:val="18"/>
              </w:rPr>
              <w:t>Forecast horizon</w:t>
            </w:r>
          </w:p>
        </w:tc>
        <w:tc>
          <w:tcPr>
            <w:tcW w:type="dxa" w:w="4224"/>
          </w:tcPr>
          <w:p>
            <w:pPr>
              <w:spacing w:line="240" w:lineRule="auto"/>
            </w:pPr>
            <w:r>
              <w:rPr>
                <w:sz w:val="18"/>
              </w:rPr>
              <w:t>The future period for which predictions are issued, measured in days or trading observations.</w:t>
            </w:r>
          </w:p>
        </w:tc>
      </w:tr>
      <w:tr>
        <w:tc>
          <w:tcPr>
            <w:tcW w:type="dxa" w:w="4224"/>
          </w:tcPr>
          <w:p>
            <w:pPr>
              <w:spacing w:line="240" w:lineRule="auto"/>
            </w:pPr>
            <w:r>
              <w:rPr>
                <w:sz w:val="18"/>
              </w:rPr>
              <w:t>Ground truth</w:t>
            </w:r>
          </w:p>
        </w:tc>
        <w:tc>
          <w:tcPr>
            <w:tcW w:type="dxa" w:w="4224"/>
          </w:tcPr>
          <w:p>
            <w:pPr>
              <w:spacing w:line="240" w:lineRule="auto"/>
            </w:pPr>
            <w:r>
              <w:rPr>
                <w:sz w:val="18"/>
              </w:rPr>
              <w:t>The verified outcome used to score a prediction. Its meaning depends on the source and measurement definition.</w:t>
            </w:r>
          </w:p>
        </w:tc>
      </w:tr>
      <w:tr>
        <w:tc>
          <w:tcPr>
            <w:tcW w:type="dxa" w:w="4224"/>
          </w:tcPr>
          <w:p>
            <w:pPr>
              <w:spacing w:line="240" w:lineRule="auto"/>
            </w:pPr>
            <w:r>
              <w:rPr>
                <w:sz w:val="18"/>
              </w:rPr>
              <w:t>MAPE</w:t>
            </w:r>
          </w:p>
        </w:tc>
        <w:tc>
          <w:tcPr>
            <w:tcW w:type="dxa" w:w="4224"/>
          </w:tcPr>
          <w:p>
            <w:pPr>
              <w:spacing w:line="240" w:lineRule="auto"/>
            </w:pPr>
            <w:r>
              <w:rPr>
                <w:sz w:val="18"/>
              </w:rPr>
              <w:t>Mean absolute prediction error divided by actual values and expressed as a percentage; sensitive to small denominators.</w:t>
            </w:r>
          </w:p>
        </w:tc>
      </w:tr>
      <w:tr>
        <w:tc>
          <w:tcPr>
            <w:tcW w:type="dxa" w:w="4224"/>
          </w:tcPr>
          <w:p>
            <w:pPr>
              <w:spacing w:line="240" w:lineRule="auto"/>
            </w:pPr>
            <w:r>
              <w:rPr>
                <w:sz w:val="18"/>
              </w:rPr>
              <w:t>Modal price</w:t>
            </w:r>
          </w:p>
        </w:tc>
        <w:tc>
          <w:tcPr>
            <w:tcW w:type="dxa" w:w="4224"/>
          </w:tcPr>
          <w:p>
            <w:pPr>
              <w:spacing w:line="240" w:lineRule="auto"/>
            </w:pPr>
            <w:r>
              <w:rPr>
                <w:sz w:val="18"/>
              </w:rPr>
              <w:t>The most frequently observed price in a defined set, if the source explicitly defines it that way.</w:t>
            </w:r>
          </w:p>
        </w:tc>
      </w:tr>
      <w:tr>
        <w:tc>
          <w:tcPr>
            <w:tcW w:type="dxa" w:w="4224"/>
          </w:tcPr>
          <w:p>
            <w:pPr>
              <w:spacing w:line="240" w:lineRule="auto"/>
            </w:pPr>
            <w:r>
              <w:rPr>
                <w:sz w:val="18"/>
              </w:rPr>
              <w:t>Out-of-sample</w:t>
            </w:r>
          </w:p>
        </w:tc>
        <w:tc>
          <w:tcPr>
            <w:tcW w:type="dxa" w:w="4224"/>
          </w:tcPr>
          <w:p>
            <w:pPr>
              <w:spacing w:line="240" w:lineRule="auto"/>
            </w:pPr>
            <w:r>
              <w:rPr>
                <w:sz w:val="18"/>
              </w:rPr>
              <w:t>Observations not used to fit a model and reserved for evaluating predictions.</w:t>
            </w:r>
          </w:p>
        </w:tc>
      </w:tr>
      <w:tr>
        <w:tc>
          <w:tcPr>
            <w:tcW w:type="dxa" w:w="4224"/>
          </w:tcPr>
          <w:p>
            <w:pPr>
              <w:spacing w:line="240" w:lineRule="auto"/>
            </w:pPr>
            <w:r>
              <w:rPr>
                <w:sz w:val="18"/>
              </w:rPr>
              <w:t>Prediction interval</w:t>
            </w:r>
          </w:p>
        </w:tc>
        <w:tc>
          <w:tcPr>
            <w:tcW w:type="dxa" w:w="4224"/>
          </w:tcPr>
          <w:p>
            <w:pPr>
              <w:spacing w:line="240" w:lineRule="auto"/>
            </w:pPr>
            <w:r>
              <w:rPr>
                <w:sz w:val="18"/>
              </w:rPr>
              <w:t>A range intended to contain a future observation at a stated coverage level, subject to calibration.</w:t>
            </w:r>
          </w:p>
        </w:tc>
      </w:tr>
      <w:tr>
        <w:tc>
          <w:tcPr>
            <w:tcW w:type="dxa" w:w="4224"/>
          </w:tcPr>
          <w:p>
            <w:pPr>
              <w:spacing w:line="240" w:lineRule="auto"/>
            </w:pPr>
            <w:r>
              <w:rPr>
                <w:sz w:val="18"/>
              </w:rPr>
              <w:t>Rolling-origin validation</w:t>
            </w:r>
          </w:p>
        </w:tc>
        <w:tc>
          <w:tcPr>
            <w:tcW w:type="dxa" w:w="4224"/>
          </w:tcPr>
          <w:p>
            <w:pPr>
              <w:spacing w:line="240" w:lineRule="auto"/>
            </w:pPr>
            <w:r>
              <w:rPr>
                <w:sz w:val="18"/>
              </w:rPr>
              <w:t>Repeated chronological evaluation using multiple training cut-offs and later test periods.</w:t>
            </w:r>
          </w:p>
        </w:tc>
      </w:tr>
      <w:tr>
        <w:tc>
          <w:tcPr>
            <w:tcW w:type="dxa" w:w="4224"/>
          </w:tcPr>
          <w:p>
            <w:pPr>
              <w:spacing w:line="240" w:lineRule="auto"/>
            </w:pPr>
            <w:r>
              <w:rPr>
                <w:sz w:val="18"/>
              </w:rPr>
              <w:t>Secondary data</w:t>
            </w:r>
          </w:p>
        </w:tc>
        <w:tc>
          <w:tcPr>
            <w:tcW w:type="dxa" w:w="4224"/>
          </w:tcPr>
          <w:p>
            <w:pPr>
              <w:spacing w:line="240" w:lineRule="auto"/>
            </w:pPr>
            <w:r>
              <w:rPr>
                <w:sz w:val="18"/>
              </w:rPr>
              <w:t>Information originally collected or published by another party and reused for this study.</w:t>
            </w:r>
          </w:p>
        </w:tc>
      </w:tr>
      <w:tr>
        <w:tc>
          <w:tcPr>
            <w:tcW w:type="dxa" w:w="4224"/>
          </w:tcPr>
          <w:p>
            <w:pPr>
              <w:spacing w:line="240" w:lineRule="auto"/>
            </w:pPr>
            <w:r>
              <w:rPr>
                <w:sz w:val="18"/>
              </w:rPr>
              <w:t>SHAP attribution</w:t>
            </w:r>
          </w:p>
        </w:tc>
        <w:tc>
          <w:tcPr>
            <w:tcW w:type="dxa" w:w="4224"/>
          </w:tcPr>
          <w:p>
            <w:pPr>
              <w:spacing w:line="240" w:lineRule="auto"/>
            </w:pPr>
            <w:r>
              <w:rPr>
                <w:sz w:val="18"/>
              </w:rPr>
              <w:t>A model-specific allocation of prediction contribution across input features; not a causal effect.</w:t>
            </w:r>
          </w:p>
        </w:tc>
      </w:tr>
      <w:tr>
        <w:tc>
          <w:tcPr>
            <w:tcW w:type="dxa" w:w="4224"/>
          </w:tcPr>
          <w:p>
            <w:pPr>
              <w:spacing w:line="240" w:lineRule="auto"/>
            </w:pPr>
            <w:r>
              <w:rPr>
                <w:sz w:val="18"/>
              </w:rPr>
              <w:t>Statewide series</w:t>
            </w:r>
          </w:p>
        </w:tc>
        <w:tc>
          <w:tcPr>
            <w:tcW w:type="dxa" w:w="4224"/>
          </w:tcPr>
          <w:p>
            <w:pPr>
              <w:spacing w:line="240" w:lineRule="auto"/>
            </w:pPr>
            <w:r>
              <w:rPr>
                <w:sz w:val="18"/>
              </w:rPr>
              <w:t>An aggregate over multiple markets within Tamil Nadu under the pipeline’s aggregation rule.</w:t>
            </w:r>
          </w:p>
        </w:tc>
      </w:tr>
      <w:tr>
        <w:tc>
          <w:tcPr>
            <w:tcW w:type="dxa" w:w="4224"/>
          </w:tcPr>
          <w:p>
            <w:pPr>
              <w:spacing w:line="240" w:lineRule="auto"/>
            </w:pPr>
            <w:r>
              <w:rPr>
                <w:sz w:val="18"/>
              </w:rPr>
              <w:t>Target leakage</w:t>
            </w:r>
          </w:p>
        </w:tc>
        <w:tc>
          <w:tcPr>
            <w:tcW w:type="dxa" w:w="4224"/>
          </w:tcPr>
          <w:p>
            <w:pPr>
              <w:spacing w:line="240" w:lineRule="auto"/>
            </w:pPr>
            <w:r>
              <w:rPr>
                <w:sz w:val="18"/>
              </w:rPr>
              <w:t>A form of data leakage where the outcome or a proxy for it enters predictors.</w:t>
            </w:r>
          </w:p>
        </w:tc>
      </w:tr>
      <w:tr>
        <w:tc>
          <w:tcPr>
            <w:tcW w:type="dxa" w:w="4224"/>
          </w:tcPr>
          <w:p>
            <w:pPr>
              <w:spacing w:line="240" w:lineRule="auto"/>
            </w:pPr>
            <w:r>
              <w:rPr>
                <w:sz w:val="18"/>
              </w:rPr>
              <w:t>Wholesale quote</w:t>
            </w:r>
          </w:p>
        </w:tc>
        <w:tc>
          <w:tcPr>
            <w:tcW w:type="dxa" w:w="4224"/>
          </w:tcPr>
          <w:p>
            <w:pPr>
              <w:spacing w:line="240" w:lineRule="auto"/>
            </w:pPr>
            <w:r>
              <w:rPr>
                <w:sz w:val="18"/>
              </w:rPr>
              <w:t>A price at a defined wholesale transaction level; it must be distinguished from retail and indicative listings.</w:t>
            </w:r>
          </w:p>
        </w:tc>
      </w:tr>
    </w:tbl>
    <w:p>
      <w:r>
        <w:t>This glossary is intended to keep terms consistent in the report and dashboard. It does not override the upstream data provider’s definitions. When source documentation uses a different meaning, the provider’s definition should be recorded and the analytical label revised accordingly.</w:t>
      </w:r>
    </w:p>
    <w:p>
      <w:r>
        <w:br w:type="page"/>
      </w:r>
    </w:p>
    <w:p>
      <w:pPr>
        <w:pStyle w:val="Title"/>
      </w:pPr>
      <w:r>
        <w:t>APPENDIX J - ANALYTICAL DEFINITIONS AND REPRODUCIBILITY DETAILS</w:t>
      </w:r>
    </w:p>
    <w:p>
      <w:pPr>
        <w:pStyle w:val="Heading1"/>
      </w:pPr>
      <w:r>
        <w:t>J.1 Daily aggregation specification</w:t>
      </w:r>
    </w:p>
    <w:p>
      <w:r>
        <w:t>A daily price series must state which source field is aggregated and how multiple observations for the same date and commodity are combined. A simple arithmetic average gives equal weight to every included record; it can differ from a market-weighted average if markets contribute different numbers of observations or trade volumes. A median can reduce sensitivity to extremes but represents a different target. The implementation should identify its actual aggregation rule and preserve the contributing row count and market count for each daily value.</w:t>
      </w:r>
    </w:p>
    <w:p>
      <w:r>
        <w:t>When market coverage changes, the aggregate may move because the contributing set changed. A coverage table should accompany the daily price and identify the markets represented at each date. If a market is absent, the pipeline should not interpret absence as a zero price. The analysis should distinguish no observation, a market holiday and an observed value of zero if that code exists in the source.</w:t>
      </w:r>
    </w:p>
    <w:p>
      <w:r>
        <w:t>Aggregation should be tested with a small hand-checked sample. Select dates with multiple markets and reproduce the output directly from raw rows. Compare the calculated result to the processed series and record the rounding rule. A reproducibility test can detect unintended duplicate weighting or inconsistent treatment of missing price fields.</w:t>
      </w:r>
    </w:p>
    <w:p>
      <w:pPr>
        <w:pStyle w:val="Heading1"/>
      </w:pPr>
      <w:r>
        <w:t>J.2 Feature engineering specification</w:t>
      </w:r>
    </w:p>
    <w:p>
      <w:r>
        <w:t>For each feature, the project documentation should define its mathematical operation, window length, treatment of gaps and earliest date on which it becomes available. A lag feature should specify whether it refers to calendar days or prior observed records. A rolling mean should state whether the current date is included; for a forecast issued before the current day closes, including the current value may leak information. A rolling standard deviation should state the degrees-of-freedom convention if exact reproduction is required.</w:t>
      </w:r>
    </w:p>
    <w:p>
      <w:r>
        <w:t>Calendar variables should be built from the issue date or target date according to the forecast task. If a model forecasts a future date, known calendar labels may be valid predictors. Actual future weather is not known at issue time; only a weather forecast available then would be eligible. The local historical weather file provides actual recorded conditions, so its use must be aligned with a realistic information set before interpreting forecast performance.</w:t>
      </w:r>
    </w:p>
    <w:p>
      <w:r>
        <w:t>Feature engineering should be tested at cut-off boundaries. For each validation origin, the analyst can verify that no feature value depends on a target observation after the origin. A simple audit can recalculate a feature for a selected row using only earlier records and compare the result. This check should be part of the pipeline rather than a one-time manual assurance.</w:t>
      </w:r>
    </w:p>
    <w:p>
      <w:pPr>
        <w:pStyle w:val="Heading1"/>
      </w:pPr>
      <w:r>
        <w:t>J.3 Metric definitions and reporting rules</w:t>
      </w:r>
    </w:p>
    <w:p>
      <w:r>
        <w:t>MAE is the average absolute difference between predicted and observed values in the target unit. RMSE is the square root of the average squared difference and gives larger deviations more weight. MAPE is the average absolute difference divided by the absolute observed value, multiplied by one hundred; observations with a zero denominator require an explicit rule. This report uses the pipeline’s saved MAPE summaries and does not reconstruct unreported MAE or RMSE values.</w:t>
      </w:r>
    </w:p>
    <w:p>
      <w:r>
        <w:t>When aggregating across commodities, calculate each commodity’s metric first and state whether the final mean weights commodities equally. A pooled observation-level metric weights series with more scored dates more heavily. Both can be useful, but they answer different questions. For buyers with known procurement volumes, a volume-weighted metric may be relevant, provided those volumes are observed and not invented.</w:t>
      </w:r>
    </w:p>
    <w:p>
      <w:r>
        <w:t>Forecast error should also be interpreted against a baseline. Define skill relative to a selected baseline only when both forecasts cover identical dates and use the same metric. A negative skill value indicates worse performance than the baseline for that measure; a positive value indicates improvement. The baseline definition and sign convention should appear beside the result to avoid ambiguous claims.</w:t>
      </w:r>
    </w:p>
    <w:p>
      <w:pPr>
        <w:pStyle w:val="Heading1"/>
      </w:pPr>
      <w:r>
        <w:t>J.4 Model reproducibility record</w:t>
      </w:r>
    </w:p>
    <w:p>
      <w:r>
        <w:t>A reproducible model record includes the raw data snapshot, preprocessing code version, feature definitions, training dates, validation origins, package versions, random seeds where applicable, model parameters, warnings, fitted artifact and forecast output. The record should identify failed runs and explain whether a fallback model was used. Logging only the final metric is insufficient because it does not allow an analyst to reconstruct the experiment.</w:t>
      </w:r>
    </w:p>
    <w:p>
      <w:r>
        <w:t>Tree methods can vary with random initialization, software version and execution settings. The run should set seeds where supported and record the configuration. A repeated run can then determine whether score variation is material. If a model is nondeterministic under the chosen hardware or library, the report should describe the range across repeated fits instead of implying a single exact result.</w:t>
      </w:r>
    </w:p>
    <w:p>
      <w:r>
        <w:t>Artifacts should be stored in a run-specific directory with a concise manifest. Raw source files should be read-only, while processed outputs and logs are new files. The manifest should record completion status of each stage and point to the final analytical tables. This organization makes it easier to compare future runs without overwriting prior evidence.</w:t>
      </w:r>
    </w:p>
    <w:p>
      <w:pPr>
        <w:pStyle w:val="Heading1"/>
      </w:pPr>
      <w:r>
        <w:t>J.5 Tables and charts for a final academic submission</w:t>
      </w:r>
    </w:p>
    <w:p>
      <w:r>
        <w:t>Every table should have a number, descriptive caption, clear units and a source note. If a table is calculated from the study dataset, the note should name the dataset and summarize the aggregation. If a value comes from an external report, cite the report next to the table. Tables should not imply precision beyond the source; rounded percentages should use a consistent number of decimal places.</w:t>
      </w:r>
    </w:p>
    <w:p>
      <w:r>
        <w:t>Every figure should have a numbered caption and an explanation in the nearby text. A plot should label the price unit, dates, commodity and geography. Forecast and observation segments should be visually distinct. Any chart showing a suspicious record should mark it as a flagged value rather than allowing it to dominate the scale without explanation.</w:t>
      </w:r>
    </w:p>
    <w:p>
      <w:r>
        <w:t>For a viva presentation, select visuals that answer a research question rather than repeat every model output. A data coverage graphic, a chronological validation diagram, a compact metric comparison and a Koyambedu source-check summary can communicate the central findings. Each graphic should retain caveats when exported from the dashboard so that it remains understandable outside the full report.</w:t>
      </w:r>
    </w:p>
    <w:p>
      <w:pPr>
        <w:pStyle w:val="Heading1"/>
      </w:pPr>
      <w:r>
        <w:t>J.6 Limitations on inference</w:t>
      </w:r>
    </w:p>
    <w:p>
      <w:r>
        <w:t>The retrospective dataset does not randomly sample all transactions in the state. The analysis therefore describes the available records rather than estimating a statewide census parameter. A market with more reporting rows may contribute more strongly to an unweighted aggregation. Findings should not be generalized to all traders, retailers or consumer prices without evidence that the sample and measure represent those populations.</w:t>
      </w:r>
    </w:p>
    <w:p>
      <w:r>
        <w:t>Forecast accuracy over the historical test windows does not ensure future accuracy, especially under structural change. The observed period covers a limited number of annual cycles and may not include all relevant supply disruptions. A future shock can place inputs outside the historical training range. Monitoring and abstention are therefore part of responsible use, not optional interface features.</w:t>
      </w:r>
    </w:p>
    <w:p>
      <w:r>
        <w:t>No buyer-level outcomes are available, so the analysis cannot conclude that a forecast lowers total procurement cost, reduces spoilage or improves service. Those are hypotheses for a prospective study. The distinction should be preserved in the abstract, conclusions, dashboard and viva explanation.</w:t>
      </w:r>
    </w:p>
    <w:p>
      <w:r>
        <w:br w:type="page"/>
      </w:r>
    </w:p>
    <w:p>
      <w:pPr>
        <w:pStyle w:val="Title"/>
      </w:pPr>
      <w:r>
        <w:t>APPENDIX K - PROSPECTIVE STUDY ANALYSIS PLAN</w:t>
      </w:r>
    </w:p>
    <w:p>
      <w:pPr>
        <w:pStyle w:val="Heading1"/>
      </w:pPr>
      <w:r>
        <w:t>K.1 Questions and estimands</w:t>
      </w:r>
    </w:p>
    <w:p>
      <w:r>
        <w:t>A prospective evaluation should distinguish predictive performance from decision impact. The prediction question is how accurately a frozen model forecasts a precisely defined price series at a stated horizon. The decision question is whether access to that forecast changes purchasing choices and total delivered cost while maintaining service. The first can be answered from observed prices; the second requires buyer actions and outcomes.</w:t>
      </w:r>
    </w:p>
    <w:p>
      <w:r>
        <w:t>The primary prediction estimand can be the mean per-commodity MAE across prespecified rolling origins at the target horizon. Secondary measures can include RMSE, MAPE with a prespecified denominator rule, interval coverage and performance versus seasonal-naive. The primary decision estimand should be selected with participating buyers, such as the difference in spoilage-adjusted delivered cost for equivalent usable quantity under the pilot and comparison policy. The protocol must define the unit of comparison before data collection.</w:t>
      </w:r>
    </w:p>
    <w:p>
      <w:pPr>
        <w:pStyle w:val="Heading1"/>
      </w:pPr>
      <w:r>
        <w:t>K.2 Study periods and inclusion rules</w:t>
      </w:r>
    </w:p>
    <w:p>
      <w:r>
        <w:t>The protocol should state a start date, an observation frequency, eligible commodities, participating buyer types and the definition of a complete buyer-day. It should specify how cancellations, supplier substitutions, partial deliveries and missing invoices will be handled. These rules should be fixed before outcomes are reviewed to reduce selective inclusion.</w:t>
      </w:r>
    </w:p>
    <w:p>
      <w:r>
        <w:t>The forecast evaluation period should include a development period and a later assessment period. Model selection and threshold tuning should occur before the final assessment period. If the assessment data are used to revise the model, they are no longer an untouched test set and a later period will be needed for confirmation.</w:t>
      </w:r>
    </w:p>
    <w:p>
      <w:pPr>
        <w:pStyle w:val="Heading1"/>
      </w:pPr>
      <w:r>
        <w:t>K.3 Analysis and uncertainty</w:t>
      </w:r>
    </w:p>
    <w:p>
      <w:r>
        <w:t>Report the count of observations and participating buyers alongside each estimate. Provide uncertainty intervals appropriate to the repeated observations and buyer clustering. If the sample is small or the comparison design is weak, emphasize descriptive results and avoid claims of effect. Show commodity-specific estimates as well as the overall result so that a favorable aggregate does not conceal harmful outcomes for one item.</w:t>
      </w:r>
    </w:p>
    <w:p>
      <w:r>
        <w:t>For price forecasts, inspect error distributions and identify tail events. For procurement outcomes, examine cost together with service, spoilage and rejected quality. A lower cost accompanied by more stockouts is not a complete success. Sensitivity analysis can show how conclusions change under reasonable treatment of missing records, but the main analysis rules should remain predeclared.</w:t>
      </w:r>
    </w:p>
    <w:p>
      <w:pPr>
        <w:pStyle w:val="Heading1"/>
      </w:pPr>
      <w:r>
        <w:t>K.4 Reporting and decision criteria</w:t>
      </w:r>
    </w:p>
    <w:p>
      <w:r>
        <w:t>The final study report should describe the protocol deviations, missingness, overrides, adverse outcomes and data-source changes. Report all prespecified primary outcomes, even when they do not support the expected benefit. Summaries should state the uncertainty and practical importance of the estimate rather than focusing only on statistical significance.</w:t>
      </w:r>
    </w:p>
    <w:p>
      <w:r>
        <w:t>Before a pilot, stakeholders should define what evidence would justify continuation, revision or stopping. Criteria can include minimum data quality, acceptable forecast coverage, user comprehension, no material deterioration in stockout outcomes and evidence of a cost benefit under comparable service. The criteria should be approved in advance; this report does not assign thresholds because there are no observed buyer outcomes from which to derive them.</w:t>
      </w:r>
    </w:p>
    <w:sectPr w:rsidR="00FC693F" w:rsidRPr="0006063C" w:rsidSect="00034616">
      <w:footerReference w:type="default" r:id="rId9"/>
      <w:pgSz w:w="11906" w:h="16838"/>
      <w:pgMar w:top="1814" w:right="1304" w:bottom="1531"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Short-Term Vegetable Price Forecasting and Procurement Decision Support in Tamil Nadu</dc:title>
  <dc:subject/>
  <dc:creator>Vignesh Natarajan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