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00"/>
        <w:jc w:val="center"/>
      </w:pPr>
      <w:r>
        <w:rPr>
          <w:rFonts w:ascii="Times New Roman" w:cs="Times New Roman" w:eastAsia="Times New Roman" w:hAnsi="Times New Roman"/>
          <w:b/>
          <w:bCs/>
          <w:sz w:val="32"/>
          <w:szCs w:val="32"/>
        </w:rPr>
        <w:t xml:space="preserve">ANNA UNIVERSITY</w:t>
      </w:r>
    </w:p>
    <w:p>
      <w:pPr>
        <w:spacing w:after="120" w:line="300"/>
        <w:jc w:val="center"/>
      </w:pPr>
      <w:r>
        <w:rPr>
          <w:rFonts w:ascii="Times New Roman" w:cs="Times New Roman" w:eastAsia="Times New Roman" w:hAnsi="Times New Roman"/>
          <w:b/>
          <w:bCs/>
          <w:sz w:val="26"/>
          <w:szCs w:val="26"/>
        </w:rPr>
        <w:t xml:space="preserve">CENTRE FOR DISTANCE AND ONLINE EDUCATION</w:t>
      </w:r>
    </w:p>
    <w:p>
      <w:pPr>
        <w:spacing w:after="600" w:line="300"/>
        <w:jc w:val="center"/>
      </w:pPr>
      <w:r>
        <w:rPr>
          <w:rFonts w:ascii="Times New Roman" w:cs="Times New Roman" w:eastAsia="Times New Roman" w:hAnsi="Times New Roman"/>
          <w:b/>
          <w:bCs/>
          <w:sz w:val="24"/>
          <w:szCs w:val="24"/>
        </w:rPr>
        <w:t xml:space="preserve">ONLINE MBA – BUSINESS ANALYTICS</w:t>
      </w:r>
    </w:p>
    <w:p>
      <w:pPr>
        <w:spacing w:after="240" w:line="300"/>
        <w:jc w:val="center"/>
      </w:pPr>
      <w:r>
        <w:rPr>
          <w:rFonts w:ascii="Times New Roman" w:cs="Times New Roman" w:eastAsia="Times New Roman" w:hAnsi="Times New Roman"/>
          <w:b/>
          <w:bCs/>
          <w:sz w:val="28"/>
          <w:szCs w:val="28"/>
        </w:rPr>
        <w:t xml:space="preserve">A STUDY ON SHORT-TERM VEGETABLE PRICE FORECASTING AT KOYAMBEDU WHOLESALE MARKET: A MACHINE LEARNING AND MULTI-AGENT AI APPROACH FOR SUPPLY CHAIN PROCUREMENT DECISION-MAKING</w:t>
      </w:r>
    </w:p>
    <w:p>
      <w:pPr>
        <w:spacing w:after="600" w:line="300"/>
        <w:jc w:val="center"/>
      </w:pPr>
      <w:r>
        <w:rPr>
          <w:rFonts w:ascii="Times New Roman" w:cs="Times New Roman" w:eastAsia="Times New Roman" w:hAnsi="Times New Roman"/>
          <w:b w:val="false"/>
          <w:bCs w:val="false"/>
          <w:sz w:val="24"/>
          <w:szCs w:val="24"/>
        </w:rPr>
        <w:t xml:space="preserve">A Secondary-Data Study of the Koyambedu Market Price Series with a Statewide Tamil Nadu Comparison</w:t>
      </w:r>
    </w:p>
    <w:p>
      <w:pPr>
        <w:spacing w:after="240" w:line="300"/>
        <w:jc w:val="center"/>
      </w:pPr>
      <w:r>
        <w:rPr>
          <w:rFonts w:ascii="Times New Roman" w:cs="Times New Roman" w:eastAsia="Times New Roman" w:hAnsi="Times New Roman"/>
          <w:b/>
          <w:bCs/>
          <w:sz w:val="26"/>
          <w:szCs w:val="26"/>
        </w:rPr>
        <w:t xml:space="preserve">PROJECT REPORT</w:t>
      </w:r>
    </w:p>
    <w:p>
      <w:pPr>
        <w:spacing w:after="120" w:line="300"/>
        <w:jc w:val="center"/>
      </w:pPr>
      <w:r>
        <w:rPr>
          <w:rFonts w:ascii="Times New Roman" w:cs="Times New Roman" w:eastAsia="Times New Roman" w:hAnsi="Times New Roman"/>
          <w:b w:val="false"/>
          <w:bCs w:val="false"/>
          <w:sz w:val="22"/>
          <w:szCs w:val="22"/>
        </w:rPr>
        <w:t xml:space="preserve">Submitted in partial fulfilment of the requirements for the award of the degree of</w:t>
      </w:r>
    </w:p>
    <w:p>
      <w:pPr>
        <w:spacing w:after="600" w:line="300"/>
        <w:jc w:val="center"/>
      </w:pPr>
      <w:r>
        <w:rPr>
          <w:rFonts w:ascii="Times New Roman" w:cs="Times New Roman" w:eastAsia="Times New Roman" w:hAnsi="Times New Roman"/>
          <w:b/>
          <w:bCs/>
          <w:sz w:val="26"/>
          <w:szCs w:val="26"/>
        </w:rPr>
        <w:t xml:space="preserve">MASTER OF BUSINESS ADMINISTRATION</w:t>
      </w:r>
    </w:p>
    <w:p>
      <w:pPr>
        <w:spacing w:after="80" w:line="300"/>
        <w:jc w:val="center"/>
      </w:pPr>
      <w:r>
        <w:rPr>
          <w:rFonts w:ascii="Times New Roman" w:cs="Times New Roman" w:eastAsia="Times New Roman" w:hAnsi="Times New Roman"/>
          <w:b w:val="false"/>
          <w:bCs w:val="false"/>
          <w:sz w:val="22"/>
          <w:szCs w:val="22"/>
        </w:rPr>
        <w:t xml:space="preserve">Submitted by</w:t>
      </w:r>
    </w:p>
    <w:p>
      <w:pPr>
        <w:spacing w:after="120" w:line="300"/>
        <w:jc w:val="center"/>
      </w:pPr>
      <w:r>
        <w:rPr>
          <w:rFonts w:ascii="Times New Roman" w:cs="Times New Roman" w:eastAsia="Times New Roman" w:hAnsi="Times New Roman"/>
          <w:b/>
          <w:bCs/>
          <w:sz w:val="26"/>
          <w:szCs w:val="26"/>
        </w:rPr>
        <w:t xml:space="preserve">VIGNESH NATARAJAN</w:t>
      </w:r>
    </w:p>
    <w:p>
      <w:pPr>
        <w:spacing w:after="600" w:line="300"/>
        <w:jc w:val="center"/>
      </w:pPr>
      <w:r>
        <w:rPr>
          <w:rFonts w:ascii="Times New Roman" w:cs="Times New Roman" w:eastAsia="Times New Roman" w:hAnsi="Times New Roman"/>
          <w:b w:val="false"/>
          <w:bCs w:val="false"/>
          <w:sz w:val="22"/>
          <w:szCs w:val="22"/>
        </w:rPr>
        <w:t xml:space="preserve">Roll No. 2406OBA0046  |  Registration No. 69124100162</w:t>
      </w:r>
    </w:p>
    <w:p>
      <w:pPr>
        <w:spacing w:after="120" w:line="300"/>
        <w:jc w:val="center"/>
      </w:pPr>
      <w:r>
        <w:rPr>
          <w:rFonts w:ascii="Times New Roman" w:cs="Times New Roman" w:eastAsia="Times New Roman" w:hAnsi="Times New Roman"/>
          <w:b/>
          <w:bCs/>
          <w:sz w:val="24"/>
          <w:szCs w:val="24"/>
        </w:rPr>
        <w:t xml:space="preserve">BATCH CY24  |  2026</w:t>
      </w:r>
    </w:p>
    <w:p>
      <w:pPr>
        <w:sectPr>
          <w:pgSz w:w="11906" w:h="16838" w:orient="portrait"/>
          <w:pgMar w:top="1814" w:right="1304" w:bottom="1531" w:left="2154" w:header="720" w:footer="720" w:gutter="0"/>
          <w:pgNumType/>
          <w:docGrid w:linePitch="360"/>
        </w:sectPr>
      </w:pPr>
    </w:p>
    <w:p>
      <w:pPr>
        <w:pStyle w:val="Heading1"/>
        <w:pageBreakBefore/>
        <w:spacing w:after="360" w:before="240"/>
        <w:jc w:val="center"/>
      </w:pPr>
      <w:r>
        <w:rPr>
          <w:rFonts w:ascii="Times New Roman" w:cs="Times New Roman" w:eastAsia="Times New Roman" w:hAnsi="Times New Roman"/>
          <w:b/>
          <w:bCs/>
          <w:sz w:val="28"/>
          <w:szCs w:val="28"/>
        </w:rPr>
        <w:t xml:space="preserve">BONAFIDE CERTIFICATE</w:t>
      </w:r>
    </w:p>
    <w:p>
      <w:pPr>
        <w:spacing w:after="120" w:before="0" w:line="360"/>
        <w:jc w:val="both"/>
      </w:pPr>
      <w:r>
        <w:rPr>
          <w:rFonts w:ascii="Times New Roman" w:cs="Times New Roman" w:eastAsia="Times New Roman" w:hAnsi="Times New Roman"/>
        </w:rPr>
        <w:t xml:space="preserve">This is to certify that the project report entitled “A Study on Short-Term Vegetable Price Forecasting at Koyambedu Wholesale Market: A Machine Learning and Multi-Agent AI Approach for Supply Chain Procurement Decision-Making” is a bonafide record of the project work carried out by </w:t>
      </w:r>
      <w:r>
        <w:rPr>
          <w:rFonts w:ascii="Times New Roman" w:cs="Times New Roman" w:eastAsia="Times New Roman" w:hAnsi="Times New Roman"/>
          <w:b/>
          <w:bCs/>
        </w:rPr>
        <w:t xml:space="preserve">Vignesh Natarajan</w:t>
      </w:r>
      <w:r>
        <w:rPr>
          <w:rFonts w:ascii="Times New Roman" w:cs="Times New Roman" w:eastAsia="Times New Roman" w:hAnsi="Times New Roman"/>
        </w:rPr>
        <w:t xml:space="preserve"> (Roll No. 2406OBA0046; Registration No. 69124100162), in partial fulfilment of the requirements for the award of the degree of Master of Business Administration (Business Analytics) of Anna University, Centre for Distance and Online Education.</w:t>
      </w:r>
    </w:p>
    <w:p>
      <w:pPr>
        <w:spacing w:after="120" w:before="0" w:line="360"/>
        <w:jc w:val="both"/>
      </w:pPr>
      <w:r>
        <w:rPr>
          <w:rFonts w:ascii="Times New Roman" w:cs="Times New Roman" w:eastAsia="Times New Roman" w:hAnsi="Times New Roman"/>
        </w:rPr>
        <w:t xml:space="preserve">The project was completed under my guidance during the academic year 2025–2026. To the best of my knowledge, the work has not been submitted for the award of any other degree or diploma.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tbl>
      <w:tblPr>
        <w:tblW w:type="dxa" w:w="8448"/>
        <w:tblBorders>
          <w:top w:val="none"/>
          <w:left w:val="none"/>
          <w:bottom w:val="none"/>
          <w:right w:val="none"/>
          <w:insideH w:val="none"/>
          <w:insideV w:val="none"/>
        </w:tblBorders>
      </w:tblPr>
      <w:tblGrid>
        <w:gridCol w:w="4224"/>
        <w:gridCol w:w="4224"/>
      </w:tblGrid>
      <w:tr>
        <w:tc>
          <w:tcPr>
            <w:tcW w:type="dxa" w:w="4224"/>
            <w:tcBorders>
              <w:top w:val="none"/>
              <w:left w:val="none"/>
              <w:bottom w:val="none"/>
              <w:right w:val="none"/>
            </w:tcBorders>
          </w:tcPr>
          <w:p>
            <w:pPr>
              <w:spacing w:after="160"/>
            </w:pPr>
            <w:r>
              <w:rPr>
                <w:rFonts w:ascii="Times New Roman" w:cs="Times New Roman" w:eastAsia="Times New Roman" w:hAnsi="Times New Roman"/>
                <w:b/>
                <w:bCs/>
                <w:sz w:val="24"/>
                <w:szCs w:val="24"/>
              </w:rPr>
              <w:t xml:space="preserve">Project Guide</w:t>
            </w:r>
          </w:p>
        </w:tc>
        <w:tc>
          <w:tcPr>
            <w:tcW w:type="dxa" w:w="4224"/>
            <w:tcBorders>
              <w:top w:val="none"/>
              <w:left w:val="none"/>
              <w:bottom w:val="none"/>
              <w:right w:val="none"/>
            </w:tcBorders>
          </w:tcPr>
          <w:p>
            <w:pPr>
              <w:spacing w:after="160"/>
            </w:pPr>
            <w:r>
              <w:rPr>
                <w:rFonts w:ascii="Times New Roman" w:cs="Times New Roman" w:eastAsia="Times New Roman" w:hAnsi="Times New Roman"/>
                <w:b/>
                <w:bCs/>
                <w:sz w:val="24"/>
                <w:szCs w:val="24"/>
              </w:rPr>
              <w:t xml:space="preserve">Head of Department / Programme Coordinator</w:t>
            </w:r>
          </w:p>
        </w:tc>
      </w:tr>
      <w:tr>
        <w:tc>
          <w:tcPr>
            <w:tcW w:type="dxa" w:w="4224"/>
            <w:tcBorders>
              <w:top w:val="none"/>
              <w:left w:val="none"/>
              <w:bottom w:val="none"/>
              <w:right w:val="none"/>
            </w:tcBorders>
          </w:tcPr>
          <w:p>
            <w:pPr>
              <w:spacing w:after="160"/>
            </w:pPr>
            <w:r>
              <w:rPr>
                <w:rFonts w:ascii="Times New Roman" w:cs="Times New Roman" w:eastAsia="Times New Roman" w:hAnsi="Times New Roman"/>
                <w:b w:val="false"/>
                <w:bCs w:val="false"/>
                <w:sz w:val="24"/>
                <w:szCs w:val="24"/>
              </w:rPr>
              <w:t xml:space="preserve">Name: ____________________</w:t>
            </w:r>
          </w:p>
        </w:tc>
        <w:tc>
          <w:tcPr>
            <w:tcW w:type="dxa" w:w="4224"/>
            <w:tcBorders>
              <w:top w:val="none"/>
              <w:left w:val="none"/>
              <w:bottom w:val="none"/>
              <w:right w:val="none"/>
            </w:tcBorders>
          </w:tcPr>
          <w:p>
            <w:pPr>
              <w:spacing w:after="160"/>
            </w:pPr>
            <w:r>
              <w:rPr>
                <w:rFonts w:ascii="Times New Roman" w:cs="Times New Roman" w:eastAsia="Times New Roman" w:hAnsi="Times New Roman"/>
                <w:b w:val="false"/>
                <w:bCs w:val="false"/>
                <w:sz w:val="24"/>
                <w:szCs w:val="24"/>
              </w:rPr>
              <w:t xml:space="preserve">Name: ____________________</w:t>
            </w:r>
          </w:p>
        </w:tc>
      </w:tr>
      <w:tr>
        <w:tc>
          <w:tcPr>
            <w:tcW w:type="dxa" w:w="4224"/>
            <w:tcBorders>
              <w:top w:val="none"/>
              <w:left w:val="none"/>
              <w:bottom w:val="none"/>
              <w:right w:val="none"/>
            </w:tcBorders>
          </w:tcPr>
          <w:p>
            <w:pPr>
              <w:spacing w:after="160"/>
            </w:pPr>
            <w:r>
              <w:rPr>
                <w:rFonts w:ascii="Times New Roman" w:cs="Times New Roman" w:eastAsia="Times New Roman" w:hAnsi="Times New Roman"/>
                <w:b w:val="false"/>
                <w:bCs w:val="false"/>
                <w:sz w:val="24"/>
                <w:szCs w:val="24"/>
              </w:rPr>
              <w:t xml:space="preserve">Signature: ________________</w:t>
            </w:r>
          </w:p>
        </w:tc>
        <w:tc>
          <w:tcPr>
            <w:tcW w:type="dxa" w:w="4224"/>
            <w:tcBorders>
              <w:top w:val="none"/>
              <w:left w:val="none"/>
              <w:bottom w:val="none"/>
              <w:right w:val="none"/>
            </w:tcBorders>
          </w:tcPr>
          <w:p>
            <w:pPr>
              <w:spacing w:after="160"/>
            </w:pPr>
            <w:r>
              <w:rPr>
                <w:rFonts w:ascii="Times New Roman" w:cs="Times New Roman" w:eastAsia="Times New Roman" w:hAnsi="Times New Roman"/>
                <w:b w:val="false"/>
                <w:bCs w:val="false"/>
                <w:sz w:val="24"/>
                <w:szCs w:val="24"/>
              </w:rPr>
              <w:t xml:space="preserve">Signature: ________________</w:t>
            </w:r>
          </w:p>
        </w:tc>
      </w:tr>
      <w:tr>
        <w:tc>
          <w:tcPr>
            <w:tcW w:type="dxa" w:w="4224"/>
            <w:tcBorders>
              <w:top w:val="none"/>
              <w:left w:val="none"/>
              <w:bottom w:val="none"/>
              <w:right w:val="none"/>
            </w:tcBorders>
          </w:tcPr>
          <w:p>
            <w:pPr>
              <w:spacing w:after="160"/>
            </w:pPr>
            <w:r>
              <w:rPr>
                <w:rFonts w:ascii="Times New Roman" w:cs="Times New Roman" w:eastAsia="Times New Roman" w:hAnsi="Times New Roman"/>
                <w:b w:val="false"/>
                <w:bCs w:val="false"/>
                <w:sz w:val="24"/>
                <w:szCs w:val="24"/>
              </w:rPr>
              <w:t xml:space="preserve">Date: _____________________</w:t>
            </w:r>
          </w:p>
        </w:tc>
        <w:tc>
          <w:tcPr>
            <w:tcW w:type="dxa" w:w="4224"/>
            <w:tcBorders>
              <w:top w:val="none"/>
              <w:left w:val="none"/>
              <w:bottom w:val="none"/>
              <w:right w:val="none"/>
            </w:tcBorders>
          </w:tcPr>
          <w:p>
            <w:pPr>
              <w:spacing w:after="160"/>
            </w:pPr>
            <w:r>
              <w:rPr>
                <w:rFonts w:ascii="Times New Roman" w:cs="Times New Roman" w:eastAsia="Times New Roman" w:hAnsi="Times New Roman"/>
                <w:b w:val="false"/>
                <w:bCs w:val="false"/>
                <w:sz w:val="24"/>
                <w:szCs w:val="24"/>
              </w:rPr>
              <w:t xml:space="preserve">Seal:</w:t>
            </w:r>
          </w:p>
        </w:tc>
      </w:tr>
    </w:tbl>
    <w:p>
      <w:r>
        <w:rPr>
          <w:rFonts w:ascii="Times New Roman" w:cs="Times New Roman" w:eastAsia="Times New Roman" w:hAnsi="Times New Roman"/>
        </w:rPr>
        <w:t xml:space="preserve"/>
      </w:r>
    </w:p>
    <w:p>
      <w:pPr>
        <w:spacing w:after="120" w:before="0" w:line="360"/>
        <w:jc w:val="both"/>
      </w:pPr>
      <w:r>
        <w:rPr>
          <w:rFonts w:ascii="Times New Roman" w:cs="Times New Roman" w:eastAsia="Times New Roman" w:hAnsi="Times New Roman"/>
        </w:rPr>
        <w:t xml:space="preserve">Submitted for the University project viva voce examination held on ________________ at ________________.</w:t>
      </w:r>
    </w:p>
    <w:p>
      <w:r>
        <w:rPr>
          <w:rFonts w:ascii="Times New Roman" w:cs="Times New Roman" w:eastAsia="Times New Roman" w:hAnsi="Times New Roman"/>
        </w:rPr>
        <w:t xml:space="preserve"/>
      </w:r>
    </w:p>
    <w:tbl>
      <w:tblPr>
        <w:tblW w:type="dxa" w:w="8448"/>
        <w:tblBorders>
          <w:top w:val="none"/>
          <w:left w:val="none"/>
          <w:bottom w:val="none"/>
          <w:right w:val="none"/>
          <w:insideH w:val="none"/>
          <w:insideV w:val="none"/>
        </w:tblBorders>
      </w:tblPr>
      <w:tblGrid>
        <w:gridCol w:w="4224"/>
        <w:gridCol w:w="4224"/>
      </w:tblGrid>
      <w:tr>
        <w:tc>
          <w:tcPr>
            <w:tcW w:type="dxa" w:w="4224"/>
            <w:tcBorders>
              <w:top w:val="none"/>
              <w:left w:val="none"/>
              <w:bottom w:val="none"/>
              <w:right w:val="none"/>
            </w:tcBorders>
          </w:tcPr>
          <w:p>
            <w:pPr>
              <w:spacing w:after="160"/>
            </w:pPr>
            <w:r>
              <w:rPr>
                <w:rFonts w:ascii="Times New Roman" w:cs="Times New Roman" w:eastAsia="Times New Roman" w:hAnsi="Times New Roman"/>
                <w:b/>
                <w:bCs/>
                <w:sz w:val="24"/>
                <w:szCs w:val="24"/>
              </w:rPr>
              <w:t xml:space="preserve">Internal Examiner</w:t>
            </w:r>
          </w:p>
        </w:tc>
        <w:tc>
          <w:tcPr>
            <w:tcW w:type="dxa" w:w="4224"/>
            <w:tcBorders>
              <w:top w:val="none"/>
              <w:left w:val="none"/>
              <w:bottom w:val="none"/>
              <w:right w:val="none"/>
            </w:tcBorders>
          </w:tcPr>
          <w:p>
            <w:pPr>
              <w:spacing w:after="160"/>
            </w:pPr>
            <w:r>
              <w:rPr>
                <w:rFonts w:ascii="Times New Roman" w:cs="Times New Roman" w:eastAsia="Times New Roman" w:hAnsi="Times New Roman"/>
                <w:b/>
                <w:bCs/>
                <w:sz w:val="24"/>
                <w:szCs w:val="24"/>
              </w:rPr>
              <w:t xml:space="preserve">External Examiner</w:t>
            </w:r>
          </w:p>
        </w:tc>
      </w:tr>
      <w:tr>
        <w:tc>
          <w:tcPr>
            <w:tcW w:type="dxa" w:w="4224"/>
            <w:tcBorders>
              <w:top w:val="none"/>
              <w:left w:val="none"/>
              <w:bottom w:val="none"/>
              <w:right w:val="none"/>
            </w:tcBorders>
          </w:tcPr>
          <w:p>
            <w:pPr>
              <w:spacing w:after="160"/>
            </w:pPr>
            <w:r>
              <w:rPr>
                <w:rFonts w:ascii="Times New Roman" w:cs="Times New Roman" w:eastAsia="Times New Roman" w:hAnsi="Times New Roman"/>
                <w:b w:val="false"/>
                <w:bCs w:val="false"/>
                <w:sz w:val="24"/>
                <w:szCs w:val="24"/>
              </w:rPr>
              <w:t xml:space="preserve">Name: ____________________</w:t>
            </w:r>
          </w:p>
        </w:tc>
        <w:tc>
          <w:tcPr>
            <w:tcW w:type="dxa" w:w="4224"/>
            <w:tcBorders>
              <w:top w:val="none"/>
              <w:left w:val="none"/>
              <w:bottom w:val="none"/>
              <w:right w:val="none"/>
            </w:tcBorders>
          </w:tcPr>
          <w:p>
            <w:pPr>
              <w:spacing w:after="160"/>
            </w:pPr>
            <w:r>
              <w:rPr>
                <w:rFonts w:ascii="Times New Roman" w:cs="Times New Roman" w:eastAsia="Times New Roman" w:hAnsi="Times New Roman"/>
                <w:b w:val="false"/>
                <w:bCs w:val="false"/>
                <w:sz w:val="24"/>
                <w:szCs w:val="24"/>
              </w:rPr>
              <w:t xml:space="preserve">Name: ____________________</w:t>
            </w:r>
          </w:p>
        </w:tc>
      </w:tr>
      <w:tr>
        <w:tc>
          <w:tcPr>
            <w:tcW w:type="dxa" w:w="4224"/>
            <w:tcBorders>
              <w:top w:val="none"/>
              <w:left w:val="none"/>
              <w:bottom w:val="none"/>
              <w:right w:val="none"/>
            </w:tcBorders>
          </w:tcPr>
          <w:p>
            <w:pPr>
              <w:spacing w:after="160"/>
            </w:pPr>
            <w:r>
              <w:rPr>
                <w:rFonts w:ascii="Times New Roman" w:cs="Times New Roman" w:eastAsia="Times New Roman" w:hAnsi="Times New Roman"/>
                <w:b w:val="false"/>
                <w:bCs w:val="false"/>
                <w:sz w:val="24"/>
                <w:szCs w:val="24"/>
              </w:rPr>
              <w:t xml:space="preserve">Signature: ________________</w:t>
            </w:r>
          </w:p>
        </w:tc>
        <w:tc>
          <w:tcPr>
            <w:tcW w:type="dxa" w:w="4224"/>
            <w:tcBorders>
              <w:top w:val="none"/>
              <w:left w:val="none"/>
              <w:bottom w:val="none"/>
              <w:right w:val="none"/>
            </w:tcBorders>
          </w:tcPr>
          <w:p>
            <w:pPr>
              <w:spacing w:after="160"/>
            </w:pPr>
            <w:r>
              <w:rPr>
                <w:rFonts w:ascii="Times New Roman" w:cs="Times New Roman" w:eastAsia="Times New Roman" w:hAnsi="Times New Roman"/>
                <w:b w:val="false"/>
                <w:bCs w:val="false"/>
                <w:sz w:val="24"/>
                <w:szCs w:val="24"/>
              </w:rPr>
              <w:t xml:space="preserve">Signature: ________________</w:t>
            </w:r>
          </w:p>
        </w:tc>
      </w:tr>
    </w:tbl>
    <w:p>
      <w:pPr>
        <w:pStyle w:val="Heading1"/>
        <w:pageBreakBefore/>
        <w:spacing w:after="360" w:before="240"/>
        <w:jc w:val="center"/>
      </w:pPr>
      <w:r>
        <w:rPr>
          <w:rFonts w:ascii="Times New Roman" w:cs="Times New Roman" w:eastAsia="Times New Roman" w:hAnsi="Times New Roman"/>
          <w:b/>
          <w:bCs/>
          <w:sz w:val="28"/>
          <w:szCs w:val="28"/>
        </w:rPr>
        <w:t xml:space="preserve">DECLARATION</w:t>
      </w:r>
    </w:p>
    <w:p>
      <w:pPr>
        <w:spacing w:after="120" w:before="0" w:line="360"/>
        <w:jc w:val="both"/>
      </w:pPr>
      <w:r>
        <w:rPr>
          <w:rFonts w:ascii="Times New Roman" w:cs="Times New Roman" w:eastAsia="Times New Roman" w:hAnsi="Times New Roman"/>
        </w:rPr>
        <w:t xml:space="preserve">I, </w:t>
      </w:r>
      <w:r>
        <w:rPr>
          <w:rFonts w:ascii="Times New Roman" w:cs="Times New Roman" w:eastAsia="Times New Roman" w:hAnsi="Times New Roman"/>
          <w:b/>
          <w:bCs/>
        </w:rPr>
        <w:t xml:space="preserve">Vignesh Natarajan</w:t>
      </w:r>
      <w:r>
        <w:rPr>
          <w:rFonts w:ascii="Times New Roman" w:cs="Times New Roman" w:eastAsia="Times New Roman" w:hAnsi="Times New Roman"/>
        </w:rPr>
        <w:t xml:space="preserve"> (Roll No. 2406OBA0046; Registration No. 69124100162), hereby declare that the project report entitled “A Study on Short-Term Vegetable Price Forecasting at Koyambedu Wholesale Market: A Machine Learning and Multi-Agent AI Approach for Supply Chain Procurement Decision-Making”, submitted in partial fulfilment of the requirements for the degree of Master of Business Administration (Business Analytics), Anna University, Centre for Distance and Online Education, is a record of original work carried out by me under the guidance of my project guide.</w:t>
      </w:r>
    </w:p>
    <w:p>
      <w:pPr>
        <w:spacing w:after="120" w:before="0" w:line="360"/>
        <w:jc w:val="both"/>
      </w:pPr>
      <w:r>
        <w:rPr>
          <w:rFonts w:ascii="Times New Roman" w:cs="Times New Roman" w:eastAsia="Times New Roman" w:hAnsi="Times New Roman"/>
        </w:rPr>
        <w:t xml:space="preserve">I further declare that the analysis is based on publicly available secondary data and on software written for this project; that all sources used have been acknowledged in the references; that the results reported are those produced by the code and data identified in Appendix D; and that this report has not been submitted, in whole or in part, for any other degree, diploma or similar title.</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tbl>
      <w:tblPr>
        <w:tblW w:type="dxa" w:w="8448"/>
        <w:tblBorders>
          <w:top w:val="none"/>
          <w:left w:val="none"/>
          <w:bottom w:val="none"/>
          <w:right w:val="none"/>
          <w:insideH w:val="none"/>
          <w:insideV w:val="none"/>
        </w:tblBorders>
      </w:tblPr>
      <w:tblGrid>
        <w:gridCol w:w="4224"/>
        <w:gridCol w:w="4224"/>
      </w:tblGrid>
      <w:tr>
        <w:tc>
          <w:tcPr>
            <w:tcW w:type="dxa" w:w="4224"/>
            <w:tcBorders>
              <w:top w:val="none"/>
              <w:left w:val="none"/>
              <w:bottom w:val="none"/>
              <w:right w:val="none"/>
            </w:tcBorders>
          </w:tcPr>
          <w:p>
            <w:pPr>
              <w:spacing w:after="160"/>
            </w:pPr>
            <w:r>
              <w:rPr>
                <w:rFonts w:ascii="Times New Roman" w:cs="Times New Roman" w:eastAsia="Times New Roman" w:hAnsi="Times New Roman"/>
                <w:b w:val="false"/>
                <w:bCs w:val="false"/>
                <w:sz w:val="24"/>
                <w:szCs w:val="24"/>
              </w:rPr>
              <w:t xml:space="preserve">Place: Chennai</w:t>
            </w:r>
          </w:p>
        </w:tc>
        <w:tc>
          <w:tcPr>
            <w:tcW w:type="dxa" w:w="4224"/>
            <w:tcBorders>
              <w:top w:val="none"/>
              <w:left w:val="none"/>
              <w:bottom w:val="none"/>
              <w:right w:val="none"/>
            </w:tcBorders>
          </w:tcPr>
          <w:p>
            <w:pPr>
              <w:spacing w:after="160"/>
            </w:pPr>
            <w:r>
              <w:rPr>
                <w:rFonts w:ascii="Times New Roman" w:cs="Times New Roman" w:eastAsia="Times New Roman" w:hAnsi="Times New Roman"/>
                <w:b w:val="false"/>
                <w:bCs w:val="false"/>
                <w:sz w:val="24"/>
                <w:szCs w:val="24"/>
              </w:rPr>
              <w:t xml:space="preserve">Signature of the Candidate</w:t>
            </w:r>
          </w:p>
        </w:tc>
      </w:tr>
      <w:tr>
        <w:tc>
          <w:tcPr>
            <w:tcW w:type="dxa" w:w="4224"/>
            <w:tcBorders>
              <w:top w:val="none"/>
              <w:left w:val="none"/>
              <w:bottom w:val="none"/>
              <w:right w:val="none"/>
            </w:tcBorders>
          </w:tcPr>
          <w:p>
            <w:pPr>
              <w:spacing w:after="160"/>
            </w:pPr>
            <w:r>
              <w:rPr>
                <w:rFonts w:ascii="Times New Roman" w:cs="Times New Roman" w:eastAsia="Times New Roman" w:hAnsi="Times New Roman"/>
                <w:b w:val="false"/>
                <w:bCs w:val="false"/>
                <w:sz w:val="24"/>
                <w:szCs w:val="24"/>
              </w:rPr>
              <w:t xml:space="preserve">Date: ________________</w:t>
            </w:r>
          </w:p>
        </w:tc>
        <w:tc>
          <w:tcPr>
            <w:tcW w:type="dxa" w:w="4224"/>
            <w:tcBorders>
              <w:top w:val="none"/>
              <w:left w:val="none"/>
              <w:bottom w:val="none"/>
              <w:right w:val="none"/>
            </w:tcBorders>
          </w:tcPr>
          <w:p>
            <w:pPr>
              <w:spacing w:after="160"/>
            </w:pPr>
            <w:r>
              <w:rPr>
                <w:rFonts w:ascii="Times New Roman" w:cs="Times New Roman" w:eastAsia="Times New Roman" w:hAnsi="Times New Roman"/>
                <w:b w:val="false"/>
                <w:bCs w:val="false"/>
                <w:sz w:val="24"/>
                <w:szCs w:val="24"/>
              </w:rPr>
              <w:t xml:space="preserve">(VIGNESH NATARAJAN)</w:t>
            </w:r>
          </w:p>
        </w:tc>
      </w:tr>
    </w:tbl>
    <w:p>
      <w:pPr>
        <w:pStyle w:val="Heading1"/>
        <w:pageBreakBefore/>
        <w:spacing w:after="360" w:before="240"/>
        <w:jc w:val="center"/>
      </w:pPr>
      <w:r>
        <w:rPr>
          <w:rFonts w:ascii="Times New Roman" w:cs="Times New Roman" w:eastAsia="Times New Roman" w:hAnsi="Times New Roman"/>
          <w:b/>
          <w:bCs/>
          <w:sz w:val="28"/>
          <w:szCs w:val="28"/>
        </w:rPr>
        <w:t xml:space="preserve">ACKNOWLEDGEMENT</w:t>
      </w:r>
    </w:p>
    <w:p>
      <w:pPr>
        <w:spacing w:after="120" w:before="0" w:line="360"/>
        <w:jc w:val="both"/>
      </w:pPr>
      <w:r>
        <w:rPr>
          <w:rFonts w:ascii="Times New Roman" w:cs="Times New Roman" w:eastAsia="Times New Roman" w:hAnsi="Times New Roman"/>
        </w:rPr>
        <w:t xml:space="preserve">This project was carried out as part of the Online MBA (Business Analytics) programme, and I thank Anna University and its Centre for Distance and Online Education for making it possible.</w:t>
      </w:r>
    </w:p>
    <w:p>
      <w:pPr>
        <w:spacing w:after="120" w:before="0" w:line="360"/>
        <w:jc w:val="both"/>
      </w:pPr>
      <w:r>
        <w:rPr>
          <w:rFonts w:ascii="Times New Roman" w:cs="Times New Roman" w:eastAsia="Times New Roman" w:hAnsi="Times New Roman"/>
        </w:rPr>
        <w:t xml:space="preserve">I am grateful to my project guide for academic direction, for the questions raised at the first and second reviews, and for constructive feedback that shaped the evaluation design of this study. I thank the faculty of the programme for the grounding in statistics, analytics and supply chain management on which this work draws.</w:t>
      </w:r>
    </w:p>
    <w:p>
      <w:pPr>
        <w:spacing w:after="120" w:before="0" w:line="360"/>
        <w:jc w:val="both"/>
      </w:pPr>
      <w:r>
        <w:rPr>
          <w:rFonts w:ascii="Times New Roman" w:cs="Times New Roman" w:eastAsia="Times New Roman" w:hAnsi="Times New Roman"/>
        </w:rPr>
        <w:t xml:space="preserve">I acknowledge the maintainers of the public data sources used: the Agricultural Marketing Information Network (Agmarknet) of the Directorate of Marketing and Inspection, the Kaggle contributor who compiled the daily commodity price dataset, the Vegetable Market Price website for the Koyambedu history series attributed to the Koyambedu Vegetable Merchants’ Council, and Open-Meteo for historical weather data. I also acknowledge the open-source communities behind Python, pandas, statsmodels, Prophet, scikit-learn, XGBoost, SHAP and Streamlit.</w:t>
      </w:r>
    </w:p>
    <w:p>
      <w:pPr>
        <w:spacing w:after="120" w:before="0" w:line="360"/>
        <w:jc w:val="both"/>
      </w:pPr>
      <w:r>
        <w:rPr>
          <w:rFonts w:ascii="Times New Roman" w:cs="Times New Roman" w:eastAsia="Times New Roman" w:hAnsi="Times New Roman"/>
        </w:rPr>
        <w:t xml:space="preserve">My family and colleagues supported me with patience and encouragement throughout, and I am grateful to them. Any errors of analysis or interpretation that remain are my own.</w:t>
      </w:r>
    </w:p>
    <w:p>
      <w:pPr>
        <w:pStyle w:val="Heading1"/>
        <w:pageBreakBefore/>
        <w:spacing w:after="360" w:before="240"/>
        <w:jc w:val="center"/>
      </w:pPr>
      <w:r>
        <w:rPr>
          <w:rFonts w:ascii="Times New Roman" w:cs="Times New Roman" w:eastAsia="Times New Roman" w:hAnsi="Times New Roman"/>
          <w:b/>
          <w:bCs/>
          <w:sz w:val="28"/>
          <w:szCs w:val="28"/>
        </w:rPr>
        <w:t xml:space="preserve">ABSTRACT</w:t>
      </w:r>
    </w:p>
    <w:p>
      <w:pPr>
        <w:spacing w:after="120" w:before="0" w:line="360"/>
        <w:jc w:val="both"/>
      </w:pPr>
      <w:r>
        <w:rPr>
          <w:rFonts w:ascii="Times New Roman" w:cs="Times New Roman" w:eastAsia="Times New Roman" w:hAnsi="Times New Roman"/>
        </w:rPr>
        <w:t xml:space="preserve">Vegetable prices in India are volatile because supply is seasonal, perishable and weather-sensitive. For an institutional buyer, the cost of a poorly timed purchase is direct. This study asks whether short-term price forecasts, and a rule-based multi-agent decision layer built on them, can support procurement timing for eight vegetables traded at Koyambedu Wholesale Market, Chennai: Tomato, Onion, Potato, Cabbage, Carrot, Beans, Brinjal and Drumstick. A statewide Tamil Nadu series is analysed alongside as a comparison.</w:t>
      </w:r>
    </w:p>
    <w:p>
      <w:pPr>
        <w:spacing w:after="120" w:before="0" w:line="360"/>
        <w:jc w:val="both"/>
      </w:pPr>
      <w:r>
        <w:rPr>
          <w:rFonts w:ascii="Times New Roman" w:cs="Times New Roman" w:eastAsia="Times New Roman" w:hAnsi="Times New Roman"/>
        </w:rPr>
        <w:t xml:space="preserve">Two secondary datasets were analysed separately. The first is a Kaggle-hosted Agmarknet extract of 414,388 market-level records from 451 Tamil Nadu markets (24 January 2024 to 20 April 2026), aggregated to a daily statewide median. The second is a Koyambedu history-page series of 14,472 daily ₹/kg observations (4 November 2021 to 17 October 2026) attributed to the Koyambedu Vegetable Merchants’ Council. SARIMA, Prophet, Random Forest and XGBoost were compared with naive baselines under chronological validation; SHAP was used for interpretation; HAC regressions tested a Northeast Monsoon rainfall effect; and the procurement rules were backtested.</w:t>
      </w:r>
    </w:p>
    <w:p>
      <w:pPr>
        <w:spacing w:after="120" w:before="0" w:line="360"/>
        <w:jc w:val="both"/>
      </w:pPr>
      <w:r>
        <w:rPr>
          <w:rFonts w:ascii="Times New Roman" w:cs="Times New Roman" w:eastAsia="Times New Roman" w:hAnsi="Times New Roman"/>
        </w:rPr>
        <w:t xml:space="preserve">The central finding is that simple baselines were not beaten. On the statewide 90-day holdout, Random Forest recorded 11.32% mean MAPE and XGBoost 13.98%, but yesterday’s price alone gave 4.20%; a strictly seven-day-ahead XGBoost gave 27.09%. On Koyambedu data across seven origins and 7-, 14- and 30-day horizons, the last observed price had the lowest WAPE (11.88%), followed by SARIMA (12.28%), while XGBoost (15.36%), Random Forest (16.63%) and Prophet (23.82%) were worse. No rainfall-anomaly coefficient was significant (p = 0.26–0.92); SHAP ranked a Northeast Monsoon deviation index 12th to 15th of 16 features; and adding weather context to XGBoost did not significantly improve accuracy on a six-month holdout (Diebold–Mariano p = 0.10–0.98). Prior seven-day momentum was significantly negative for all eight vegetables, indicating short-run mean reversion. The procurement rules beat an immediate purchase in only 30.4% of 56 backtest cases. In the 2023 tomato episode the 30-day forecast gave an early warning, signalling a rise of more than 100% from 29 April, and correctly anticipated the rise at 7 of 9 dates (worth about ₹170/kg net to a forward buyer). The decision rules, however, rated these large forecast rises as high-risk, downgraded them to partial purchases and then advised delay in late June, producing a cumulative ₹219/kg loss relative to buying immediately.</w:t>
      </w:r>
    </w:p>
    <w:p>
      <w:pPr>
        <w:spacing w:after="120" w:before="0" w:line="360"/>
        <w:jc w:val="both"/>
      </w:pPr>
      <w:r>
        <w:rPr>
          <w:rFonts w:ascii="Times New Roman" w:cs="Times New Roman" w:eastAsia="Times New Roman" w:hAnsi="Times New Roman"/>
        </w:rPr>
        <w:t xml:space="preserve">All four objectives were tested and answered. The study contributes a reproducible end-to-end pipeline with a nine-page dashboard; a horizon-sensitivity check that exposes next-day persistence masquerading as forecast skill; evidence of short-run mean reversion; a documented failure case for automated advice during a supply shock; and safeguards designed to stop a local AI writer from altering prices. For these series and horizons, naive benchmarks should be the procurement baseline for routine purchases, the 30-day forecast is worth monitoring as an early-warning signal, and the decision rules require redesign (separating forecast direction from risk), a supply-shock override, uncertainty-scaled thresholds and a buyer pilot before operational use. No realized savings are claimed.</w:t>
      </w:r>
    </w:p>
    <w:p>
      <w:pPr>
        <w:spacing w:after="120" w:before="0" w:line="360"/>
        <w:jc w:val="both"/>
      </w:pPr>
      <w:r>
        <w:rPr>
          <w:rFonts w:ascii="Times New Roman" w:cs="Times New Roman" w:eastAsia="Times New Roman" w:hAnsi="Times New Roman"/>
          <w:b/>
          <w:bCs/>
        </w:rPr>
        <w:t xml:space="preserve">Keywords:</w:t>
      </w:r>
      <w:r>
        <w:rPr>
          <w:rFonts w:ascii="Times New Roman" w:cs="Times New Roman" w:eastAsia="Times New Roman" w:hAnsi="Times New Roman"/>
        </w:rPr>
        <w:t xml:space="preserve"> vegetable price forecasting; procurement; Agmarknet; Koyambedu; SARIMA; XGBoost; SHAP; naive benchmark; multi-agent decision support; Tamil Nadu</w:t>
      </w:r>
    </w:p>
    <w:p>
      <w:pPr>
        <w:pStyle w:val="Heading1"/>
        <w:pageBreakBefore/>
        <w:spacing w:after="360" w:before="240"/>
        <w:jc w:val="center"/>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after="120" w:before="0" w:line="360"/>
        <w:jc w:val="center"/>
      </w:pPr>
      <w:r>
        <w:rPr>
          <w:rFonts w:ascii="Times New Roman" w:cs="Times New Roman" w:eastAsia="Times New Roman" w:hAnsi="Times New Roman"/>
          <w:i/>
          <w:iCs/>
          <w:sz w:val="18"/>
          <w:szCs w:val="18"/>
        </w:rPr>
        <w:t xml:space="preserve">Page numbers appear when fields are updated in Microsoft Word (accept the prompt on opening, or press Ctrl+A then F9).</w:t>
      </w:r>
    </w:p>
    <w:p>
      <w:pPr>
        <w:pStyle w:val="Heading1"/>
        <w:pageBreakBefore/>
        <w:spacing w:after="360" w:before="240"/>
        <w:jc w:val="center"/>
      </w:pPr>
      <w:r>
        <w:rPr>
          <w:rFonts w:ascii="Times New Roman" w:cs="Times New Roman" w:eastAsia="Times New Roman" w:hAnsi="Times New Roman"/>
          <w:b/>
          <w:bCs/>
          <w:sz w:val="28"/>
          <w:szCs w:val="28"/>
        </w:rPr>
        <w:t xml:space="preserve">LIST OF TABLES</w:t>
      </w:r>
    </w:p>
    <w:sdt>
      <w:sdtPr>
        <w:alias w:val="List of Tables"/>
      </w:sdtPr>
      <w:sdtContent>
        <w:p>
          <w:r>
            <w:fldChar w:fldCharType="begin" w:dirty="true"/>
            <w:instrText xml:space="preserve">TOC \h \t "TableCaption,1"</w:instrText>
            <w:fldChar w:fldCharType="separate"/>
          </w:r>
        </w:p>
        <w:p>
          <w:r>
            <w:fldChar w:fldCharType="end"/>
          </w:r>
        </w:p>
      </w:sdtContent>
    </w:sdt>
    <w:p>
      <w:pPr>
        <w:spacing w:after="120" w:before="0" w:line="360"/>
        <w:jc w:val="center"/>
      </w:pPr>
      <w:r>
        <w:rPr>
          <w:rFonts w:ascii="Times New Roman" w:cs="Times New Roman" w:eastAsia="Times New Roman" w:hAnsi="Times New Roman"/>
          <w:i/>
          <w:iCs/>
          <w:sz w:val="18"/>
          <w:szCs w:val="18"/>
        </w:rPr>
        <w:t xml:space="preserve">Page numbers appear when fields are updated in Microsoft Word (accept the prompt on opening, or press Ctrl+A then F9).</w:t>
      </w:r>
    </w:p>
    <w:p>
      <w:pPr>
        <w:pStyle w:val="Heading1"/>
        <w:pageBreakBefore/>
        <w:spacing w:after="360" w:before="240"/>
        <w:jc w:val="center"/>
      </w:pPr>
      <w:r>
        <w:rPr>
          <w:rFonts w:ascii="Times New Roman" w:cs="Times New Roman" w:eastAsia="Times New Roman" w:hAnsi="Times New Roman"/>
          <w:b/>
          <w:bCs/>
          <w:sz w:val="28"/>
          <w:szCs w:val="28"/>
        </w:rPr>
        <w:t xml:space="preserve">LIST OF FIGURES</w:t>
      </w:r>
    </w:p>
    <w:sdt>
      <w:sdtPr>
        <w:alias w:val="List of Figures"/>
      </w:sdtPr>
      <w:sdtContent>
        <w:p>
          <w:r>
            <w:fldChar w:fldCharType="begin" w:dirty="true"/>
            <w:instrText xml:space="preserve">TOC \h \t "FigureCaption,1"</w:instrText>
            <w:fldChar w:fldCharType="separate"/>
          </w:r>
        </w:p>
        <w:p>
          <w:r>
            <w:fldChar w:fldCharType="end"/>
          </w:r>
        </w:p>
      </w:sdtContent>
    </w:sdt>
    <w:p>
      <w:pPr>
        <w:spacing w:after="120" w:before="0" w:line="360"/>
        <w:jc w:val="center"/>
      </w:pPr>
      <w:r>
        <w:rPr>
          <w:rFonts w:ascii="Times New Roman" w:cs="Times New Roman" w:eastAsia="Times New Roman" w:hAnsi="Times New Roman"/>
          <w:i/>
          <w:iCs/>
          <w:sz w:val="18"/>
          <w:szCs w:val="18"/>
        </w:rPr>
        <w:t xml:space="preserve">Page numbers appear when fields are updated in Microsoft Word (accept the prompt on opening, or press Ctrl+A then F9).</w:t>
      </w:r>
    </w:p>
    <w:p>
      <w:pPr>
        <w:pStyle w:val="Heading1"/>
        <w:pageBreakBefore/>
        <w:spacing w:after="360" w:before="240"/>
        <w:jc w:val="center"/>
      </w:pPr>
      <w:r>
        <w:rPr>
          <w:rFonts w:ascii="Times New Roman" w:cs="Times New Roman" w:eastAsia="Times New Roman" w:hAnsi="Times New Roman"/>
          <w:b/>
          <w:bCs/>
          <w:sz w:val="28"/>
          <w:szCs w:val="28"/>
        </w:rPr>
        <w:t xml:space="preserve">LIST OF ABBREVIATIONS</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2414"/>
        <w:gridCol w:w="6034"/>
      </w:tblGrid>
      <w:tr>
        <w:trPr>
          <w:cantSplit/>
          <w:tblHeader/>
        </w:trPr>
        <w:tc>
          <w:tcPr>
            <w:tcW w:type="dxa" w:w="241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Abbreviation</w:t>
            </w:r>
          </w:p>
        </w:tc>
        <w:tc>
          <w:tcPr>
            <w:tcW w:type="dxa" w:w="603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Meaning</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ADF</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Augmented Dickey–Fuller (unit-root test)</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AIC</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Akaike Information Criterion</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API</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Application Programming Interface</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APMC</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Agricultural Produce Market Committee</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CV</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Coefficient of Variation</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DM test</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Diebold–Mariano test of equal forecast accuracy</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EDA</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Exploratory Data Analysis</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EMA</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Exponential Moving Average</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HAC</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Heteroskedasticity and Autocorrelation Consistent (standard errors)</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LLM</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Large Language Model</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MAE</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Mean Absolute Error</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MAPE</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Mean Absolute Percentage Error</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NE / SW monsoon</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Northeast / Southwest monsoon</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OLS</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Ordinary Least Squares</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PIB</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Press Information Bureau</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RF</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Random Forest</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RMSE</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Root Mean Squared Error</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SARIMA</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Seasonal Autoregressive Integrated Moving Average</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SHAP</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SHapley Additive exPlanations</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sMAPE</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Symmetric Mean Absolute Percentage Error</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TN</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Tamil Nadu</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TOP</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Tomato, Onion and Potato</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WAPE</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Weighted Absolute Percentage Error</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WF</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Walk-forward (rolling-origin) evaluation</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XGBoost</w:t>
            </w:r>
          </w:p>
        </w:tc>
        <w:tc>
          <w:tcPr>
            <w:tcW w:type="dxa" w:w="60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Extreme Gradient Boosting</w:t>
            </w:r>
          </w:p>
        </w:tc>
      </w:tr>
    </w:tbl>
    <w:p>
      <w:pPr>
        <w:spacing w:after="200" w:before="60" w:line="240"/>
      </w:pPr>
    </w:p>
    <w:p>
      <w:pPr>
        <w:sectPr>
          <w:footerReference w:type="default" r:id="rId7"/>
          <w:pgSz w:w="11906" w:h="16838" w:orient="portrait"/>
          <w:pgMar w:top="1814" w:right="1304" w:bottom="1531" w:left="2154" w:header="720" w:footer="720" w:gutter="0"/>
          <w:pgNumType w:start="1" w:fmt="lowerRoman"/>
          <w:docGrid w:linePitch="360"/>
        </w:sectPr>
      </w:pPr>
    </w:p>
    <w:p>
      <w:pPr>
        <w:pageBreakBefore/>
        <w:spacing w:after="0" w:before="240"/>
        <w:jc w:val="center"/>
      </w:pPr>
      <w:r>
        <w:rPr>
          <w:rFonts w:ascii="Times New Roman" w:cs="Times New Roman" w:eastAsia="Times New Roman" w:hAnsi="Times New Roman"/>
          <w:b/>
          <w:bCs/>
          <w:sz w:val="28"/>
          <w:szCs w:val="28"/>
        </w:rPr>
        <w:t xml:space="preserve">CHAPTER 1</w:t>
      </w:r>
    </w:p>
    <w:p>
      <w:pPr>
        <w:pStyle w:val="Heading1"/>
        <w:spacing w:after="360" w:before="120"/>
        <w:jc w:val="center"/>
      </w:pPr>
      <w:r>
        <w:rPr>
          <w:rFonts w:ascii="Times New Roman" w:cs="Times New Roman" w:eastAsia="Times New Roman" w:hAnsi="Times New Roman"/>
          <w:b/>
          <w:bCs/>
          <w:sz w:val="28"/>
          <w:szCs w:val="28"/>
        </w:rPr>
        <w:t xml:space="preserve">INTRODUCTION</w:t>
      </w:r>
    </w:p>
    <w:p>
      <w:pPr>
        <w:pStyle w:val="Heading2"/>
        <w:keepNext/>
        <w:spacing w:after="120" w:before="280"/>
      </w:pPr>
      <w:r>
        <w:rPr>
          <w:rFonts w:ascii="Times New Roman" w:cs="Times New Roman" w:eastAsia="Times New Roman" w:hAnsi="Times New Roman"/>
          <w:b/>
          <w:bCs/>
          <w:sz w:val="26"/>
          <w:szCs w:val="26"/>
        </w:rPr>
        <w:t xml:space="preserve">1.1 Background of the Study</w:t>
      </w:r>
    </w:p>
    <w:p>
      <w:pPr>
        <w:spacing w:after="120" w:before="0" w:line="360"/>
        <w:jc w:val="both"/>
      </w:pPr>
      <w:r>
        <w:rPr>
          <w:rFonts w:ascii="Times New Roman" w:cs="Times New Roman" w:eastAsia="Times New Roman" w:hAnsi="Times New Roman"/>
        </w:rPr>
        <w:t xml:space="preserve">Vegetables are a large and volatile component of household and institutional food spending in India. Tomato, onion and potato carry only a small share of the CPI basket, yet they account for an outsized part of the swings in food and overall inflation. Their crop cycles are short, they spoil quickly, their cultivation is concentrated in a few regions, and their output depends heavily on the weather (Roy et al., 2024). In July 2023, consumers across India paid on average about ₹109.5 for a kilogram of tomatoes, and the tomato component of the CPI was more than three times its level a year earlier (Roy et al., 2024). Retail prices of up to ₹200/kg were widely reported at the time. In the Koyambedu series used in this study, tomato rose from ₹13–18/kg in April–May 2023 to a peak of ₹160/kg on 1 August, roughly nine to twelve times its spring level. Episodes of this kind are not isolated: onion and potato have shown similar boom-and-bust cycles in alternate years.</w:t>
      </w:r>
    </w:p>
    <w:p>
      <w:pPr>
        <w:spacing w:after="120" w:before="0" w:line="360"/>
        <w:jc w:val="both"/>
      </w:pPr>
      <w:r>
        <w:rPr>
          <w:rFonts w:ascii="Times New Roman" w:cs="Times New Roman" w:eastAsia="Times New Roman" w:hAnsi="Times New Roman"/>
        </w:rPr>
        <w:t xml:space="preserve">For buyers who procure vegetables regularly, such as hotels, institutional kitchens, hospital and hostel caterers, food processors and retail chains, the question is practical: should a purchase be made now, deferred, or split? A modest improvement in timing, applied across a large and recurring purchase volume, could matter financially. Data-driven forecasting appears to offer that improvement, and recent advances in machine learning and AI agents have made sophisticated forecasting pipelines easy to build.</w:t>
      </w:r>
    </w:p>
    <w:p>
      <w:pPr>
        <w:spacing w:after="120" w:before="0" w:line="360"/>
        <w:jc w:val="both"/>
      </w:pPr>
      <w:r>
        <w:rPr>
          <w:rFonts w:ascii="Times New Roman" w:cs="Times New Roman" w:eastAsia="Times New Roman" w:hAnsi="Times New Roman"/>
        </w:rPr>
        <w:t xml:space="preserve">This project, named </w:t>
      </w:r>
      <w:r>
        <w:rPr>
          <w:rFonts w:ascii="Times New Roman" w:cs="Times New Roman" w:eastAsia="Times New Roman" w:hAnsi="Times New Roman"/>
          <w:b/>
          <w:bCs/>
        </w:rPr>
        <w:t xml:space="preserve">AgriSight</w:t>
      </w:r>
      <w:r>
        <w:rPr>
          <w:rFonts w:ascii="Times New Roman" w:cs="Times New Roman" w:eastAsia="Times New Roman" w:hAnsi="Times New Roman"/>
        </w:rPr>
        <w:t xml:space="preserve">, builds such a pipeline for eight vegetables traded in Tamil Nadu and evaluates it critically. The emphasis of the final study is not only on whether a model can be fitted, but on whether its forecasts beat the simplest credible alternatives and whether the resulting procurement advice would actually have helped a buyer.</w:t>
      </w:r>
    </w:p>
    <w:p>
      <w:pPr>
        <w:pStyle w:val="Heading2"/>
        <w:keepNext/>
        <w:spacing w:after="120" w:before="280"/>
      </w:pPr>
      <w:r>
        <w:rPr>
          <w:rFonts w:ascii="Times New Roman" w:cs="Times New Roman" w:eastAsia="Times New Roman" w:hAnsi="Times New Roman"/>
          <w:b/>
          <w:bCs/>
          <w:sz w:val="26"/>
          <w:szCs w:val="26"/>
        </w:rPr>
        <w:t xml:space="preserve">1.2 Industry Profile</w:t>
      </w:r>
    </w:p>
    <w:p>
      <w:pPr>
        <w:pStyle w:val="Heading3"/>
        <w:keepNext/>
        <w:spacing w:after="100" w:before="200"/>
      </w:pPr>
      <w:r>
        <w:rPr>
          <w:rFonts w:ascii="Times New Roman" w:cs="Times New Roman" w:eastAsia="Times New Roman" w:hAnsi="Times New Roman"/>
          <w:b/>
          <w:bCs/>
          <w:i/>
          <w:iCs/>
          <w:sz w:val="24"/>
          <w:szCs w:val="24"/>
        </w:rPr>
        <w:t xml:space="preserve">1.2.1 Vegetable marketing in India</w:t>
      </w:r>
    </w:p>
    <w:p>
      <w:pPr>
        <w:spacing w:after="120" w:before="0" w:line="360"/>
        <w:jc w:val="both"/>
      </w:pPr>
      <w:r>
        <w:rPr>
          <w:rFonts w:ascii="Times New Roman" w:cs="Times New Roman" w:eastAsia="Times New Roman" w:hAnsi="Times New Roman"/>
        </w:rPr>
        <w:t xml:space="preserve">Most vegetables in India move from farmers to consumers through regulated wholesale markets administered by state Agricultural Produce Market Committees (APMCs), with traders, commission agents, wholesalers and retailers in between. Value-chain studies estimate that farmers receive only about one-third of the consumer rupee for tomato, onion and potato, with the remainder apportioned along the chain (Roy et al., 2024). Prices are discovered daily through auctions and negotiation, and the Directorate of Marketing and Inspection publishes reported market prices through the Agricultural Marketing Information Network (Agmarknet).</w:t>
      </w:r>
    </w:p>
    <w:p>
      <w:pPr>
        <w:pStyle w:val="Heading3"/>
        <w:keepNext/>
        <w:spacing w:after="100" w:before="200"/>
      </w:pPr>
      <w:r>
        <w:rPr>
          <w:rFonts w:ascii="Times New Roman" w:cs="Times New Roman" w:eastAsia="Times New Roman" w:hAnsi="Times New Roman"/>
          <w:b/>
          <w:bCs/>
          <w:i/>
          <w:iCs/>
          <w:sz w:val="24"/>
          <w:szCs w:val="24"/>
        </w:rPr>
        <w:t xml:space="preserve">1.2.2 Tamil Nadu markets and the Koyambedu complex</w:t>
      </w:r>
    </w:p>
    <w:p>
      <w:pPr>
        <w:spacing w:after="120" w:before="0" w:line="360"/>
        <w:jc w:val="both"/>
      </w:pPr>
      <w:r>
        <w:rPr>
          <w:rFonts w:ascii="Times New Roman" w:cs="Times New Roman" w:eastAsia="Times New Roman" w:hAnsi="Times New Roman"/>
        </w:rPr>
        <w:t xml:space="preserve">Tamil Nadu has two distinct channels that appear in the data used here. The first is the network of regulated markets and Uzhavar Sandhai (farmers’ markets), the latter established by the Government of Tamil Nadu so that farmers can sell directly to consumers. In the statewide extract used in this study, Uzhavar Sandhai account for 90.7 per cent of all records, which is important for interpretation because their prices are closer to retail than to bulk wholesale. The second is the Koyambedu Wholesale Market Complex in Chennai, one of the largest wholesale markets for perishables in South India and the reference market for buyers in the Chennai region. Its daily prices are published by the Koyambedu Vegetable Merchants’ Council and redistributed by public websites.</w:t>
      </w:r>
    </w:p>
    <w:p>
      <w:pPr>
        <w:pStyle w:val="Heading3"/>
        <w:keepNext/>
        <w:spacing w:after="100" w:before="200"/>
      </w:pPr>
      <w:r>
        <w:rPr>
          <w:rFonts w:ascii="Times New Roman" w:cs="Times New Roman" w:eastAsia="Times New Roman" w:hAnsi="Times New Roman"/>
          <w:b/>
          <w:bCs/>
          <w:i/>
          <w:iCs/>
          <w:sz w:val="24"/>
          <w:szCs w:val="24"/>
        </w:rPr>
        <w:t xml:space="preserve">1.2.3 Who uses short-term price forecasts</w:t>
      </w:r>
    </w:p>
    <w:p>
      <w:pPr>
        <w:spacing w:after="120" w:before="0" w:line="360"/>
        <w:jc w:val="both"/>
      </w:pPr>
      <w:r>
        <w:rPr>
          <w:rFonts w:ascii="Times New Roman" w:cs="Times New Roman" w:eastAsia="Times New Roman" w:hAnsi="Times New Roman"/>
        </w:rPr>
        <w:t xml:space="preserve">The intended users of this study are procurement managers who buy in recurring cycles and can shift purchases by days or weeks: institutional caterers, hotel and restaurant groups, food processors, retail chains and aggregators. Their decision variables are timing, quantity and supplier; their constraints are shelf life, storage, cash flow and service level. A forecast is useful to them only if it improves on what they already know, which at minimum is today’s price.</w:t>
      </w:r>
    </w:p>
    <w:p>
      <w:pPr>
        <w:pStyle w:val="Heading2"/>
        <w:keepNext/>
        <w:spacing w:after="120" w:before="280"/>
      </w:pPr>
      <w:r>
        <w:rPr>
          <w:rFonts w:ascii="Times New Roman" w:cs="Times New Roman" w:eastAsia="Times New Roman" w:hAnsi="Times New Roman"/>
          <w:b/>
          <w:bCs/>
          <w:sz w:val="26"/>
          <w:szCs w:val="26"/>
        </w:rPr>
        <w:t xml:space="preserve">1.3 Statement of the Problem</w:t>
      </w:r>
    </w:p>
    <w:p>
      <w:pPr>
        <w:spacing w:after="120" w:before="0" w:line="360"/>
        <w:jc w:val="both"/>
      </w:pPr>
      <w:r>
        <w:rPr>
          <w:rFonts w:ascii="Times New Roman" w:cs="Times New Roman" w:eastAsia="Times New Roman" w:hAnsi="Times New Roman"/>
        </w:rPr>
        <w:t xml:space="preserve">Buyers have to decide when to purchase without knowing which way prices will move over the coming days and weeks. Machine-learning forecasts and AI-agent pipelines promise better information, but agricultural price series are short, noisy and subject to sudden supply shocks, and published forecast accuracy figures are often not compared with naive benchmarks or are computed in ways that leak future information. The problem addressed is therefore twofold: (a) to determine whether statistical and machine-learning models forecast Tamil Nadu vegetable prices better than naive benchmarks at procurement-relevant horizons; and (b) to determine whether a transparent rule-based decision layer built on those forecasts would have improved purchase outcomes.</w:t>
      </w:r>
    </w:p>
    <w:p>
      <w:pPr>
        <w:pStyle w:val="Heading2"/>
        <w:keepNext/>
        <w:spacing w:after="120" w:before="280"/>
      </w:pPr>
      <w:r>
        <w:rPr>
          <w:rFonts w:ascii="Times New Roman" w:cs="Times New Roman" w:eastAsia="Times New Roman" w:hAnsi="Times New Roman"/>
          <w:b/>
          <w:bCs/>
          <w:sz w:val="26"/>
          <w:szCs w:val="26"/>
        </w:rPr>
        <w:t xml:space="preserve">1.4 Objectives of the Study</w:t>
      </w:r>
    </w:p>
    <w:p>
      <w:pPr>
        <w:spacing w:after="120" w:before="0" w:line="360"/>
        <w:jc w:val="both"/>
      </w:pPr>
      <w:r>
        <w:rPr>
          <w:rFonts w:ascii="Times New Roman" w:cs="Times New Roman" w:eastAsia="Times New Roman" w:hAnsi="Times New Roman"/>
          <w:b/>
          <w:bCs/>
        </w:rPr>
        <w:t xml:space="preserve">Primary objective.</w:t>
      </w:r>
      <w:r>
        <w:rPr>
          <w:rFonts w:ascii="Times New Roman" w:cs="Times New Roman" w:eastAsia="Times New Roman" w:hAnsi="Times New Roman"/>
        </w:rPr>
        <w:t xml:space="preserve"> To predict near-term vegetable prices at Koyambedu Wholesale Market, with a statewide Tamil Nadu comparison, using four model families (SARIMA, Prophet, Random Forest and XGBoost) and to assess whether AgriSight, a four-agent pipeline that turns these forecasts into advice, gives procurement buyers useful decision support.</w:t>
      </w:r>
    </w:p>
    <w:p>
      <w:pPr>
        <w:spacing w:after="120" w:before="0" w:line="360"/>
        <w:jc w:val="both"/>
      </w:pPr>
      <w:r>
        <w:rPr>
          <w:rFonts w:ascii="Times New Roman" w:cs="Times New Roman" w:eastAsia="Times New Roman" w:hAnsi="Times New Roman"/>
          <w:b/>
          <w:bCs/>
        </w:rPr>
        <w:t xml:space="preserve">Secondary objectives.</w:t>
      </w:r>
      <w:r>
        <w:rPr>
          <w:rFonts w:ascii="Times New Roman" w:cs="Times New Roman" w:eastAsia="Times New Roman" w:hAnsi="Times New Roman"/>
        </w:rPr>
        <w:t xml:space="preserve"> The four secondary objectives of the approved proposal are retained; differences in data and method from the proposal, and their reasons, are set out in Section 3.12:</w:t>
      </w:r>
    </w:p>
    <w:p>
      <w:pPr>
        <w:pStyle w:val="ListParagraph"/>
        <w:numPr>
          <w:ilvl w:val="0"/>
          <w:numId w:val="2"/>
        </w:numPr>
        <w:spacing w:after="60" w:line="360"/>
        <w:jc w:val="both"/>
      </w:pPr>
      <w:r>
        <w:rPr>
          <w:rFonts w:ascii="Times New Roman" w:cs="Times New Roman" w:eastAsia="Times New Roman" w:hAnsi="Times New Roman"/>
          <w:b/>
          <w:bCs/>
        </w:rPr>
        <w:t xml:space="preserve">S01 – Model comparison.</w:t>
      </w:r>
      <w:r>
        <w:rPr>
          <w:rFonts w:ascii="Times New Roman" w:cs="Times New Roman" w:eastAsia="Times New Roman" w:hAnsi="Times New Roman"/>
        </w:rPr>
        <w:t xml:space="preserve"> Measure how accurately SARIMA, Prophet, Random Forest and XGBoost forecast prices 7, 14 and 30 days ahead, judged mainly by RMSE and secondarily by MAPE, and set these results against naive benchmarks.</w:t>
      </w:r>
    </w:p>
    <w:p>
      <w:pPr>
        <w:pStyle w:val="ListParagraph"/>
        <w:numPr>
          <w:ilvl w:val="0"/>
          <w:numId w:val="2"/>
        </w:numPr>
        <w:spacing w:after="60" w:line="360"/>
        <w:jc w:val="both"/>
      </w:pPr>
      <w:r>
        <w:rPr>
          <w:rFonts w:ascii="Times New Roman" w:cs="Times New Roman" w:eastAsia="Times New Roman" w:hAnsi="Times New Roman"/>
          <w:b/>
          <w:bCs/>
        </w:rPr>
        <w:t xml:space="preserve">S02 – Monsoon effect.</w:t>
      </w:r>
      <w:r>
        <w:rPr>
          <w:rFonts w:ascii="Times New Roman" w:cs="Times New Roman" w:eastAsia="Times New Roman" w:hAnsi="Times New Roman"/>
        </w:rPr>
        <w:t xml:space="preserve"> Determine whether departures of Northeast Monsoon rainfall from normal help to explain short-term vegetable price changes at a statistically significant level, and rank this effect against price-lag features using SHAP.</w:t>
      </w:r>
    </w:p>
    <w:p>
      <w:pPr>
        <w:pStyle w:val="ListParagraph"/>
        <w:numPr>
          <w:ilvl w:val="0"/>
          <w:numId w:val="2"/>
        </w:numPr>
        <w:spacing w:after="60" w:line="360"/>
        <w:jc w:val="both"/>
      </w:pPr>
      <w:r>
        <w:rPr>
          <w:rFonts w:ascii="Times New Roman" w:cs="Times New Roman" w:eastAsia="Times New Roman" w:hAnsi="Times New Roman"/>
          <w:b/>
          <w:bCs/>
        </w:rPr>
        <w:t xml:space="preserve">S03 – AgriSight pipeline.</w:t>
      </w:r>
      <w:r>
        <w:rPr>
          <w:rFonts w:ascii="Times New Roman" w:cs="Times New Roman" w:eastAsia="Times New Roman" w:hAnsi="Times New Roman"/>
        </w:rPr>
        <w:t xml:space="preserve"> Build a four-agent pipeline that integrates data collection, price forecasting, market intelligence and procurement advice into a buyer-facing brief and dashboard.</w:t>
      </w:r>
    </w:p>
    <w:p>
      <w:pPr>
        <w:pStyle w:val="ListParagraph"/>
        <w:numPr>
          <w:ilvl w:val="0"/>
          <w:numId w:val="2"/>
        </w:numPr>
        <w:spacing w:after="60" w:line="360"/>
        <w:jc w:val="both"/>
      </w:pPr>
      <w:r>
        <w:rPr>
          <w:rFonts w:ascii="Times New Roman" w:cs="Times New Roman" w:eastAsia="Times New Roman" w:hAnsi="Times New Roman"/>
          <w:b/>
          <w:bCs/>
        </w:rPr>
        <w:t xml:space="preserve">S04 – Procurement case study.</w:t>
      </w:r>
      <w:r>
        <w:rPr>
          <w:rFonts w:ascii="Times New Roman" w:cs="Times New Roman" w:eastAsia="Times New Roman" w:hAnsi="Times New Roman"/>
        </w:rPr>
        <w:t xml:space="preserve"> Assess what the 30-day price forecast would have been worth to a buyer as a procurement signal during the three months leading up to the July–August 2023 tomato price episode at Koyambedu.</w:t>
      </w:r>
    </w:p>
    <w:p>
      <w:pPr>
        <w:pStyle w:val="Heading2"/>
        <w:keepNext/>
        <w:spacing w:after="120" w:before="280"/>
      </w:pPr>
      <w:r>
        <w:rPr>
          <w:rFonts w:ascii="Times New Roman" w:cs="Times New Roman" w:eastAsia="Times New Roman" w:hAnsi="Times New Roman"/>
          <w:b/>
          <w:bCs/>
          <w:sz w:val="26"/>
          <w:szCs w:val="26"/>
        </w:rPr>
        <w:t xml:space="preserve">1.5 Research Questions and Hypotheses</w:t>
      </w:r>
    </w:p>
    <w:p>
      <w:pPr>
        <w:pStyle w:val="ListParagraph"/>
        <w:numPr>
          <w:ilvl w:val="0"/>
          <w:numId w:val="3"/>
        </w:numPr>
        <w:spacing w:after="60" w:line="360"/>
        <w:jc w:val="both"/>
      </w:pPr>
      <w:r>
        <w:rPr>
          <w:rFonts w:ascii="Times New Roman" w:cs="Times New Roman" w:eastAsia="Times New Roman" w:hAnsi="Times New Roman"/>
        </w:rPr>
        <w:t xml:space="preserve">What coverage, quality and price behaviour do the statewide and Koyambedu data show for the eight vegetables?</w:t>
      </w:r>
    </w:p>
    <w:p>
      <w:pPr>
        <w:pStyle w:val="ListParagraph"/>
        <w:numPr>
          <w:ilvl w:val="0"/>
          <w:numId w:val="3"/>
        </w:numPr>
        <w:spacing w:after="60" w:line="360"/>
        <w:jc w:val="both"/>
      </w:pPr>
      <w:r>
        <w:rPr>
          <w:rFonts w:ascii="Times New Roman" w:cs="Times New Roman" w:eastAsia="Times New Roman" w:hAnsi="Times New Roman"/>
        </w:rPr>
        <w:t xml:space="preserve">Do SARIMA, Prophet, Random Forest and XGBoost forecast more accurately than naive benchmarks at 7-, 14- and 30-day horizons?</w:t>
      </w:r>
    </w:p>
    <w:p>
      <w:pPr>
        <w:pStyle w:val="ListParagraph"/>
        <w:numPr>
          <w:ilvl w:val="0"/>
          <w:numId w:val="3"/>
        </w:numPr>
        <w:spacing w:after="60" w:line="360"/>
        <w:jc w:val="both"/>
      </w:pPr>
      <w:r>
        <w:rPr>
          <w:rFonts w:ascii="Times New Roman" w:cs="Times New Roman" w:eastAsia="Times New Roman" w:hAnsi="Times New Roman"/>
        </w:rPr>
        <w:t xml:space="preserve">Which inputs contribute most to fitted machine-learning predictions, and what do those contributions imply about forecast skill?</w:t>
      </w:r>
    </w:p>
    <w:p>
      <w:pPr>
        <w:pStyle w:val="ListParagraph"/>
        <w:numPr>
          <w:ilvl w:val="0"/>
          <w:numId w:val="3"/>
        </w:numPr>
        <w:spacing w:after="60" w:line="360"/>
        <w:jc w:val="both"/>
      </w:pPr>
      <w:r>
        <w:rPr>
          <w:rFonts w:ascii="Times New Roman" w:cs="Times New Roman" w:eastAsia="Times New Roman" w:hAnsi="Times New Roman"/>
        </w:rPr>
        <w:t xml:space="preserve">Is Northeast Monsoon rainfall anomaly associated with subsequent seven-day price returns after controlling for recent price momentum?</w:t>
      </w:r>
    </w:p>
    <w:p>
      <w:pPr>
        <w:pStyle w:val="ListParagraph"/>
        <w:numPr>
          <w:ilvl w:val="0"/>
          <w:numId w:val="3"/>
        </w:numPr>
        <w:spacing w:after="60" w:line="360"/>
        <w:jc w:val="both"/>
      </w:pPr>
      <w:r>
        <w:rPr>
          <w:rFonts w:ascii="Times New Roman" w:cs="Times New Roman" w:eastAsia="Times New Roman" w:hAnsi="Times New Roman"/>
        </w:rPr>
        <w:t xml:space="preserve">Would the rule-based procurement advice have reduced purchase cost relative to buying immediately, in routine periods and during the 2023 tomato episode?</w:t>
      </w:r>
    </w:p>
    <w:p>
      <w:pPr>
        <w:spacing w:after="120" w:before="0" w:line="360"/>
        <w:jc w:val="both"/>
      </w:pPr>
      <w:r>
        <w:rPr>
          <w:rFonts w:ascii="Times New Roman" w:cs="Times New Roman" w:eastAsia="Times New Roman" w:hAnsi="Times New Roman"/>
        </w:rPr>
        <w:t xml:space="preserve">Two hypotheses were stated in the second review:</w:t>
      </w:r>
    </w:p>
    <w:p>
      <w:pPr>
        <w:pStyle w:val="ListParagraph"/>
        <w:numPr>
          <w:ilvl w:val="0"/>
          <w:numId w:val="4"/>
        </w:numPr>
        <w:spacing w:after="60" w:line="360"/>
        <w:jc w:val="both"/>
      </w:pPr>
      <w:r>
        <w:rPr>
          <w:rFonts w:ascii="Times New Roman" w:cs="Times New Roman" w:eastAsia="Times New Roman" w:hAnsi="Times New Roman"/>
          <w:b/>
          <w:bCs/>
        </w:rPr>
        <w:t xml:space="preserve">H1:</w:t>
      </w:r>
      <w:r>
        <w:rPr>
          <w:rFonts w:ascii="Times New Roman" w:cs="Times New Roman" w:eastAsia="Times New Roman" w:hAnsi="Times New Roman"/>
        </w:rPr>
        <w:t xml:space="preserve"> Random Forest or XGBoost achieves lower walk-forward forecast error than SARIMA.</w:t>
      </w:r>
    </w:p>
    <w:p>
      <w:pPr>
        <w:pStyle w:val="ListParagraph"/>
        <w:numPr>
          <w:ilvl w:val="0"/>
          <w:numId w:val="4"/>
        </w:numPr>
        <w:spacing w:after="60" w:line="360"/>
        <w:jc w:val="both"/>
      </w:pPr>
      <w:r>
        <w:rPr>
          <w:rFonts w:ascii="Times New Roman" w:cs="Times New Roman" w:eastAsia="Times New Roman" w:hAnsi="Times New Roman"/>
          <w:b/>
          <w:bCs/>
        </w:rPr>
        <w:t xml:space="preserve">H2:</w:t>
      </w:r>
      <w:r>
        <w:rPr>
          <w:rFonts w:ascii="Times New Roman" w:cs="Times New Roman" w:eastAsia="Times New Roman" w:hAnsi="Times New Roman"/>
        </w:rPr>
        <w:t xml:space="preserve"> Abnormal Northeast Monsoon rainfall has a statistically significant effect on subsequent vegetable price changes.</w:t>
      </w:r>
    </w:p>
    <w:p>
      <w:pPr>
        <w:spacing w:after="120" w:before="0" w:line="360"/>
        <w:jc w:val="both"/>
      </w:pPr>
      <w:r>
        <w:rPr>
          <w:rFonts w:ascii="Times New Roman" w:cs="Times New Roman" w:eastAsia="Times New Roman" w:hAnsi="Times New Roman"/>
        </w:rPr>
        <w:t xml:space="preserve">In the course of the study a third, implicit hypothesis became central and is tested explicitly: </w:t>
      </w:r>
      <w:r>
        <w:rPr>
          <w:rFonts w:ascii="Times New Roman" w:cs="Times New Roman" w:eastAsia="Times New Roman" w:hAnsi="Times New Roman"/>
          <w:b/>
          <w:bCs/>
        </w:rPr>
        <w:t xml:space="preserve">H0 (benchmark):</w:t>
      </w:r>
      <w:r>
        <w:rPr>
          <w:rFonts w:ascii="Times New Roman" w:cs="Times New Roman" w:eastAsia="Times New Roman" w:hAnsi="Times New Roman"/>
        </w:rPr>
        <w:t xml:space="preserve"> none of the fitted models outperforms the last observed price at the evaluated horizons.</w:t>
      </w:r>
    </w:p>
    <w:p>
      <w:pPr>
        <w:pStyle w:val="Heading2"/>
        <w:keepNext/>
        <w:spacing w:after="120" w:before="280"/>
      </w:pPr>
      <w:r>
        <w:rPr>
          <w:rFonts w:ascii="Times New Roman" w:cs="Times New Roman" w:eastAsia="Times New Roman" w:hAnsi="Times New Roman"/>
          <w:b/>
          <w:bCs/>
          <w:sz w:val="26"/>
          <w:szCs w:val="26"/>
        </w:rPr>
        <w:t xml:space="preserve">1.6 Scope of the Study</w:t>
      </w:r>
    </w:p>
    <w:p>
      <w:pPr>
        <w:pStyle w:val="ListParagraph"/>
        <w:numPr>
          <w:ilvl w:val="0"/>
          <w:numId w:val="4"/>
        </w:numPr>
        <w:spacing w:after="60" w:line="360"/>
        <w:jc w:val="both"/>
      </w:pPr>
      <w:r>
        <w:rPr>
          <w:rFonts w:ascii="Times New Roman" w:cs="Times New Roman" w:eastAsia="Times New Roman" w:hAnsi="Times New Roman"/>
          <w:b/>
          <w:bCs/>
        </w:rPr>
        <w:t xml:space="preserve">Commodities:</w:t>
      </w:r>
      <w:r>
        <w:rPr>
          <w:rFonts w:ascii="Times New Roman" w:cs="Times New Roman" w:eastAsia="Times New Roman" w:hAnsi="Times New Roman"/>
        </w:rPr>
        <w:t xml:space="preserve"> Tomato, Onion, Potato, Cabbage, Carrot, Beans, Brinjal and Drumstick.</w:t>
      </w:r>
    </w:p>
    <w:p>
      <w:pPr>
        <w:pStyle w:val="ListParagraph"/>
        <w:numPr>
          <w:ilvl w:val="0"/>
          <w:numId w:val="4"/>
        </w:numPr>
        <w:spacing w:after="60" w:line="360"/>
        <w:jc w:val="both"/>
      </w:pPr>
      <w:r>
        <w:rPr>
          <w:rFonts w:ascii="Times New Roman" w:cs="Times New Roman" w:eastAsia="Times New Roman" w:hAnsi="Times New Roman"/>
          <w:b/>
          <w:bCs/>
        </w:rPr>
        <w:t xml:space="preserve">Geography:</w:t>
      </w:r>
      <w:r>
        <w:rPr>
          <w:rFonts w:ascii="Times New Roman" w:cs="Times New Roman" w:eastAsia="Times New Roman" w:hAnsi="Times New Roman"/>
        </w:rPr>
        <w:t xml:space="preserve"> Tamil Nadu statewide (451 markets, 36 districts) and, separately, the Koyambedu market in Chennai.</w:t>
      </w:r>
    </w:p>
    <w:p>
      <w:pPr>
        <w:pStyle w:val="ListParagraph"/>
        <w:numPr>
          <w:ilvl w:val="0"/>
          <w:numId w:val="4"/>
        </w:numPr>
        <w:spacing w:after="60" w:line="360"/>
        <w:jc w:val="both"/>
      </w:pPr>
      <w:r>
        <w:rPr>
          <w:rFonts w:ascii="Times New Roman" w:cs="Times New Roman" w:eastAsia="Times New Roman" w:hAnsi="Times New Roman"/>
          <w:b/>
          <w:bCs/>
        </w:rPr>
        <w:t xml:space="preserve">Period:</w:t>
      </w:r>
      <w:r>
        <w:rPr>
          <w:rFonts w:ascii="Times New Roman" w:cs="Times New Roman" w:eastAsia="Times New Roman" w:hAnsi="Times New Roman"/>
        </w:rPr>
        <w:t xml:space="preserve"> statewide prices from 24 January 2024 to 20 April 2026; Koyambedu prices from 4 November 2021 to 17 October 2026; Chennai weather from 1 January 2024 to 30 September 2026.</w:t>
      </w:r>
    </w:p>
    <w:p>
      <w:pPr>
        <w:pStyle w:val="ListParagraph"/>
        <w:numPr>
          <w:ilvl w:val="0"/>
          <w:numId w:val="4"/>
        </w:numPr>
        <w:spacing w:after="60" w:line="360"/>
        <w:jc w:val="both"/>
      </w:pPr>
      <w:r>
        <w:rPr>
          <w:rFonts w:ascii="Times New Roman" w:cs="Times New Roman" w:eastAsia="Times New Roman" w:hAnsi="Times New Roman"/>
          <w:b/>
          <w:bCs/>
        </w:rPr>
        <w:t xml:space="preserve">Horizons:</w:t>
      </w:r>
      <w:r>
        <w:rPr>
          <w:rFonts w:ascii="Times New Roman" w:cs="Times New Roman" w:eastAsia="Times New Roman" w:hAnsi="Times New Roman"/>
        </w:rPr>
        <w:t xml:space="preserve"> next-day (statewide holdout), and 7, 14 and 30 days (Koyambedu common-origin evaluation).</w:t>
      </w:r>
    </w:p>
    <w:p>
      <w:pPr>
        <w:pStyle w:val="ListParagraph"/>
        <w:numPr>
          <w:ilvl w:val="0"/>
          <w:numId w:val="4"/>
        </w:numPr>
        <w:spacing w:after="60" w:line="360"/>
        <w:jc w:val="both"/>
      </w:pPr>
      <w:r>
        <w:rPr>
          <w:rFonts w:ascii="Times New Roman" w:cs="Times New Roman" w:eastAsia="Times New Roman" w:hAnsi="Times New Roman"/>
          <w:b/>
          <w:bCs/>
        </w:rPr>
        <w:t xml:space="preserve">Decision layer:</w:t>
      </w:r>
      <w:r>
        <w:rPr>
          <w:rFonts w:ascii="Times New Roman" w:cs="Times New Roman" w:eastAsia="Times New Roman" w:hAnsi="Times New Roman"/>
        </w:rPr>
        <w:t xml:space="preserve"> deterministic, rule-based agents; an optional local language model and live news feed were implemented but not exercised in the reported runs.</w:t>
      </w:r>
    </w:p>
    <w:p>
      <w:pPr>
        <w:pStyle w:val="Heading2"/>
        <w:keepNext/>
        <w:spacing w:after="120" w:before="280"/>
      </w:pPr>
      <w:r>
        <w:rPr>
          <w:rFonts w:ascii="Times New Roman" w:cs="Times New Roman" w:eastAsia="Times New Roman" w:hAnsi="Times New Roman"/>
          <w:b/>
          <w:bCs/>
          <w:sz w:val="26"/>
          <w:szCs w:val="26"/>
        </w:rPr>
        <w:t xml:space="preserve">1.7 Significance of the Study</w:t>
      </w:r>
    </w:p>
    <w:p>
      <w:pPr>
        <w:spacing w:after="120" w:before="0" w:line="360"/>
        <w:jc w:val="both"/>
      </w:pPr>
      <w:r>
        <w:rPr>
          <w:rFonts w:ascii="Times New Roman" w:cs="Times New Roman" w:eastAsia="Times New Roman" w:hAnsi="Times New Roman"/>
        </w:rPr>
        <w:t xml:space="preserve">For practitioners, the study shows how to test a forecasting tool before trusting it, and identifies the benchmark a vendor or in-house model must beat. For the academic programme, it demonstrates a full analytics life cycle on real data: acquisition, cleaning, feature engineering, modelling, explanation, decision rules, backtesting and a deployable dashboard. Its methodological contribution is a horizon-sensitivity check that exposes how next-day information can make a model look far more accurate than it is at the horizon a buyer needs. Because the study reports results whether or not they support the original hypotheses, its negative findings are as informative as its positive ones: they tell buyers which tools not to rely on and which information to acquire instead.</w:t>
      </w:r>
    </w:p>
    <w:p>
      <w:pPr>
        <w:pStyle w:val="Heading2"/>
        <w:keepNext/>
        <w:spacing w:after="120" w:before="280"/>
      </w:pPr>
      <w:r>
        <w:rPr>
          <w:rFonts w:ascii="Times New Roman" w:cs="Times New Roman" w:eastAsia="Times New Roman" w:hAnsi="Times New Roman"/>
          <w:b/>
          <w:bCs/>
          <w:sz w:val="26"/>
          <w:szCs w:val="26"/>
        </w:rPr>
        <w:t xml:space="preserve">1.8 Limitations of the Study (Summary)</w:t>
      </w:r>
    </w:p>
    <w:p>
      <w:pPr>
        <w:spacing w:after="120" w:before="0" w:line="360"/>
        <w:jc w:val="both"/>
      </w:pPr>
      <w:r>
        <w:rPr>
          <w:rFonts w:ascii="Times New Roman" w:cs="Times New Roman" w:eastAsia="Times New Roman" w:hAnsi="Times New Roman"/>
        </w:rPr>
        <w:t xml:space="preserve">The data are secondary and their upstream collection was not audited. The statewide series mixes farmers’ markets and wholesale markets and contains a small number of apparent unit errors. The Koyambedu series does not state whether quotes are wholesale or retail. The weather record spans just two full monsoon seasons, and market-arrival volumes could not be obtained. Procurement results are counterfactual, not realized savings. These limitations are discussed in full in Section 5.5.</w:t>
      </w:r>
    </w:p>
    <w:p>
      <w:pPr>
        <w:pStyle w:val="Heading2"/>
        <w:keepNext/>
        <w:spacing w:after="120" w:before="280"/>
      </w:pPr>
      <w:r>
        <w:rPr>
          <w:rFonts w:ascii="Times New Roman" w:cs="Times New Roman" w:eastAsia="Times New Roman" w:hAnsi="Times New Roman"/>
          <w:b/>
          <w:bCs/>
          <w:sz w:val="26"/>
          <w:szCs w:val="26"/>
        </w:rPr>
        <w:t xml:space="preserve">1.9 Chapter Scheme</w:t>
      </w:r>
    </w:p>
    <w:p>
      <w:pPr>
        <w:spacing w:after="120" w:before="0" w:line="360"/>
        <w:jc w:val="both"/>
      </w:pPr>
      <w:r>
        <w:rPr>
          <w:rFonts w:ascii="Times New Roman" w:cs="Times New Roman" w:eastAsia="Times New Roman" w:hAnsi="Times New Roman"/>
          <w:b/>
          <w:bCs/>
        </w:rPr>
        <w:t xml:space="preserve">Chapter 1</w:t>
      </w:r>
      <w:r>
        <w:rPr>
          <w:rFonts w:ascii="Times New Roman" w:cs="Times New Roman" w:eastAsia="Times New Roman" w:hAnsi="Times New Roman"/>
        </w:rPr>
        <w:t xml:space="preserve"> introduces the problem, industry context, objectives and scope. </w:t>
      </w:r>
      <w:r>
        <w:rPr>
          <w:rFonts w:ascii="Times New Roman" w:cs="Times New Roman" w:eastAsia="Times New Roman" w:hAnsi="Times New Roman"/>
          <w:b/>
          <w:bCs/>
        </w:rPr>
        <w:t xml:space="preserve">Chapter 2</w:t>
      </w:r>
      <w:r>
        <w:rPr>
          <w:rFonts w:ascii="Times New Roman" w:cs="Times New Roman" w:eastAsia="Times New Roman" w:hAnsi="Times New Roman"/>
        </w:rPr>
        <w:t xml:space="preserve"> reviews the literature on vegetable price volatility, forecasting methods, forecast evaluation, explainability, AI agents and procurement decisions, and identifies the research gap. </w:t>
      </w:r>
      <w:r>
        <w:rPr>
          <w:rFonts w:ascii="Times New Roman" w:cs="Times New Roman" w:eastAsia="Times New Roman" w:hAnsi="Times New Roman"/>
          <w:b/>
          <w:bCs/>
        </w:rPr>
        <w:t xml:space="preserve">Chapter 3</w:t>
      </w:r>
      <w:r>
        <w:rPr>
          <w:rFonts w:ascii="Times New Roman" w:cs="Times New Roman" w:eastAsia="Times New Roman" w:hAnsi="Times New Roman"/>
        </w:rPr>
        <w:t xml:space="preserve"> describes the research design, data, variables, models, evaluation protocols, statistical tools and decision rules. </w:t>
      </w:r>
      <w:r>
        <w:rPr>
          <w:rFonts w:ascii="Times New Roman" w:cs="Times New Roman" w:eastAsia="Times New Roman" w:hAnsi="Times New Roman"/>
          <w:b/>
          <w:bCs/>
        </w:rPr>
        <w:t xml:space="preserve">Chapter 4</w:t>
      </w:r>
      <w:r>
        <w:rPr>
          <w:rFonts w:ascii="Times New Roman" w:cs="Times New Roman" w:eastAsia="Times New Roman" w:hAnsi="Times New Roman"/>
        </w:rPr>
        <w:t xml:space="preserve"> presents the analysis and interpretation. </w:t>
      </w:r>
      <w:r>
        <w:rPr>
          <w:rFonts w:ascii="Times New Roman" w:cs="Times New Roman" w:eastAsia="Times New Roman" w:hAnsi="Times New Roman"/>
          <w:b/>
          <w:bCs/>
        </w:rPr>
        <w:t xml:space="preserve">Chapter 5</w:t>
      </w:r>
      <w:r>
        <w:rPr>
          <w:rFonts w:ascii="Times New Roman" w:cs="Times New Roman" w:eastAsia="Times New Roman" w:hAnsi="Times New Roman"/>
        </w:rPr>
        <w:t xml:space="preserve"> summarises findings, offers suggestions, discusses limitations and concludes. Appendices document the data dictionary, model settings, reproducibility record, code corrections and the dashboard.</w:t>
      </w:r>
    </w:p>
    <w:p>
      <w:pPr>
        <w:pageBreakBefore/>
        <w:spacing w:after="0" w:before="240"/>
        <w:jc w:val="center"/>
      </w:pPr>
      <w:r>
        <w:rPr>
          <w:rFonts w:ascii="Times New Roman" w:cs="Times New Roman" w:eastAsia="Times New Roman" w:hAnsi="Times New Roman"/>
          <w:b/>
          <w:bCs/>
          <w:sz w:val="28"/>
          <w:szCs w:val="28"/>
        </w:rPr>
        <w:t xml:space="preserve">CHAPTER 2</w:t>
      </w:r>
    </w:p>
    <w:p>
      <w:pPr>
        <w:pStyle w:val="Heading1"/>
        <w:spacing w:after="360" w:before="120"/>
        <w:jc w:val="center"/>
      </w:pPr>
      <w:r>
        <w:rPr>
          <w:rFonts w:ascii="Times New Roman" w:cs="Times New Roman" w:eastAsia="Times New Roman" w:hAnsi="Times New Roman"/>
          <w:b/>
          <w:bCs/>
          <w:sz w:val="28"/>
          <w:szCs w:val="28"/>
        </w:rPr>
        <w:t xml:space="preserve">REVIEW OF LITERATURE</w:t>
      </w:r>
    </w:p>
    <w:p>
      <w:pPr>
        <w:spacing w:after="120" w:before="0" w:line="360"/>
        <w:jc w:val="both"/>
      </w:pPr>
      <w:r>
        <w:rPr>
          <w:rFonts w:ascii="Times New Roman" w:cs="Times New Roman" w:eastAsia="Times New Roman" w:hAnsi="Times New Roman"/>
        </w:rPr>
        <w:t xml:space="preserve">This chapter reviews five bodies of work relevant to the study: the economics of vegetable price volatility in India; statistical and machine-learning forecasting methods; principles of forecast evaluation; model explanation and AI agents; and procurement decision-making under price uncertainty. It closes by identifying the research gap.</w:t>
      </w:r>
    </w:p>
    <w:p>
      <w:pPr>
        <w:pStyle w:val="Heading2"/>
        <w:keepNext/>
        <w:spacing w:after="120" w:before="280"/>
      </w:pPr>
      <w:r>
        <w:rPr>
          <w:rFonts w:ascii="Times New Roman" w:cs="Times New Roman" w:eastAsia="Times New Roman" w:hAnsi="Times New Roman"/>
          <w:b/>
          <w:bCs/>
          <w:sz w:val="26"/>
          <w:szCs w:val="26"/>
        </w:rPr>
        <w:t xml:space="preserve">2.1 Vegetable Price Volatility in India</w:t>
      </w:r>
    </w:p>
    <w:p>
      <w:pPr>
        <w:spacing w:after="120" w:before="0" w:line="360"/>
        <w:jc w:val="both"/>
      </w:pPr>
      <w:r>
        <w:rPr>
          <w:rFonts w:ascii="Times New Roman" w:cs="Times New Roman" w:eastAsia="Times New Roman" w:hAnsi="Times New Roman"/>
        </w:rPr>
        <w:t xml:space="preserve">Roy et al. (2024), in a Reserve Bank of India working paper, analyse tomato, onion and potato (TOP) prices using a monthly supply–demand balance sheet. They show that availability, or the availability-to-usage ratio, is significantly and negatively related to the CPI of all three vegetables after controlling for input costs, rainfall and wages, and that SARIMA-X models including balance-sheet variables forecast TOP inflation better than univariate SARIMA over 2- to 12-month horizons. Their value-chain analysis estimates farmers’ share of the consumer rupee at roughly one-third. The implication for this study is that supply volume, which is not available in either of the datasets used here, is likely the most informative missing predictor.</w:t>
      </w:r>
    </w:p>
    <w:p>
      <w:pPr>
        <w:spacing w:after="120" w:before="0" w:line="360"/>
        <w:jc w:val="both"/>
      </w:pPr>
      <w:r>
        <w:rPr>
          <w:rFonts w:ascii="Times New Roman" w:cs="Times New Roman" w:eastAsia="Times New Roman" w:hAnsi="Times New Roman"/>
        </w:rPr>
        <w:t xml:space="preserve">Padhi, Shekhar and Handa (2023) study daily TOP prices from 2011 to 2021 using multivariate GARCH models and show that volatility originating in tomato spills over into onion and potato in both wholesale and retail markets. For onion and tomato, shocks pass mainly in one direction, from the wholesale level to the retail level, whereas for potato they travel both ways. This supports the use of cross-commodity features in the present models and suggests that wholesale and retail series should not be treated as interchangeable.</w:t>
      </w:r>
    </w:p>
    <w:p>
      <w:pPr>
        <w:spacing w:after="120" w:before="0" w:line="360"/>
        <w:jc w:val="both"/>
      </w:pPr>
      <w:r>
        <w:rPr>
          <w:rFonts w:ascii="Times New Roman" w:cs="Times New Roman" w:eastAsia="Times New Roman" w:hAnsi="Times New Roman"/>
        </w:rPr>
        <w:t xml:space="preserve">Ajmal et al. (2024) examine monthly wholesale TOP prices across Indian states from 2005 to 2021 using seasonal indices, the Cuddy–Della Valle instability index and ARCH-GARCH models. They find a pronounced seasonal cycle, in which tomato is typically dearest in the second half of the year, and identify onion as the most volatile of the three crops. Birthal, Negi and Joshi (2019) attribute part of onion price volatility to irregular market arrivals and trading practices rather than climatic shocks alone, and Chand (2010) identifies weather-driven supply shocks as the most important driver of Indian food inflation episodes. Together these studies establish that vegetable price movements are seasonal, shock-prone and supply-driven, which makes short-horizon forecasting difficult without supply data.</w:t>
      </w:r>
    </w:p>
    <w:p>
      <w:pPr>
        <w:pStyle w:val="Heading2"/>
        <w:keepNext/>
        <w:spacing w:after="120" w:before="280"/>
      </w:pPr>
      <w:r>
        <w:rPr>
          <w:rFonts w:ascii="Times New Roman" w:cs="Times New Roman" w:eastAsia="Times New Roman" w:hAnsi="Times New Roman"/>
          <w:b/>
          <w:bCs/>
          <w:sz w:val="26"/>
          <w:szCs w:val="26"/>
        </w:rPr>
        <w:t xml:space="preserve">2.2 Studies on Tamil Nadu and Koyambedu</w:t>
      </w:r>
    </w:p>
    <w:p>
      <w:pPr>
        <w:spacing w:after="120" w:before="0" w:line="360"/>
        <w:jc w:val="both"/>
      </w:pPr>
      <w:r>
        <w:rPr>
          <w:rFonts w:ascii="Times New Roman" w:cs="Times New Roman" w:eastAsia="Times New Roman" w:hAnsi="Times New Roman"/>
        </w:rPr>
        <w:t xml:space="preserve">Tamilselvi and Mohan Naidu (2020) model monthly vegetable arrivals and wholesale prices at Koyambedu using SARIMA and report adequate fit for seasonal series. The project proposal identified two published SARIMA studies of Koyambedu prices; only this one could be located and verified. It is the closest market-specific precedent but uses monthly data, so its error figures are not directly comparable with the daily horizons used here. Mantaw et al. (2024) apply XGBoost to groundnut prices in Tamil Nadu and report favourable accuracy, illustrating the regional interest in gradient boosting, though for a storable crop and without a naive benchmark.</w:t>
      </w:r>
    </w:p>
    <w:p>
      <w:pPr>
        <w:pStyle w:val="Heading2"/>
        <w:keepNext/>
        <w:spacing w:after="120" w:before="280"/>
      </w:pPr>
      <w:r>
        <w:rPr>
          <w:rFonts w:ascii="Times New Roman" w:cs="Times New Roman" w:eastAsia="Times New Roman" w:hAnsi="Times New Roman"/>
          <w:b/>
          <w:bCs/>
          <w:sz w:val="26"/>
          <w:szCs w:val="26"/>
        </w:rPr>
        <w:t xml:space="preserve">2.3 Statistical Time-Series Forecasting</w:t>
      </w:r>
    </w:p>
    <w:p>
      <w:pPr>
        <w:spacing w:after="120" w:before="0" w:line="360"/>
        <w:jc w:val="both"/>
      </w:pPr>
      <w:r>
        <w:rPr>
          <w:rFonts w:ascii="Times New Roman" w:cs="Times New Roman" w:eastAsia="Times New Roman" w:hAnsi="Times New Roman"/>
        </w:rPr>
        <w:t xml:space="preserve">The Box–Jenkins approach models a series through autoregressive, differencing and moving-average terms, with seasonal extensions for repeating cycles (Box et al., 2015). Identification relies on stationarity assessment, commonly through the Augmented Dickey–Fuller (ADF) test (Dickey &amp; Fuller, 1979), and model selection on information criteria such as AIC followed by residual diagnostics. Hyndman and Athanasopoulos (2021) emphasise that forecasting methods should be judged on genuine out-of-sample performance and recommend simple benchmarks, namely the naive (last value), seasonal naive and drift methods, as the reference against which more complex methods must justify themselves.</w:t>
      </w:r>
    </w:p>
    <w:p>
      <w:pPr>
        <w:spacing w:after="120" w:before="0" w:line="360"/>
        <w:jc w:val="both"/>
      </w:pPr>
      <w:r>
        <w:rPr>
          <w:rFonts w:ascii="Times New Roman" w:cs="Times New Roman" w:eastAsia="Times New Roman" w:hAnsi="Times New Roman"/>
        </w:rPr>
        <w:t xml:space="preserve">Prophet (Taylor &amp; Letham, 2018) represents a series as a sum of piecewise-linear trend, Fourier-based yearly and weekly seasonality, and holiday effects. It is designed for business series with strong calendar effects and long histories; with fewer than two to three years of data, annual seasonality is weakly identified and trend changepoints can extrapolate poorly.</w:t>
      </w:r>
    </w:p>
    <w:p>
      <w:pPr>
        <w:pStyle w:val="Heading2"/>
        <w:keepNext/>
        <w:spacing w:after="120" w:before="280"/>
      </w:pPr>
      <w:r>
        <w:rPr>
          <w:rFonts w:ascii="Times New Roman" w:cs="Times New Roman" w:eastAsia="Times New Roman" w:hAnsi="Times New Roman"/>
          <w:b/>
          <w:bCs/>
          <w:sz w:val="26"/>
          <w:szCs w:val="26"/>
        </w:rPr>
        <w:t xml:space="preserve">2.4 Machine-Learning Forecasting</w:t>
      </w:r>
    </w:p>
    <w:p>
      <w:pPr>
        <w:spacing w:after="120" w:before="0" w:line="360"/>
        <w:jc w:val="both"/>
      </w:pPr>
      <w:r>
        <w:rPr>
          <w:rFonts w:ascii="Times New Roman" w:cs="Times New Roman" w:eastAsia="Times New Roman" w:hAnsi="Times New Roman"/>
        </w:rPr>
        <w:t xml:space="preserve">Random Forests average many decision trees grown on bootstrap samples with random feature subsets, reducing variance (Breiman, 2001). Gradient boosting builds trees sequentially to correct residual errors; XGBoost adds regularisation and efficient computation (Chen &amp; Guestrin, 2016). Applied to time series, these methods are typically trained on engineered features such as lagged values, rolling statistics and calendar indicators, which converts forecasting into supervised regression. Manogna, Dharmaji and Sarang (2025) report improvements from deep-learning models for Indian agricultural commodity prices.</w:t>
      </w:r>
    </w:p>
    <w:p>
      <w:pPr>
        <w:spacing w:after="120" w:before="0" w:line="360"/>
        <w:jc w:val="both"/>
      </w:pPr>
      <w:r>
        <w:rPr>
          <w:rFonts w:ascii="Times New Roman" w:cs="Times New Roman" w:eastAsia="Times New Roman" w:hAnsi="Times New Roman"/>
        </w:rPr>
        <w:t xml:space="preserve">The evidence is not one-sided. In a large comparison on M3 competition series, Makridakis, Spiliotis and Assimakopoulos (2018a) found that popular machine-learning methods were frequently less accurate than simple statistical methods and were more computationally demanding. The subsequent M4 competition (Makridakis et al., 2018b) found that pure machine-learning methods performed poorly and that the best results came from combinations and hybrids. These findings motivate the inclusion of naive and statistical benchmarks in every comparison reported in this study.</w:t>
      </w:r>
    </w:p>
    <w:p>
      <w:pPr>
        <w:pStyle w:val="Heading2"/>
        <w:keepNext/>
        <w:spacing w:after="120" w:before="280"/>
      </w:pPr>
      <w:r>
        <w:rPr>
          <w:rFonts w:ascii="Times New Roman" w:cs="Times New Roman" w:eastAsia="Times New Roman" w:hAnsi="Times New Roman"/>
          <w:b/>
          <w:bCs/>
          <w:sz w:val="26"/>
          <w:szCs w:val="26"/>
        </w:rPr>
        <w:t xml:space="preserve">2.5 Forecast Evaluation and Data Leakage</w:t>
      </w:r>
    </w:p>
    <w:p>
      <w:pPr>
        <w:spacing w:after="120" w:before="0" w:line="360"/>
        <w:jc w:val="both"/>
      </w:pPr>
      <w:r>
        <w:rPr>
          <w:rFonts w:ascii="Times New Roman" w:cs="Times New Roman" w:eastAsia="Times New Roman" w:hAnsi="Times New Roman"/>
        </w:rPr>
        <w:t xml:space="preserve">Tashman (2000) reviews out-of-sample evaluation and recommends rolling-origin designs in which the forecast origin advances through time and the model is refitted using only information available at each origin. Bergmeir and Benítez (2012) discuss when cross-validation is valid for time series and caution against random splits. Hyndman and Koehler (2006) compare accuracy measures and show that MAPE is undefined or unstable near zero and penalises over- and under-forecasts asymmetrically; they recommend scale-free alternatives. Weighted absolute percentage error (WAPE), which divides total absolute error by total actual value, is widely used in demand forecasting because it is not dominated by low-price periods. Diebold and Mariano (1995) provide a test for whether accuracy differences between two forecasts are statistically significant.</w:t>
      </w:r>
    </w:p>
    <w:p>
      <w:pPr>
        <w:spacing w:after="120" w:before="0" w:line="360"/>
        <w:jc w:val="both"/>
      </w:pPr>
      <w:r>
        <w:rPr>
          <w:rFonts w:ascii="Times New Roman" w:cs="Times New Roman" w:eastAsia="Times New Roman" w:hAnsi="Times New Roman"/>
        </w:rPr>
        <w:t xml:space="preserve">Kaufman et al. (2012) define leakage as the introduction of information into model training or evaluation that would not be legitimately available at prediction time, and show how it produces over-optimistic results. In time-series feature engineering, a common and subtle form is a mismatch between the information horizon of the features and the decision horizon of the user: features built from yesterday’s value allow a model to score well on next-day prediction, which is not the same task as forecasting a week ahead.</w:t>
      </w:r>
    </w:p>
    <w:p>
      <w:pPr>
        <w:pStyle w:val="Heading2"/>
        <w:keepNext/>
        <w:spacing w:after="120" w:before="280"/>
      </w:pPr>
      <w:r>
        <w:rPr>
          <w:rFonts w:ascii="Times New Roman" w:cs="Times New Roman" w:eastAsia="Times New Roman" w:hAnsi="Times New Roman"/>
          <w:b/>
          <w:bCs/>
          <w:sz w:val="26"/>
          <w:szCs w:val="26"/>
        </w:rPr>
        <w:t xml:space="preserve">2.6 Statistical Inference with Autocorrelated Data</w:t>
      </w:r>
    </w:p>
    <w:p>
      <w:pPr>
        <w:spacing w:after="120" w:before="0" w:line="360"/>
        <w:jc w:val="both"/>
      </w:pPr>
      <w:r>
        <w:rPr>
          <w:rFonts w:ascii="Times New Roman" w:cs="Times New Roman" w:eastAsia="Times New Roman" w:hAnsi="Times New Roman"/>
        </w:rPr>
        <w:t xml:space="preserve">Daily price returns computed over overlapping windows are serially correlated, which makes ordinary least-squares standard errors unreliable. Newey and West (1987) propose heteroskedasticity- and autocorrelation-consistent (HAC) standard errors that remain valid under such dependence. HAC inference is used in this study for the monsoon association test.</w:t>
      </w:r>
    </w:p>
    <w:p>
      <w:pPr>
        <w:pStyle w:val="Heading2"/>
        <w:keepNext/>
        <w:spacing w:after="120" w:before="280"/>
      </w:pPr>
      <w:r>
        <w:rPr>
          <w:rFonts w:ascii="Times New Roman" w:cs="Times New Roman" w:eastAsia="Times New Roman" w:hAnsi="Times New Roman"/>
          <w:b/>
          <w:bCs/>
          <w:sz w:val="26"/>
          <w:szCs w:val="26"/>
        </w:rPr>
        <w:t xml:space="preserve">2.7 Explainable Machine Learning</w:t>
      </w:r>
    </w:p>
    <w:p>
      <w:pPr>
        <w:spacing w:after="120" w:before="0" w:line="360"/>
        <w:jc w:val="both"/>
      </w:pPr>
      <w:r>
        <w:rPr>
          <w:rFonts w:ascii="Times New Roman" w:cs="Times New Roman" w:eastAsia="Times New Roman" w:hAnsi="Times New Roman"/>
        </w:rPr>
        <w:t xml:space="preserve">SHAP (Lundberg &amp; Lee, 2017) attributes a model’s prediction to its input features using Shapley values from cooperative game theory, with an efficient exact algorithm for tree ensembles. Molnar (2022) stresses that such attributions describe how a fitted model uses its inputs and do not establish causal effects; correlated features can share or swap attribution. In this study, SHAP is used diagnostically: a large share of attribution on yesterday’s price is evidence that a model is mainly exploiting persistence.</w:t>
      </w:r>
    </w:p>
    <w:p>
      <w:pPr>
        <w:pStyle w:val="Heading2"/>
        <w:keepNext/>
        <w:spacing w:after="120" w:before="280"/>
      </w:pPr>
      <w:r>
        <w:rPr>
          <w:rFonts w:ascii="Times New Roman" w:cs="Times New Roman" w:eastAsia="Times New Roman" w:hAnsi="Times New Roman"/>
          <w:b/>
          <w:bCs/>
          <w:sz w:val="26"/>
          <w:szCs w:val="26"/>
        </w:rPr>
        <w:t xml:space="preserve">2.8 AI Agents in Analytical Workflows</w:t>
      </w:r>
    </w:p>
    <w:p>
      <w:pPr>
        <w:spacing w:after="120" w:before="0" w:line="360"/>
        <w:jc w:val="both"/>
      </w:pPr>
      <w:r>
        <w:rPr>
          <w:rFonts w:ascii="Times New Roman" w:cs="Times New Roman" w:eastAsia="Times New Roman" w:hAnsi="Times New Roman"/>
        </w:rPr>
        <w:t xml:space="preserve">Large-language-model-based autonomous agents, systems that plan, call tools and coordinate across roles, are surveyed by Wang et al. (2024). Domain applications include agricultural reasoning with code-executing agents that ground their answers in tools and data (Zhang et al., 2026) and multi-agent platforms that automate market analysis and report generation, demonstrated for carbon markets (Fagbohun et al., 2025). These works motivate AgriSight’s four-role design. However, most reported systems are evaluated on task completion rather than on the economic value of their recommendations; this study evaluates AgriSight’s advice against realized prices.</w:t>
      </w:r>
    </w:p>
    <w:p>
      <w:pPr>
        <w:pStyle w:val="Heading2"/>
        <w:keepNext/>
        <w:spacing w:after="120" w:before="280"/>
      </w:pPr>
      <w:r>
        <w:rPr>
          <w:rFonts w:ascii="Times New Roman" w:cs="Times New Roman" w:eastAsia="Times New Roman" w:hAnsi="Times New Roman"/>
          <w:b/>
          <w:bCs/>
          <w:sz w:val="26"/>
          <w:szCs w:val="26"/>
        </w:rPr>
        <w:t xml:space="preserve">2.9 Procurement Decisions under Price Uncertainty</w:t>
      </w:r>
    </w:p>
    <w:p>
      <w:pPr>
        <w:spacing w:after="120" w:before="0" w:line="360"/>
        <w:jc w:val="both"/>
      </w:pPr>
      <w:r>
        <w:rPr>
          <w:rFonts w:ascii="Times New Roman" w:cs="Times New Roman" w:eastAsia="Times New Roman" w:hAnsi="Times New Roman"/>
        </w:rPr>
        <w:t xml:space="preserve">Supply chain texts frame procurement timing as a trade-off between purchase price, holding cost, perishability and service level (Chopra &amp; Meindl, 2016; Silver, Pyke &amp; Thomas, 2017). For perishables, the scope to buy ahead is limited by shelf life, and the value of a forecast depends on its accuracy relative to the buyer’s default, the cost of being wrong, and the buyer’s ability to act. A forecast that is right on average but wrong at turning points can be costly precisely when it matters most.</w:t>
      </w:r>
    </w:p>
    <w:p>
      <w:pPr>
        <w:pStyle w:val="Heading2"/>
        <w:keepNext/>
        <w:spacing w:after="120" w:before="280"/>
      </w:pPr>
      <w:r>
        <w:rPr>
          <w:rFonts w:ascii="Times New Roman" w:cs="Times New Roman" w:eastAsia="Times New Roman" w:hAnsi="Times New Roman"/>
          <w:b/>
          <w:bCs/>
          <w:sz w:val="26"/>
          <w:szCs w:val="26"/>
        </w:rPr>
        <w:t xml:space="preserve">2.10 Research Gap</w:t>
      </w:r>
    </w:p>
    <w:p>
      <w:pPr>
        <w:spacing w:after="120" w:before="0" w:line="360"/>
        <w:jc w:val="both"/>
      </w:pPr>
      <w:r>
        <w:rPr>
          <w:rFonts w:ascii="Times New Roman" w:cs="Times New Roman" w:eastAsia="Times New Roman" w:hAnsi="Times New Roman"/>
        </w:rPr>
        <w:t xml:space="preserve">Table 2.1 summarises the most relevant studies. Indian research on vegetable prices has concentrated on monthly CPI inflation, volatility transmission and seasonal patterns, while machine-learning studies of agricultural prices commonly report accuracy without comparison to naive benchmarks or under evaluation designs whose information horizon is unclear. Few studies evaluate the procurement consequences of forecast-based advice, and none identified for Tamil Nadu vegetables do so on daily data across matched horizons. This study addresses that gap by comparing statistical and machine-learning models with naive benchmarks at procurement-relevant horizons, by checking whether reported accuracy reflects genuine forecast skill, and by backtesting the decision rules on realized prices, including a major price shock.</w:t>
      </w:r>
    </w:p>
    <w:p>
      <w:pPr>
        <w:pStyle w:val="TableCaption"/>
        <w:keepNext/>
        <w:spacing w:after="80" w:before="200" w:line="276"/>
        <w:jc w:val="center"/>
      </w:pPr>
      <w:r>
        <w:rPr>
          <w:rFonts w:ascii="Times New Roman" w:cs="Times New Roman" w:eastAsia="Times New Roman" w:hAnsi="Times New Roman"/>
          <w:b/>
          <w:bCs/>
          <w:sz w:val="22"/>
          <w:szCs w:val="22"/>
        </w:rPr>
        <w:t xml:space="preserve">Table 2.1: </w:t>
      </w:r>
      <w:r>
        <w:rPr>
          <w:rFonts w:ascii="Times New Roman" w:cs="Times New Roman" w:eastAsia="Times New Roman" w:hAnsi="Times New Roman"/>
          <w:sz w:val="22"/>
          <w:szCs w:val="22"/>
        </w:rPr>
        <w:t xml:space="preserve">Summary of reviewed studies and research gap</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1504"/>
        <w:gridCol w:w="1620"/>
        <w:gridCol w:w="1389"/>
        <w:gridCol w:w="2083"/>
        <w:gridCol w:w="1852"/>
      </w:tblGrid>
      <w:tr>
        <w:trPr>
          <w:cantSplit/>
          <w:tblHeader/>
        </w:trPr>
        <w:tc>
          <w:tcPr>
            <w:tcW w:type="dxa" w:w="150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Study</w:t>
            </w:r>
          </w:p>
        </w:tc>
        <w:tc>
          <w:tcPr>
            <w:tcW w:type="dxa" w:w="162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Data / setting</w:t>
            </w:r>
          </w:p>
        </w:tc>
        <w:tc>
          <w:tcPr>
            <w:tcW w:type="dxa" w:w="138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Method</w:t>
            </w:r>
          </w:p>
        </w:tc>
        <w:tc>
          <w:tcPr>
            <w:tcW w:type="dxa" w:w="208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Key finding</w:t>
            </w:r>
          </w:p>
        </w:tc>
        <w:tc>
          <w:tcPr>
            <w:tcW w:type="dxa" w:w="185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Gap relative to this study</w:t>
            </w:r>
          </w:p>
        </w:tc>
      </w:tr>
      <w:tr>
        <w:trPr>
          <w:cantSplit/>
        </w:trPr>
        <w:tc>
          <w:tcPr>
            <w:tcW w:type="dxa" w:w="15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Roy et al. (2024)</w:t>
            </w:r>
          </w:p>
        </w:tc>
        <w:tc>
          <w:tcPr>
            <w:tcW w:type="dxa" w:w="16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All-India TOP, monthly CPI</w:t>
            </w:r>
          </w:p>
        </w:tc>
        <w:tc>
          <w:tcPr>
            <w:tcW w:type="dxa" w:w="138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ARDL, SARIMA-X</w:t>
            </w:r>
          </w:p>
        </w:tc>
        <w:tc>
          <w:tcPr>
            <w:tcW w:type="dxa" w:w="208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Supply balance-sheet variables improve monthly inflation forecasts</w:t>
            </w:r>
          </w:p>
        </w:tc>
        <w:tc>
          <w:tcPr>
            <w:tcW w:type="dxa" w:w="18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Monthly CPI; not daily market prices</w:t>
            </w:r>
          </w:p>
        </w:tc>
      </w:tr>
      <w:tr>
        <w:trPr>
          <w:cantSplit/>
        </w:trPr>
        <w:tc>
          <w:tcPr>
            <w:tcW w:type="dxa" w:w="15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Padhi et al. (2023)</w:t>
            </w:r>
          </w:p>
        </w:tc>
        <w:tc>
          <w:tcPr>
            <w:tcW w:type="dxa" w:w="16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All-India TOP, daily 2011–2021</w:t>
            </w:r>
          </w:p>
        </w:tc>
        <w:tc>
          <w:tcPr>
            <w:tcW w:type="dxa" w:w="138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BEKK/DCC GARCH</w:t>
            </w:r>
          </w:p>
        </w:tc>
        <w:tc>
          <w:tcPr>
            <w:tcW w:type="dxa" w:w="208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Tomato volatility spills over to onion and potato</w:t>
            </w:r>
          </w:p>
        </w:tc>
        <w:tc>
          <w:tcPr>
            <w:tcW w:type="dxa" w:w="18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Volatility, not point forecasts</w:t>
            </w:r>
          </w:p>
        </w:tc>
      </w:tr>
      <w:tr>
        <w:trPr>
          <w:cantSplit/>
        </w:trPr>
        <w:tc>
          <w:tcPr>
            <w:tcW w:type="dxa" w:w="15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Ajmal et al. (2024)</w:t>
            </w:r>
          </w:p>
        </w:tc>
        <w:tc>
          <w:tcPr>
            <w:tcW w:type="dxa" w:w="16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Selected states, monthly 2005–2021</w:t>
            </w:r>
          </w:p>
        </w:tc>
        <w:tc>
          <w:tcPr>
            <w:tcW w:type="dxa" w:w="138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Seasonal index, CDVI, ARCH-GARCH</w:t>
            </w:r>
          </w:p>
        </w:tc>
        <w:tc>
          <w:tcPr>
            <w:tcW w:type="dxa" w:w="208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Onion most volatile; strong seasonality</w:t>
            </w:r>
          </w:p>
        </w:tc>
        <w:tc>
          <w:tcPr>
            <w:tcW w:type="dxa" w:w="18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Descriptive; no forecast benchmark</w:t>
            </w:r>
          </w:p>
        </w:tc>
      </w:tr>
      <w:tr>
        <w:trPr>
          <w:cantSplit/>
        </w:trPr>
        <w:tc>
          <w:tcPr>
            <w:tcW w:type="dxa" w:w="15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Tamilselvi &amp; Mohan Naidu (2020)</w:t>
            </w:r>
          </w:p>
        </w:tc>
        <w:tc>
          <w:tcPr>
            <w:tcW w:type="dxa" w:w="16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Koyambedu arrivals and wholesale prices</w:t>
            </w:r>
          </w:p>
        </w:tc>
        <w:tc>
          <w:tcPr>
            <w:tcW w:type="dxa" w:w="138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SARIMA</w:t>
            </w:r>
          </w:p>
        </w:tc>
        <w:tc>
          <w:tcPr>
            <w:tcW w:type="dxa" w:w="208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SARIMA fits seasonal vegetable series</w:t>
            </w:r>
          </w:p>
        </w:tc>
        <w:tc>
          <w:tcPr>
            <w:tcW w:type="dxa" w:w="18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Monthly; single model family</w:t>
            </w:r>
          </w:p>
        </w:tc>
      </w:tr>
      <w:tr>
        <w:trPr>
          <w:cantSplit/>
        </w:trPr>
        <w:tc>
          <w:tcPr>
            <w:tcW w:type="dxa" w:w="15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Mantaw et al. (2024)</w:t>
            </w:r>
          </w:p>
        </w:tc>
        <w:tc>
          <w:tcPr>
            <w:tcW w:type="dxa" w:w="16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Tamil Nadu groundnut</w:t>
            </w:r>
          </w:p>
        </w:tc>
        <w:tc>
          <w:tcPr>
            <w:tcW w:type="dxa" w:w="138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XGBoost</w:t>
            </w:r>
          </w:p>
        </w:tc>
        <w:tc>
          <w:tcPr>
            <w:tcW w:type="dxa" w:w="208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Boosting forecasts commodity prices well</w:t>
            </w:r>
          </w:p>
        </w:tc>
        <w:tc>
          <w:tcPr>
            <w:tcW w:type="dxa" w:w="18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Different crop; no naive comparison</w:t>
            </w:r>
          </w:p>
        </w:tc>
      </w:tr>
      <w:tr>
        <w:trPr>
          <w:cantSplit/>
        </w:trPr>
        <w:tc>
          <w:tcPr>
            <w:tcW w:type="dxa" w:w="15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Manogna et al. (2025)</w:t>
            </w:r>
          </w:p>
        </w:tc>
        <w:tc>
          <w:tcPr>
            <w:tcW w:type="dxa" w:w="16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Indian agricultural commodities</w:t>
            </w:r>
          </w:p>
        </w:tc>
        <w:tc>
          <w:tcPr>
            <w:tcW w:type="dxa" w:w="138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Deep learning</w:t>
            </w:r>
          </w:p>
        </w:tc>
        <w:tc>
          <w:tcPr>
            <w:tcW w:type="dxa" w:w="208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Deep models improve on classical methods</w:t>
            </w:r>
          </w:p>
        </w:tc>
        <w:tc>
          <w:tcPr>
            <w:tcW w:type="dxa" w:w="18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Monthly/aggregate; different scope</w:t>
            </w:r>
          </w:p>
        </w:tc>
      </w:tr>
      <w:tr>
        <w:trPr>
          <w:cantSplit/>
        </w:trPr>
        <w:tc>
          <w:tcPr>
            <w:tcW w:type="dxa" w:w="15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Makridakis et al. (2018a)</w:t>
            </w:r>
          </w:p>
        </w:tc>
        <w:tc>
          <w:tcPr>
            <w:tcW w:type="dxa" w:w="16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M3 competition series</w:t>
            </w:r>
          </w:p>
        </w:tc>
        <w:tc>
          <w:tcPr>
            <w:tcW w:type="dxa" w:w="138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Statistical vs ML</w:t>
            </w:r>
          </w:p>
        </w:tc>
        <w:tc>
          <w:tcPr>
            <w:tcW w:type="dxa" w:w="208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ML often less accurate than simple statistical methods</w:t>
            </w:r>
          </w:p>
        </w:tc>
        <w:tc>
          <w:tcPr>
            <w:tcW w:type="dxa" w:w="18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Not agricultural</w:t>
            </w:r>
          </w:p>
        </w:tc>
      </w:tr>
      <w:tr>
        <w:trPr>
          <w:cantSplit/>
        </w:trPr>
        <w:tc>
          <w:tcPr>
            <w:tcW w:type="dxa" w:w="15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This study</w:t>
            </w:r>
          </w:p>
        </w:tc>
        <w:tc>
          <w:tcPr>
            <w:tcW w:type="dxa" w:w="16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TN statewide + Koyambedu, daily</w:t>
            </w:r>
          </w:p>
        </w:tc>
        <w:tc>
          <w:tcPr>
            <w:tcW w:type="dxa" w:w="138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SARIMA, Prophet, RF, XGBoost, naive; SHAP; HAC; backtest</w:t>
            </w:r>
          </w:p>
        </w:tc>
        <w:tc>
          <w:tcPr>
            <w:tcW w:type="dxa" w:w="208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Naive benchmarks unbeaten; rules need recalibration</w:t>
            </w:r>
          </w:p>
        </w:tc>
        <w:tc>
          <w:tcPr>
            <w:tcW w:type="dxa" w:w="18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Secondary data; short weather window</w:t>
            </w:r>
          </w:p>
        </w:tc>
      </w:tr>
    </w:tbl>
    <w:p>
      <w:pPr>
        <w:spacing w:after="200" w:before="60" w:line="240"/>
      </w:pPr>
      <w:r>
        <w:rPr>
          <w:rFonts w:ascii="Times New Roman" w:cs="Times New Roman" w:eastAsia="Times New Roman" w:hAnsi="Times New Roman"/>
          <w:i/>
          <w:iCs/>
          <w:sz w:val="18"/>
          <w:szCs w:val="18"/>
        </w:rPr>
        <w:t xml:space="preserve">Source: Compiled by the author from the cited studies.</w:t>
      </w:r>
    </w:p>
    <w:p>
      <w:pPr>
        <w:pageBreakBefore/>
        <w:spacing w:after="0" w:before="240"/>
        <w:jc w:val="center"/>
      </w:pPr>
      <w:r>
        <w:rPr>
          <w:rFonts w:ascii="Times New Roman" w:cs="Times New Roman" w:eastAsia="Times New Roman" w:hAnsi="Times New Roman"/>
          <w:b/>
          <w:bCs/>
          <w:sz w:val="28"/>
          <w:szCs w:val="28"/>
        </w:rPr>
        <w:t xml:space="preserve">CHAPTER 3</w:t>
      </w:r>
    </w:p>
    <w:p>
      <w:pPr>
        <w:pStyle w:val="Heading1"/>
        <w:spacing w:after="360" w:before="120"/>
        <w:jc w:val="center"/>
      </w:pPr>
      <w:r>
        <w:rPr>
          <w:rFonts w:ascii="Times New Roman" w:cs="Times New Roman" w:eastAsia="Times New Roman" w:hAnsi="Times New Roman"/>
          <w:b/>
          <w:bCs/>
          <w:sz w:val="28"/>
          <w:szCs w:val="28"/>
        </w:rPr>
        <w:t xml:space="preserve">RESEARCH METHODOLOGY</w:t>
      </w:r>
    </w:p>
    <w:p>
      <w:pPr>
        <w:pStyle w:val="Heading2"/>
        <w:keepNext/>
        <w:spacing w:after="120" w:before="280"/>
      </w:pPr>
      <w:r>
        <w:rPr>
          <w:rFonts w:ascii="Times New Roman" w:cs="Times New Roman" w:eastAsia="Times New Roman" w:hAnsi="Times New Roman"/>
          <w:b/>
          <w:bCs/>
          <w:sz w:val="26"/>
          <w:szCs w:val="26"/>
        </w:rPr>
        <w:t xml:space="preserve">3.1 Research Design</w:t>
      </w:r>
    </w:p>
    <w:p>
      <w:pPr>
        <w:spacing w:after="120" w:before="0" w:line="360"/>
        <w:jc w:val="both"/>
      </w:pPr>
      <w:r>
        <w:rPr>
          <w:rFonts w:ascii="Times New Roman" w:cs="Times New Roman" w:eastAsia="Times New Roman" w:hAnsi="Times New Roman"/>
        </w:rPr>
        <w:t xml:space="preserve">The study follows a </w:t>
      </w:r>
      <w:r>
        <w:rPr>
          <w:rFonts w:ascii="Times New Roman" w:cs="Times New Roman" w:eastAsia="Times New Roman" w:hAnsi="Times New Roman"/>
          <w:b/>
          <w:bCs/>
        </w:rPr>
        <w:t xml:space="preserve">quantitative, explanatory–predictive design based entirely on secondary data</w:t>
      </w:r>
      <w:r>
        <w:rPr>
          <w:rFonts w:ascii="Times New Roman" w:cs="Times New Roman" w:eastAsia="Times New Roman" w:hAnsi="Times New Roman"/>
        </w:rPr>
        <w:t xml:space="preserve">. No survey, interview or experiment was conducted. The analysis is retrospective and observational: it describes price behaviour, estimates forecasting models on historical observations, evaluates their out-of-sample accuracy in chronological order, and evaluates the consequences of a set of procurement rules against the prices actually observed. Because no purchases were made and no buyer transactions were recorded, procurement results are counterfactual comparisons rather than measured savings.</w:t>
      </w:r>
    </w:p>
    <w:p>
      <w:pPr>
        <w:spacing w:after="120" w:before="0" w:line="360"/>
        <w:jc w:val="both"/>
      </w:pPr>
      <w:r>
        <w:rPr>
          <w:rFonts w:ascii="Times New Roman" w:cs="Times New Roman" w:eastAsia="Times New Roman" w:hAnsi="Times New Roman"/>
        </w:rPr>
        <w:t xml:space="preserve">Two analytical tracks were run on two separate price sources (Figure 3.1). In line with the approved title, the Koyambedu track (Track B) carries the study’s objectives; the statewide track (Track A) provides a broader comparison and the input to the multi-agent pipeline. Track A uses a statewide Tamil Nadu compilation of Agmarknet records for model development, explanation and the multi-agent decision layer. Track B uses the Koyambedu history-page series for a common-origin, multi-horizon model comparison, the monsoon test, the 2023 tomato case study and the procurement backtest. The sources are deliberately not merged, because they differ in unit (₹/quintal versus ₹/kg), market coverage and price definition.</w:t>
      </w:r>
    </w:p>
    <w:p>
      <w:pPr>
        <w:keepNext/>
        <w:spacing w:after="60" w:before="160"/>
        <w:jc w:val="center"/>
      </w:pPr>
      <w:r>
        <w:drawing>
          <wp:inline distT="0" distB="0" distL="0" distR="0">
            <wp:extent cx="5334000" cy="3457575"/>
            <wp:effectExtent t="0" r="0" b="0" l="0"/>
            <wp:docPr id="1" name="Figure 3.1" descr="Analytical workflow of the AgriSight study" title="Analytical workflow of the AgriSight stu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457575"/>
                    </a:xfrm>
                    <a:prstGeom prst="rect">
                      <a:avLst/>
                    </a:prstGeom>
                  </pic:spPr>
                </pic:pic>
              </a:graphicData>
            </a:graphic>
          </wp:inline>
        </w:drawing>
      </w:r>
    </w:p>
    <w:p>
      <w:pPr>
        <w:pStyle w:val="FigureCaption"/>
        <w:spacing w:after="40" w:line="276"/>
        <w:jc w:val="center"/>
      </w:pPr>
      <w:r>
        <w:rPr>
          <w:rFonts w:ascii="Times New Roman" w:cs="Times New Roman" w:eastAsia="Times New Roman" w:hAnsi="Times New Roman"/>
          <w:b/>
          <w:bCs/>
          <w:sz w:val="22"/>
          <w:szCs w:val="22"/>
        </w:rPr>
        <w:t xml:space="preserve">Figure 3.1: </w:t>
      </w:r>
      <w:r>
        <w:rPr>
          <w:rFonts w:ascii="Times New Roman" w:cs="Times New Roman" w:eastAsia="Times New Roman" w:hAnsi="Times New Roman"/>
          <w:sz w:val="22"/>
          <w:szCs w:val="22"/>
        </w:rPr>
        <w:t xml:space="preserve">Analytical workflow of the AgriSight study</w:t>
      </w:r>
    </w:p>
    <w:p>
      <w:pPr>
        <w:spacing w:after="220" w:line="240"/>
        <w:jc w:val="center"/>
      </w:pPr>
      <w:r>
        <w:rPr>
          <w:rFonts w:ascii="Times New Roman" w:cs="Times New Roman" w:eastAsia="Times New Roman" w:hAnsi="Times New Roman"/>
          <w:i/>
          <w:iCs/>
          <w:sz w:val="18"/>
          <w:szCs w:val="18"/>
        </w:rPr>
        <w:t xml:space="preserve">Source: Author’s design.</w:t>
      </w:r>
    </w:p>
    <w:p>
      <w:pPr>
        <w:pStyle w:val="Heading2"/>
        <w:keepNext/>
        <w:spacing w:after="120" w:before="280"/>
      </w:pPr>
      <w:r>
        <w:rPr>
          <w:rFonts w:ascii="Times New Roman" w:cs="Times New Roman" w:eastAsia="Times New Roman" w:hAnsi="Times New Roman"/>
          <w:b/>
          <w:bCs/>
          <w:sz w:val="26"/>
          <w:szCs w:val="26"/>
        </w:rPr>
        <w:t xml:space="preserve">3.2 Sources of Data</w:t>
      </w:r>
    </w:p>
    <w:p>
      <w:pPr>
        <w:pStyle w:val="TableCaption"/>
        <w:keepNext/>
        <w:spacing w:after="80" w:before="200" w:line="276"/>
        <w:jc w:val="center"/>
      </w:pPr>
      <w:r>
        <w:rPr>
          <w:rFonts w:ascii="Times New Roman" w:cs="Times New Roman" w:eastAsia="Times New Roman" w:hAnsi="Times New Roman"/>
          <w:b/>
          <w:bCs/>
          <w:sz w:val="22"/>
          <w:szCs w:val="22"/>
        </w:rPr>
        <w:t xml:space="preserve">Table 3.1: </w:t>
      </w:r>
      <w:r>
        <w:rPr>
          <w:rFonts w:ascii="Times New Roman" w:cs="Times New Roman" w:eastAsia="Times New Roman" w:hAnsi="Times New Roman"/>
          <w:sz w:val="22"/>
          <w:szCs w:val="22"/>
        </w:rPr>
        <w:t xml:space="preserve">Data sources used in the study</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2414"/>
        <w:gridCol w:w="2414"/>
        <w:gridCol w:w="2414"/>
        <w:gridCol w:w="1206"/>
      </w:tblGrid>
      <w:tr>
        <w:trPr>
          <w:cantSplit/>
          <w:tblHeader/>
        </w:trPr>
        <w:tc>
          <w:tcPr>
            <w:tcW w:type="dxa" w:w="241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Source</w:t>
            </w:r>
          </w:p>
        </w:tc>
        <w:tc>
          <w:tcPr>
            <w:tcW w:type="dxa" w:w="241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Content</w:t>
            </w:r>
          </w:p>
        </w:tc>
        <w:tc>
          <w:tcPr>
            <w:tcW w:type="dxa" w:w="241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Coverage</w:t>
            </w:r>
          </w:p>
        </w:tc>
        <w:tc>
          <w:tcPr>
            <w:tcW w:type="dxa" w:w="120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Use</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Kaggle-hosted Agmarknet extract (Khandelwal, n.d.)</w:t>
            </w:r>
          </w:p>
        </w:tc>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Market-level min, max and modal prices (₹/quintal), variety, grade</w:t>
            </w:r>
          </w:p>
        </w:tc>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414,388 rows; 451 markets; 36 districts; 24 Jan 2024 – 20 Apr 2026</w:t>
            </w:r>
          </w:p>
        </w:tc>
        <w:tc>
          <w:tcPr>
            <w:tcW w:type="dxa" w:w="120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Track A modelling</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Vegetable Market Price, Koyambedu history API</w:t>
            </w:r>
          </w:p>
        </w:tc>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Daily price value per series (₹/kg), attributed to Koyambedu Vegetable Merchants’ Council</w:t>
            </w:r>
          </w:p>
        </w:tc>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14,472 values; 8 series × 1,809 days; 4 Nov 2021 – 17 Oct 2026</w:t>
            </w:r>
          </w:p>
        </w:tc>
        <w:tc>
          <w:tcPr>
            <w:tcW w:type="dxa" w:w="120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Track B evaluation</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Open-Meteo Historical Weather API (13.0827° N, 80.2707° E)</w:t>
            </w:r>
          </w:p>
        </w:tc>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Daily precipitation, rain, max/mean/min temperature for Chennai</w:t>
            </w:r>
          </w:p>
        </w:tc>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1,004 days; 1 Jan 2024 – 30 Sep 2026</w:t>
            </w:r>
          </w:p>
        </w:tc>
        <w:tc>
          <w:tcPr>
            <w:tcW w:type="dxa" w:w="120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Features; monsoon test</w:t>
            </w:r>
          </w:p>
        </w:tc>
      </w:tr>
      <w:tr>
        <w:trPr>
          <w:cantSplit/>
        </w:trPr>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Press Information Bureau RSS (optional)</w:t>
            </w:r>
          </w:p>
        </w:tc>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Official agriculture and price news items</w:t>
            </w:r>
          </w:p>
        </w:tc>
        <w:tc>
          <w:tcPr>
            <w:tcW w:type="dxa" w:w="241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Live mode only; not exercised in reported run</w:t>
            </w:r>
          </w:p>
        </w:tc>
        <w:tc>
          <w:tcPr>
            <w:tcW w:type="dxa" w:w="120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News Reader agent</w:t>
            </w:r>
          </w:p>
        </w:tc>
      </w:tr>
    </w:tbl>
    <w:p>
      <w:pPr>
        <w:spacing w:after="200" w:before="60" w:line="240"/>
      </w:pPr>
      <w:r>
        <w:rPr>
          <w:rFonts w:ascii="Times New Roman" w:cs="Times New Roman" w:eastAsia="Times New Roman" w:hAnsi="Times New Roman"/>
          <w:i/>
          <w:iCs/>
          <w:sz w:val="18"/>
          <w:szCs w:val="18"/>
        </w:rPr>
        <w:t xml:space="preserve">Source: Khandelwal (n.d.); Vegetable Market Price (n.d.); Open-Meteo (n.d.).</w:t>
      </w:r>
    </w:p>
    <w:p>
      <w:pPr>
        <w:spacing w:after="120" w:before="0" w:line="360"/>
        <w:jc w:val="both"/>
      </w:pPr>
      <w:r>
        <w:rPr>
          <w:rFonts w:ascii="Times New Roman" w:cs="Times New Roman" w:eastAsia="Times New Roman" w:hAnsi="Times New Roman"/>
          <w:b/>
          <w:bCs/>
        </w:rPr>
        <w:t xml:space="preserve">Statewide data.</w:t>
      </w:r>
      <w:r>
        <w:rPr>
          <w:rFonts w:ascii="Times New Roman" w:cs="Times New Roman" w:eastAsia="Times New Roman" w:hAnsi="Times New Roman"/>
        </w:rPr>
        <w:t xml:space="preserve"> The 2024–2026 annual files of the Kaggle dataset (Khandelwal, n.d.) were downloaded and filtered to Tamil Nadu, the eight vegetables and dates from 1 January 2024. The records were then cleaned: column names normalised column names, parses dates and numeric prices, maps commodity names (for example, “French Beans” and “Indian Beans (Seam)” to Beans) and removes duplicate date–market–commodity rows. The upstream compilation was not independently audited.</w:t>
      </w:r>
    </w:p>
    <w:p>
      <w:pPr>
        <w:spacing w:after="120" w:before="0" w:line="360"/>
        <w:jc w:val="both"/>
      </w:pPr>
      <w:r>
        <w:rPr>
          <w:rFonts w:ascii="Times New Roman" w:cs="Times New Roman" w:eastAsia="Times New Roman" w:hAnsi="Times New Roman"/>
          <w:b/>
          <w:bCs/>
        </w:rPr>
        <w:t xml:space="preserve">Koyambedu data.</w:t>
      </w:r>
      <w:r>
        <w:rPr>
          <w:rFonts w:ascii="Times New Roman" w:cs="Times New Roman" w:eastAsia="Times New Roman" w:hAnsi="Times New Roman"/>
        </w:rPr>
        <w:t xml:space="preserve"> The public history API was queried in 180-day windows for 15 vegetable series, keeping every returned value with its unit label and extraction metadata. One series was then selected per study commodity without combining varieties: Big Onion represents Onion, French Beans is a provisional proxy for Beans, and regular Brinjal is kept separate from Big Brinjal. All values are copied unchanged; no interpolation is applied. The API labels the unit as 1 kg but does not state whether quotes are wholesale or retail.</w:t>
      </w:r>
    </w:p>
    <w:p>
      <w:pPr>
        <w:pStyle w:val="Heading2"/>
        <w:keepNext/>
        <w:spacing w:after="120" w:before="280"/>
      </w:pPr>
      <w:r>
        <w:rPr>
          <w:rFonts w:ascii="Times New Roman" w:cs="Times New Roman" w:eastAsia="Times New Roman" w:hAnsi="Times New Roman"/>
          <w:b/>
          <w:bCs/>
          <w:sz w:val="26"/>
          <w:szCs w:val="26"/>
        </w:rPr>
        <w:t xml:space="preserve">3.3 Sampling Frame and Unit of Analysis</w:t>
      </w:r>
    </w:p>
    <w:p>
      <w:pPr>
        <w:spacing w:after="120" w:before="0" w:line="360"/>
        <w:jc w:val="both"/>
      </w:pPr>
      <w:r>
        <w:rPr>
          <w:rFonts w:ascii="Times New Roman" w:cs="Times New Roman" w:eastAsia="Times New Roman" w:hAnsi="Times New Roman"/>
        </w:rPr>
        <w:t xml:space="preserve">The study uses all records available in the two sources after the filters above; it is not a sample survey and no probability sampling was involved. For Track A the unit of analysis is the </w:t>
      </w:r>
      <w:r>
        <w:rPr>
          <w:rFonts w:ascii="Times New Roman" w:cs="Times New Roman" w:eastAsia="Times New Roman" w:hAnsi="Times New Roman"/>
          <w:b/>
          <w:bCs/>
        </w:rPr>
        <w:t xml:space="preserve">commodity-day</w:t>
      </w:r>
      <w:r>
        <w:rPr>
          <w:rFonts w:ascii="Times New Roman" w:cs="Times New Roman" w:eastAsia="Times New Roman" w:hAnsi="Times New Roman"/>
        </w:rPr>
        <w:t xml:space="preserve">: market-level modal prices are aggregated to the daily statewide median for each vegetable, giving a feature table of 4,041 commodity-days (26 February 2024 to 20 April 2026) after the first 30 days of each series are consumed by lag construction. For Track B the unit is the </w:t>
      </w:r>
      <w:r>
        <w:rPr>
          <w:rFonts w:ascii="Times New Roman" w:cs="Times New Roman" w:eastAsia="Times New Roman" w:hAnsi="Times New Roman"/>
          <w:b/>
          <w:bCs/>
        </w:rPr>
        <w:t xml:space="preserve">commodity-day at Koyambedu</w:t>
      </w:r>
      <w:r>
        <w:rPr>
          <w:rFonts w:ascii="Times New Roman" w:cs="Times New Roman" w:eastAsia="Times New Roman" w:hAnsi="Times New Roman"/>
        </w:rPr>
        <w:t xml:space="preserve"> (1,809 days per series). Forecast evaluation units are forecast origins × horizons × commodities.</w:t>
      </w:r>
    </w:p>
    <w:p>
      <w:pPr>
        <w:pStyle w:val="Heading2"/>
        <w:keepNext/>
        <w:spacing w:after="120" w:before="280"/>
      </w:pPr>
      <w:r>
        <w:rPr>
          <w:rFonts w:ascii="Times New Roman" w:cs="Times New Roman" w:eastAsia="Times New Roman" w:hAnsi="Times New Roman"/>
          <w:b/>
          <w:bCs/>
          <w:sz w:val="26"/>
          <w:szCs w:val="26"/>
        </w:rPr>
        <w:t xml:space="preserve">3.4 Variables and Feature Engineering</w:t>
      </w:r>
    </w:p>
    <w:p>
      <w:pPr>
        <w:spacing w:after="120" w:before="0" w:line="360"/>
        <w:jc w:val="both"/>
      </w:pPr>
      <w:r>
        <w:rPr>
          <w:rFonts w:ascii="Times New Roman" w:cs="Times New Roman" w:eastAsia="Times New Roman" w:hAnsi="Times New Roman"/>
        </w:rPr>
        <w:t xml:space="preserve">The target in both tracks is the daily price level. Predictors were constructed for Track A in the groups listed in Table 3.2. Rolling statistics, exponential moving averages and momentum are computed on the price series shifted by one day, and weather sums and maximum temperature are lagged by one day, so that no same-day information enters a prediction. Three market records were also removed above ₹100,000 per quintal (a Drumstick value of ₹180,000 and Tomato values of ₹353,000 and ₹404,000), which are almost certainly entry errors.</w:t>
      </w:r>
    </w:p>
    <w:p>
      <w:pPr>
        <w:pStyle w:val="TableCaption"/>
        <w:keepNext/>
        <w:spacing w:after="80" w:before="200" w:line="276"/>
        <w:jc w:val="center"/>
      </w:pPr>
      <w:r>
        <w:rPr>
          <w:rFonts w:ascii="Times New Roman" w:cs="Times New Roman" w:eastAsia="Times New Roman" w:hAnsi="Times New Roman"/>
          <w:b/>
          <w:bCs/>
          <w:sz w:val="22"/>
          <w:szCs w:val="22"/>
        </w:rPr>
        <w:t xml:space="preserve">Table 3.2: </w:t>
      </w:r>
      <w:r>
        <w:rPr>
          <w:rFonts w:ascii="Times New Roman" w:cs="Times New Roman" w:eastAsia="Times New Roman" w:hAnsi="Times New Roman"/>
          <w:sz w:val="22"/>
          <w:szCs w:val="22"/>
        </w:rPr>
        <w:t xml:space="preserve">Feature groups constructed for the statewide models</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1908"/>
        <w:gridCol w:w="5723"/>
        <w:gridCol w:w="817"/>
      </w:tblGrid>
      <w:tr>
        <w:trPr>
          <w:cantSplit/>
          <w:tblHeader/>
        </w:trPr>
        <w:tc>
          <w:tcPr>
            <w:tcW w:type="dxa" w:w="190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Group</w:t>
            </w:r>
          </w:p>
        </w:tc>
        <w:tc>
          <w:tcPr>
            <w:tcW w:type="dxa" w:w="572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Features</w:t>
            </w:r>
          </w:p>
        </w:tc>
        <w:tc>
          <w:tcPr>
            <w:tcW w:type="dxa" w:w="81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Count</w:t>
            </w:r>
          </w:p>
        </w:tc>
      </w:tr>
      <w:tr>
        <w:trPr>
          <w:cantSplit/>
        </w:trPr>
        <w:tc>
          <w:tcPr>
            <w:tcW w:type="dxa" w:w="19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Own-price lags</w:t>
            </w:r>
          </w:p>
        </w:tc>
        <w:tc>
          <w:tcPr>
            <w:tcW w:type="dxa" w:w="572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Price 7, 14, 21 and 30 days earlier</w:t>
            </w:r>
          </w:p>
        </w:tc>
        <w:tc>
          <w:tcPr>
            <w:tcW w:type="dxa" w:w="81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4</w:t>
            </w:r>
          </w:p>
        </w:tc>
      </w:tr>
      <w:tr>
        <w:trPr>
          <w:cantSplit/>
        </w:trPr>
        <w:tc>
          <w:tcPr>
            <w:tcW w:type="dxa" w:w="19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Rolling statistics</w:t>
            </w:r>
          </w:p>
        </w:tc>
        <w:tc>
          <w:tcPr>
            <w:tcW w:type="dxa" w:w="572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7/14/30-day mean and standard deviation; 7/14-day min and max (all from t-1)</w:t>
            </w:r>
          </w:p>
        </w:tc>
        <w:tc>
          <w:tcPr>
            <w:tcW w:type="dxa" w:w="81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10</w:t>
            </w:r>
          </w:p>
        </w:tc>
      </w:tr>
      <w:tr>
        <w:trPr>
          <w:cantSplit/>
        </w:trPr>
        <w:tc>
          <w:tcPr>
            <w:tcW w:type="dxa" w:w="19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Trend and momentum</w:t>
            </w:r>
          </w:p>
        </w:tc>
        <w:tc>
          <w:tcPr>
            <w:tcW w:type="dxa" w:w="572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7/14/30-day EMA; 7/14/30-day % change; acceleration; position within 52-week range</w:t>
            </w:r>
          </w:p>
        </w:tc>
        <w:tc>
          <w:tcPr>
            <w:tcW w:type="dxa" w:w="81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8</w:t>
            </w:r>
          </w:p>
        </w:tc>
      </w:tr>
      <w:tr>
        <w:trPr>
          <w:cantSplit/>
        </w:trPr>
        <w:tc>
          <w:tcPr>
            <w:tcW w:type="dxa" w:w="19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Calendar</w:t>
            </w:r>
          </w:p>
        </w:tc>
        <w:tc>
          <w:tcPr>
            <w:tcW w:type="dxa" w:w="572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Month, week of year, quarter, day of week, year, days since start</w:t>
            </w:r>
          </w:p>
        </w:tc>
        <w:tc>
          <w:tcPr>
            <w:tcW w:type="dxa" w:w="81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6</w:t>
            </w:r>
          </w:p>
        </w:tc>
      </w:tr>
      <w:tr>
        <w:trPr>
          <w:cantSplit/>
        </w:trPr>
        <w:tc>
          <w:tcPr>
            <w:tcW w:type="dxa" w:w="19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Season and festival flags</w:t>
            </w:r>
          </w:p>
        </w:tc>
        <w:tc>
          <w:tcPr>
            <w:tcW w:type="dxa" w:w="572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SW monsoon (Jun–Sep), NE monsoon (Oct–Dec), Pongal, Tamil New Year, Diwali, Navratri</w:t>
            </w:r>
          </w:p>
        </w:tc>
        <w:tc>
          <w:tcPr>
            <w:tcW w:type="dxa" w:w="81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6</w:t>
            </w:r>
          </w:p>
        </w:tc>
      </w:tr>
      <w:tr>
        <w:trPr>
          <w:cantSplit/>
        </w:trPr>
        <w:tc>
          <w:tcPr>
            <w:tcW w:type="dxa" w:w="19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Cross-commodity</w:t>
            </w:r>
          </w:p>
        </w:tc>
        <w:tc>
          <w:tcPr>
            <w:tcW w:type="dxa" w:w="572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Previous-day statewide price of each of the eight vegetables</w:t>
            </w:r>
          </w:p>
        </w:tc>
        <w:tc>
          <w:tcPr>
            <w:tcW w:type="dxa" w:w="81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8</w:t>
            </w:r>
          </w:p>
        </w:tc>
      </w:tr>
      <w:tr>
        <w:trPr>
          <w:cantSplit/>
        </w:trPr>
        <w:tc>
          <w:tcPr>
            <w:tcW w:type="dxa" w:w="19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Market breadth</w:t>
            </w:r>
          </w:p>
        </w:tc>
        <w:tc>
          <w:tcPr>
            <w:tcW w:type="dxa" w:w="572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Number of reporting markets on the previous day</w:t>
            </w:r>
          </w:p>
        </w:tc>
        <w:tc>
          <w:tcPr>
            <w:tcW w:type="dxa" w:w="81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w:t>
            </w:r>
          </w:p>
        </w:tc>
      </w:tr>
      <w:tr>
        <w:trPr>
          <w:cantSplit/>
        </w:trPr>
        <w:tc>
          <w:tcPr>
            <w:tcW w:type="dxa" w:w="19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Weather</w:t>
            </w:r>
          </w:p>
        </w:tc>
        <w:tc>
          <w:tcPr>
            <w:tcW w:type="dxa" w:w="572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7- and 30-day rainfall sums, max temperature (t-1), heat-wave and cold-day flags</w:t>
            </w:r>
          </w:p>
        </w:tc>
        <w:tc>
          <w:tcPr>
            <w:tcW w:type="dxa" w:w="81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5</w:t>
            </w:r>
          </w:p>
        </w:tc>
      </w:tr>
    </w:tbl>
    <w:p>
      <w:pPr>
        <w:spacing w:after="200" w:before="60" w:line="240"/>
      </w:pPr>
      <w:r>
        <w:rPr>
          <w:rFonts w:ascii="Times New Roman" w:cs="Times New Roman" w:eastAsia="Times New Roman" w:hAnsi="Times New Roman"/>
          <w:i/>
          <w:iCs/>
          <w:sz w:val="18"/>
          <w:szCs w:val="18"/>
        </w:rPr>
        <w:t xml:space="preserve">Source: Author’s analysis. The tree models use 38 of these features (Appendix B).</w:t>
      </w:r>
    </w:p>
    <w:p>
      <w:pPr>
        <w:spacing w:after="120" w:before="0" w:line="360"/>
        <w:jc w:val="both"/>
      </w:pPr>
      <w:r>
        <w:rPr>
          <w:rFonts w:ascii="Times New Roman" w:cs="Times New Roman" w:eastAsia="Times New Roman" w:hAnsi="Times New Roman"/>
        </w:rPr>
        <w:t xml:space="preserve">Two properties of this design matter for interpretation and are tested in Chapter 4. First, the target is the same-day price while the newest price information in the features is from the previous day, so the statewide holdout measures </w:t>
      </w:r>
      <w:r>
        <w:rPr>
          <w:rFonts w:ascii="Times New Roman" w:cs="Times New Roman" w:eastAsia="Times New Roman" w:hAnsi="Times New Roman"/>
          <w:b/>
          <w:bCs/>
        </w:rPr>
        <w:t xml:space="preserve">next-day</w:t>
      </w:r>
      <w:r>
        <w:rPr>
          <w:rFonts w:ascii="Times New Roman" w:cs="Times New Roman" w:eastAsia="Times New Roman" w:hAnsi="Times New Roman"/>
        </w:rPr>
        <w:t xml:space="preserve"> forecasting skill even though several features are named after 7- to 30-day lags. Second, the cross-commodity block includes each model’s own commodity, so every model sees its own price from the previous day.</w:t>
      </w:r>
    </w:p>
    <w:p>
      <w:pPr>
        <w:spacing w:after="120" w:before="0" w:line="360"/>
        <w:jc w:val="both"/>
      </w:pPr>
      <w:r>
        <w:rPr>
          <w:rFonts w:ascii="Times New Roman" w:cs="Times New Roman" w:eastAsia="Times New Roman" w:hAnsi="Times New Roman"/>
        </w:rPr>
        <w:t xml:space="preserve">For Track B, a compact feature set is built for each horizon </w:t>
      </w:r>
      <w:r>
        <w:rPr>
          <w:rFonts w:ascii="Times New Roman" w:cs="Times New Roman" w:eastAsia="Times New Roman" w:hAnsi="Times New Roman"/>
          <w:i/>
          <w:iCs/>
        </w:rPr>
        <w:t xml:space="preserve">h</w:t>
      </w:r>
      <w:r>
        <w:rPr>
          <w:rFonts w:ascii="Times New Roman" w:cs="Times New Roman" w:eastAsia="Times New Roman" w:hAnsi="Times New Roman"/>
        </w:rPr>
        <w:t xml:space="preserve"> directly from information available at the forecast origin: price at lags 1, 7, 14 and 30 days; 7- and 30-day means and standard deviations; 30-day minimum and maximum; 7-day momentum; and sine–cosine encodings of the target date’s day of year and weekday. Each model is trained only on (feature, target) pairs whose target date is on or before the origin.</w:t>
      </w:r>
    </w:p>
    <w:p>
      <w:pPr>
        <w:pStyle w:val="Heading2"/>
        <w:keepNext/>
        <w:spacing w:after="120" w:before="280"/>
      </w:pPr>
      <w:r>
        <w:rPr>
          <w:rFonts w:ascii="Times New Roman" w:cs="Times New Roman" w:eastAsia="Times New Roman" w:hAnsi="Times New Roman"/>
          <w:b/>
          <w:bCs/>
          <w:sz w:val="26"/>
          <w:szCs w:val="26"/>
        </w:rPr>
        <w:t xml:space="preserve">3.5 Forecasting Models</w:t>
      </w:r>
    </w:p>
    <w:p>
      <w:pPr>
        <w:pStyle w:val="TableCaption"/>
        <w:keepNext/>
        <w:spacing w:after="80" w:before="200" w:line="276"/>
        <w:jc w:val="center"/>
      </w:pPr>
      <w:r>
        <w:rPr>
          <w:rFonts w:ascii="Times New Roman" w:cs="Times New Roman" w:eastAsia="Times New Roman" w:hAnsi="Times New Roman"/>
          <w:b/>
          <w:bCs/>
          <w:sz w:val="22"/>
          <w:szCs w:val="22"/>
        </w:rPr>
        <w:t xml:space="preserve">Table 3.3: </w:t>
      </w:r>
      <w:r>
        <w:rPr>
          <w:rFonts w:ascii="Times New Roman" w:cs="Times New Roman" w:eastAsia="Times New Roman" w:hAnsi="Times New Roman"/>
          <w:sz w:val="22"/>
          <w:szCs w:val="22"/>
        </w:rPr>
        <w:t xml:space="preserve">Models and key settings</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1771"/>
        <w:gridCol w:w="5859"/>
        <w:gridCol w:w="818"/>
      </w:tblGrid>
      <w:tr>
        <w:trPr>
          <w:cantSplit/>
          <w:tblHeader/>
        </w:trPr>
        <w:tc>
          <w:tcPr>
            <w:tcW w:type="dxa" w:w="1771"/>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Model</w:t>
            </w:r>
          </w:p>
        </w:tc>
        <w:tc>
          <w:tcPr>
            <w:tcW w:type="dxa" w:w="585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Specification</w:t>
            </w:r>
          </w:p>
        </w:tc>
        <w:tc>
          <w:tcPr>
            <w:tcW w:type="dxa" w:w="81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Track</w:t>
            </w:r>
          </w:p>
        </w:tc>
      </w:tr>
      <w:tr>
        <w:trPr>
          <w:cantSplit/>
        </w:trPr>
        <w:tc>
          <w:tcPr>
            <w:tcW w:type="dxa" w:w="177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Naive (last value)</w:t>
            </w:r>
          </w:p>
        </w:tc>
        <w:tc>
          <w:tcPr>
            <w:tcW w:type="dxa" w:w="585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Forecast = most recent observed price</w:t>
            </w:r>
          </w:p>
        </w:tc>
        <w:tc>
          <w:tcPr>
            <w:tcW w:type="dxa" w:w="81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A, B</w:t>
            </w:r>
          </w:p>
        </w:tc>
      </w:tr>
      <w:tr>
        <w:trPr>
          <w:cantSplit/>
        </w:trPr>
        <w:tc>
          <w:tcPr>
            <w:tcW w:type="dxa" w:w="177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Seasonal naive (weekly)</w:t>
            </w:r>
          </w:p>
        </w:tc>
        <w:tc>
          <w:tcPr>
            <w:tcW w:type="dxa" w:w="585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Forecast = latest observed price on the target weekday; identical to the naive value at 7- and 14-day horizons</w:t>
            </w:r>
          </w:p>
        </w:tc>
        <w:tc>
          <w:tcPr>
            <w:tcW w:type="dxa" w:w="81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B1</w:t>
            </w:r>
          </w:p>
        </w:tc>
      </w:tr>
      <w:tr>
        <w:trPr>
          <w:cantSplit/>
        </w:trPr>
        <w:tc>
          <w:tcPr>
            <w:tcW w:type="dxa" w:w="177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SARIMA</w:t>
            </w:r>
          </w:p>
        </w:tc>
        <w:tc>
          <w:tcPr>
            <w:tcW w:type="dxa" w:w="585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Grid p∈{1,2}, q∈{0,1}, P,Q∈{0,1}; d from ADF (p&lt;0.05 → d=0); D=1, m=7; best AIC. Track B: (1,1,1)(1,1,1,7)</w:t>
            </w:r>
          </w:p>
        </w:tc>
        <w:tc>
          <w:tcPr>
            <w:tcW w:type="dxa" w:w="81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A, B</w:t>
            </w:r>
          </w:p>
        </w:tc>
      </w:tr>
      <w:tr>
        <w:trPr>
          <w:cantSplit/>
        </w:trPr>
        <w:tc>
          <w:tcPr>
            <w:tcW w:type="dxa" w:w="177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Prophet</w:t>
            </w:r>
          </w:p>
        </w:tc>
        <w:tc>
          <w:tcPr>
            <w:tcW w:type="dxa" w:w="585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Track A: multiplicative yearly and weekly seasonality, Tamil Nadu holiday calendar ±3 days, SW/NE monsoon regressors, changepoint prior 0.05. Track B: yearly and weekly seasonality only</w:t>
            </w:r>
          </w:p>
        </w:tc>
        <w:tc>
          <w:tcPr>
            <w:tcW w:type="dxa" w:w="81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A, B</w:t>
            </w:r>
          </w:p>
        </w:tc>
      </w:tr>
      <w:tr>
        <w:trPr>
          <w:cantSplit/>
        </w:trPr>
        <w:tc>
          <w:tcPr>
            <w:tcW w:type="dxa" w:w="177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Random Forest</w:t>
            </w:r>
          </w:p>
        </w:tc>
        <w:tc>
          <w:tcPr>
            <w:tcW w:type="dxa" w:w="585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300 trees, max depth 10, min leaf 5, max features 0.7 (Track B: 120 trees)</w:t>
            </w:r>
          </w:p>
        </w:tc>
        <w:tc>
          <w:tcPr>
            <w:tcW w:type="dxa" w:w="81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A, B</w:t>
            </w:r>
          </w:p>
        </w:tc>
      </w:tr>
      <w:tr>
        <w:trPr>
          <w:cantSplit/>
        </w:trPr>
        <w:tc>
          <w:tcPr>
            <w:tcW w:type="dxa" w:w="177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XGBoost</w:t>
            </w:r>
          </w:p>
        </w:tc>
        <w:tc>
          <w:tcPr>
            <w:tcW w:type="dxa" w:w="585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400 trees, depth 5, learning rate 0.05, subsample 0.8, L1 0.1, L2 1 (Track B: 100 trees, depth 3)</w:t>
            </w:r>
          </w:p>
        </w:tc>
        <w:tc>
          <w:tcPr>
            <w:tcW w:type="dxa" w:w="81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A, B</w:t>
            </w:r>
          </w:p>
        </w:tc>
      </w:tr>
    </w:tbl>
    <w:p>
      <w:pPr>
        <w:spacing w:after="200" w:before="60" w:line="240"/>
      </w:pPr>
      <w:r>
        <w:rPr>
          <w:rFonts w:ascii="Times New Roman" w:cs="Times New Roman" w:eastAsia="Times New Roman" w:hAnsi="Times New Roman"/>
          <w:i/>
          <w:iCs/>
          <w:sz w:val="18"/>
          <w:szCs w:val="18"/>
        </w:rPr>
        <w:t xml:space="preserve">Source: Author’s analysis.</w:t>
      </w:r>
    </w:p>
    <w:p>
      <w:pPr>
        <w:pStyle w:val="Heading2"/>
        <w:keepNext/>
        <w:spacing w:after="120" w:before="280"/>
      </w:pPr>
      <w:r>
        <w:rPr>
          <w:rFonts w:ascii="Times New Roman" w:cs="Times New Roman" w:eastAsia="Times New Roman" w:hAnsi="Times New Roman"/>
          <w:b/>
          <w:bCs/>
          <w:sz w:val="26"/>
          <w:szCs w:val="26"/>
        </w:rPr>
        <w:t xml:space="preserve">3.6 Evaluation Protocols</w:t>
      </w:r>
    </w:p>
    <w:p>
      <w:pPr>
        <w:spacing w:after="120" w:before="0" w:line="360"/>
        <w:jc w:val="both"/>
      </w:pPr>
      <w:r>
        <w:rPr>
          <w:rFonts w:ascii="Times New Roman" w:cs="Times New Roman" w:eastAsia="Times New Roman" w:hAnsi="Times New Roman"/>
        </w:rPr>
        <w:t xml:space="preserve">Because forecasting is temporal, every evaluation is chronological: models are trained only on data before the test period. Seven protocols were used (Table 3.4). Protocols A1 and A2 follow a standard holdout design; B1 and B2 meet objective S01 with matched origins and horizons; A3 is a robustness check on the information horizon of A2.</w:t>
      </w:r>
    </w:p>
    <w:p>
      <w:pPr>
        <w:pStyle w:val="TableCaption"/>
        <w:keepNext/>
        <w:spacing w:after="80" w:before="200" w:line="276"/>
        <w:jc w:val="center"/>
      </w:pPr>
      <w:r>
        <w:rPr>
          <w:rFonts w:ascii="Times New Roman" w:cs="Times New Roman" w:eastAsia="Times New Roman" w:hAnsi="Times New Roman"/>
          <w:b/>
          <w:bCs/>
          <w:sz w:val="22"/>
          <w:szCs w:val="22"/>
        </w:rPr>
        <w:t xml:space="preserve">Table 3.4: </w:t>
      </w:r>
      <w:r>
        <w:rPr>
          <w:rFonts w:ascii="Times New Roman" w:cs="Times New Roman" w:eastAsia="Times New Roman" w:hAnsi="Times New Roman"/>
          <w:sz w:val="22"/>
          <w:szCs w:val="22"/>
        </w:rPr>
        <w:t xml:space="preserve">Evaluation protocols</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621"/>
        <w:gridCol w:w="1118"/>
        <w:gridCol w:w="4845"/>
        <w:gridCol w:w="1864"/>
      </w:tblGrid>
      <w:tr>
        <w:trPr>
          <w:cantSplit/>
          <w:tblHeader/>
        </w:trPr>
        <w:tc>
          <w:tcPr>
            <w:tcW w:type="dxa" w:w="621"/>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Code</w:t>
            </w:r>
          </w:p>
        </w:tc>
        <w:tc>
          <w:tcPr>
            <w:tcW w:type="dxa" w:w="111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Data</w:t>
            </w:r>
          </w:p>
        </w:tc>
        <w:tc>
          <w:tcPr>
            <w:tcW w:type="dxa" w:w="484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Design</w:t>
            </w:r>
          </w:p>
        </w:tc>
        <w:tc>
          <w:tcPr>
            <w:tcW w:type="dxa" w:w="186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Horizon</w:t>
            </w:r>
          </w:p>
        </w:tc>
      </w:tr>
      <w:tr>
        <w:trPr>
          <w:cantSplit/>
        </w:trPr>
        <w:tc>
          <w:tcPr>
            <w:tcW w:type="dxa" w:w="62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A1</w:t>
            </w:r>
          </w:p>
        </w:tc>
        <w:tc>
          <w:tcPr>
            <w:tcW w:type="dxa" w:w="111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Statewide</w:t>
            </w:r>
          </w:p>
        </w:tc>
        <w:tc>
          <w:tcPr>
            <w:tcW w:type="dxa" w:w="484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Static: train on all but last 90 days, forecast 90 days (SARIMA, Prophet); SARIMA also refitted every 7 days</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1–90 days; 1–7 days (WF)</w:t>
            </w:r>
          </w:p>
        </w:tc>
      </w:tr>
      <w:tr>
        <w:trPr>
          <w:cantSplit/>
        </w:trPr>
        <w:tc>
          <w:tcPr>
            <w:tcW w:type="dxa" w:w="62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A2</w:t>
            </w:r>
          </w:p>
        </w:tc>
        <w:tc>
          <w:tcPr>
            <w:tcW w:type="dxa" w:w="111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Statewide</w:t>
            </w:r>
          </w:p>
        </w:tc>
        <w:tc>
          <w:tcPr>
            <w:tcW w:type="dxa" w:w="484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Last 90 days, expanding window refitted every 30 days (RF, XGBoost)</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Next day</w:t>
            </w:r>
          </w:p>
        </w:tc>
      </w:tr>
      <w:tr>
        <w:trPr>
          <w:cantSplit/>
        </w:trPr>
        <w:tc>
          <w:tcPr>
            <w:tcW w:type="dxa" w:w="62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A3</w:t>
            </w:r>
          </w:p>
        </w:tc>
        <w:tc>
          <w:tcPr>
            <w:tcW w:type="dxa" w:w="111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Statewide</w:t>
            </w:r>
          </w:p>
        </w:tc>
        <w:tc>
          <w:tcPr>
            <w:tcW w:type="dxa" w:w="484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A2 repeated with naive benchmarks and with features rebuilt from t-7 and earlier</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Next day vs strict 7 days</w:t>
            </w:r>
          </w:p>
        </w:tc>
      </w:tr>
      <w:tr>
        <w:trPr>
          <w:cantSplit/>
        </w:trPr>
        <w:tc>
          <w:tcPr>
            <w:tcW w:type="dxa" w:w="62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B1</w:t>
            </w:r>
          </w:p>
        </w:tc>
        <w:tc>
          <w:tcPr>
            <w:tcW w:type="dxa" w:w="111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Koyambedu</w:t>
            </w:r>
          </w:p>
        </w:tc>
        <w:tc>
          <w:tcPr>
            <w:tcW w:type="dxa" w:w="484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7 origins (1 Jan 2025 to 1 Jul 2026, quarterly), 6 methods, direct forecasts</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7, 14, 30 days</w:t>
            </w:r>
          </w:p>
        </w:tc>
      </w:tr>
      <w:tr>
        <w:trPr>
          <w:cantSplit/>
        </w:trPr>
        <w:tc>
          <w:tcPr>
            <w:tcW w:type="dxa" w:w="62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B2</w:t>
            </w:r>
          </w:p>
        </w:tc>
        <w:tc>
          <w:tcPr>
            <w:tcW w:type="dxa" w:w="111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Koyambedu</w:t>
            </w:r>
          </w:p>
        </w:tc>
        <w:tc>
          <w:tcPr>
            <w:tcW w:type="dxa" w:w="484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4 origins (23 Aug 2025 to 18 Aug 2026, 120-day spacing), 5 methods</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7, 14, 30 days</w:t>
            </w:r>
          </w:p>
        </w:tc>
      </w:tr>
      <w:tr>
        <w:trPr>
          <w:cantSplit/>
        </w:trPr>
        <w:tc>
          <w:tcPr>
            <w:tcW w:type="dxa" w:w="62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C1</w:t>
            </w:r>
          </w:p>
        </w:tc>
        <w:tc>
          <w:tcPr>
            <w:tcW w:type="dxa" w:w="111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Koyambedu</w:t>
            </w:r>
          </w:p>
        </w:tc>
        <w:tc>
          <w:tcPr>
            <w:tcW w:type="dxa" w:w="484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Delta-accuracy test: XGBoost on price features only vs with weather context; 27 weekly origins over a six-month holdout (Apr–Sep 2026)</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7, 14, 30 days</w:t>
            </w:r>
          </w:p>
        </w:tc>
      </w:tr>
      <w:tr>
        <w:trPr>
          <w:cantSplit/>
        </w:trPr>
        <w:tc>
          <w:tcPr>
            <w:tcW w:type="dxa" w:w="62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C2</w:t>
            </w:r>
          </w:p>
        </w:tc>
        <w:tc>
          <w:tcPr>
            <w:tcW w:type="dxa" w:w="111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Koyambedu</w:t>
            </w:r>
          </w:p>
        </w:tc>
        <w:tc>
          <w:tcPr>
            <w:tcW w:type="dxa" w:w="484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Tomato 2023 scenario: 13 weekly origins, 1 Apr to 24 Jun 2023, model retrained at each origin</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14 and 30 days</w:t>
            </w:r>
          </w:p>
        </w:tc>
      </w:tr>
    </w:tbl>
    <w:p>
      <w:pPr>
        <w:spacing w:after="200" w:before="60" w:line="240"/>
      </w:pPr>
      <w:r>
        <w:rPr>
          <w:rFonts w:ascii="Times New Roman" w:cs="Times New Roman" w:eastAsia="Times New Roman" w:hAnsi="Times New Roman"/>
          <w:i/>
          <w:iCs/>
          <w:sz w:val="18"/>
          <w:szCs w:val="18"/>
        </w:rPr>
        <w:t xml:space="preserve">Source: Author’s analysis.</w:t>
      </w:r>
    </w:p>
    <w:p>
      <w:pPr>
        <w:pStyle w:val="Heading2"/>
        <w:keepNext/>
        <w:spacing w:after="120" w:before="280"/>
      </w:pPr>
      <w:r>
        <w:rPr>
          <w:rFonts w:ascii="Times New Roman" w:cs="Times New Roman" w:eastAsia="Times New Roman" w:hAnsi="Times New Roman"/>
          <w:b/>
          <w:bCs/>
          <w:sz w:val="26"/>
          <w:szCs w:val="26"/>
        </w:rPr>
        <w:t xml:space="preserve">3.7 Statistical Tools and Accuracy Measures</w:t>
      </w:r>
    </w:p>
    <w:p>
      <w:pPr>
        <w:spacing w:after="120" w:before="0" w:line="360"/>
        <w:jc w:val="both"/>
      </w:pPr>
      <w:r>
        <w:rPr>
          <w:rFonts w:ascii="Times New Roman" w:cs="Times New Roman" w:eastAsia="Times New Roman" w:hAnsi="Times New Roman"/>
        </w:rPr>
        <w:t xml:space="preserve">With </w:t>
      </w:r>
      <w:r>
        <w:rPr>
          <w:rFonts w:ascii="Times New Roman" w:cs="Times New Roman" w:eastAsia="Times New Roman" w:hAnsi="Times New Roman"/>
          <w:i/>
          <w:iCs/>
        </w:rPr>
        <w:t xml:space="preserve">y</w:t>
      </w:r>
      <w:r>
        <w:rPr>
          <w:rFonts w:ascii="Times New Roman" w:cs="Times New Roman" w:eastAsia="Times New Roman" w:hAnsi="Times New Roman"/>
        </w:rPr>
        <w:t xml:space="preserve"> the actual and </w:t>
      </w:r>
      <w:r>
        <w:rPr>
          <w:rFonts w:ascii="Times New Roman" w:cs="Times New Roman" w:eastAsia="Times New Roman" w:hAnsi="Times New Roman"/>
          <w:i/>
          <w:iCs/>
        </w:rPr>
        <w:t xml:space="preserve">ŷ</w:t>
      </w:r>
      <w:r>
        <w:rPr>
          <w:rFonts w:ascii="Times New Roman" w:cs="Times New Roman" w:eastAsia="Times New Roman" w:hAnsi="Times New Roman"/>
        </w:rPr>
        <w:t xml:space="preserve"> the forecast price over </w:t>
      </w:r>
      <w:r>
        <w:rPr>
          <w:rFonts w:ascii="Times New Roman" w:cs="Times New Roman" w:eastAsia="Times New Roman" w:hAnsi="Times New Roman"/>
          <w:i/>
          <w:iCs/>
        </w:rPr>
        <w:t xml:space="preserve">n</w:t>
      </w:r>
      <w:r>
        <w:rPr>
          <w:rFonts w:ascii="Times New Roman" w:cs="Times New Roman" w:eastAsia="Times New Roman" w:hAnsi="Times New Roman"/>
        </w:rPr>
        <w:t xml:space="preserve"> scored points, the following measures are reported:</w:t>
      </w:r>
    </w:p>
    <w:p>
      <w:pPr>
        <w:pStyle w:val="ListParagraph"/>
        <w:numPr>
          <w:ilvl w:val="0"/>
          <w:numId w:val="4"/>
        </w:numPr>
        <w:spacing w:after="60" w:line="360"/>
        <w:jc w:val="both"/>
      </w:pPr>
      <w:r>
        <w:rPr>
          <w:rFonts w:ascii="Times New Roman" w:cs="Times New Roman" w:eastAsia="Times New Roman" w:hAnsi="Times New Roman"/>
          <w:b/>
          <w:bCs/>
        </w:rPr>
        <w:t xml:space="preserve">MAE</w:t>
      </w:r>
      <w:r>
        <w:rPr>
          <w:rFonts w:ascii="Times New Roman" w:cs="Times New Roman" w:eastAsia="Times New Roman" w:hAnsi="Times New Roman"/>
        </w:rPr>
        <w:t xml:space="preserve"> = (1/n) Σ |y − ŷ|, in the price unit (₹/quintal or ₹/kg).</w:t>
      </w:r>
    </w:p>
    <w:p>
      <w:pPr>
        <w:pStyle w:val="ListParagraph"/>
        <w:numPr>
          <w:ilvl w:val="0"/>
          <w:numId w:val="4"/>
        </w:numPr>
        <w:spacing w:after="60" w:line="360"/>
        <w:jc w:val="both"/>
      </w:pPr>
      <w:r>
        <w:rPr>
          <w:rFonts w:ascii="Times New Roman" w:cs="Times New Roman" w:eastAsia="Times New Roman" w:hAnsi="Times New Roman"/>
          <w:b/>
          <w:bCs/>
        </w:rPr>
        <w:t xml:space="preserve">RMSE</w:t>
      </w:r>
      <w:r>
        <w:rPr>
          <w:rFonts w:ascii="Times New Roman" w:cs="Times New Roman" w:eastAsia="Times New Roman" w:hAnsi="Times New Roman"/>
        </w:rPr>
        <w:t xml:space="preserve"> = √[(1/n) Σ (y − ŷ)²], which penalises large misses more heavily.</w:t>
      </w:r>
    </w:p>
    <w:p>
      <w:pPr>
        <w:pStyle w:val="ListParagraph"/>
        <w:numPr>
          <w:ilvl w:val="0"/>
          <w:numId w:val="4"/>
        </w:numPr>
        <w:spacing w:after="60" w:line="360"/>
        <w:jc w:val="both"/>
      </w:pPr>
      <w:r>
        <w:rPr>
          <w:rFonts w:ascii="Times New Roman" w:cs="Times New Roman" w:eastAsia="Times New Roman" w:hAnsi="Times New Roman"/>
          <w:b/>
          <w:bCs/>
        </w:rPr>
        <w:t xml:space="preserve">MAPE</w:t>
      </w:r>
      <w:r>
        <w:rPr>
          <w:rFonts w:ascii="Times New Roman" w:cs="Times New Roman" w:eastAsia="Times New Roman" w:hAnsi="Times New Roman"/>
        </w:rPr>
        <w:t xml:space="preserve"> = (100/n) Σ |y − ŷ| / |y|; intuitive but inflated when prices are low.</w:t>
      </w:r>
    </w:p>
    <w:p>
      <w:pPr>
        <w:pStyle w:val="ListParagraph"/>
        <w:numPr>
          <w:ilvl w:val="0"/>
          <w:numId w:val="4"/>
        </w:numPr>
        <w:spacing w:after="60" w:line="360"/>
        <w:jc w:val="both"/>
      </w:pPr>
      <w:r>
        <w:rPr>
          <w:rFonts w:ascii="Times New Roman" w:cs="Times New Roman" w:eastAsia="Times New Roman" w:hAnsi="Times New Roman"/>
          <w:b/>
          <w:bCs/>
        </w:rPr>
        <w:t xml:space="preserve">WAPE</w:t>
      </w:r>
      <w:r>
        <w:rPr>
          <w:rFonts w:ascii="Times New Roman" w:cs="Times New Roman" w:eastAsia="Times New Roman" w:hAnsi="Times New Roman"/>
        </w:rPr>
        <w:t xml:space="preserve"> = 100 × Σ |y − ŷ| / Σ |y|; the primary pooled measure for Track B because it weights errors by price level.</w:t>
      </w:r>
    </w:p>
    <w:p>
      <w:pPr>
        <w:pStyle w:val="ListParagraph"/>
        <w:numPr>
          <w:ilvl w:val="0"/>
          <w:numId w:val="4"/>
        </w:numPr>
        <w:spacing w:after="60" w:line="360"/>
        <w:jc w:val="both"/>
      </w:pPr>
      <w:r>
        <w:rPr>
          <w:rFonts w:ascii="Times New Roman" w:cs="Times New Roman" w:eastAsia="Times New Roman" w:hAnsi="Times New Roman"/>
          <w:b/>
          <w:bCs/>
        </w:rPr>
        <w:t xml:space="preserve">sMAPE</w:t>
      </w:r>
      <w:r>
        <w:rPr>
          <w:rFonts w:ascii="Times New Roman" w:cs="Times New Roman" w:eastAsia="Times New Roman" w:hAnsi="Times New Roman"/>
        </w:rPr>
        <w:t xml:space="preserve"> = (100/n) Σ 2|y − ŷ| / (|y| + |ŷ|).</w:t>
      </w:r>
    </w:p>
    <w:p>
      <w:pPr>
        <w:pStyle w:val="ListParagraph"/>
        <w:numPr>
          <w:ilvl w:val="0"/>
          <w:numId w:val="4"/>
        </w:numPr>
        <w:spacing w:after="60" w:line="360"/>
        <w:jc w:val="both"/>
      </w:pPr>
      <w:r>
        <w:rPr>
          <w:rFonts w:ascii="Times New Roman" w:cs="Times New Roman" w:eastAsia="Times New Roman" w:hAnsi="Times New Roman"/>
          <w:b/>
          <w:bCs/>
        </w:rPr>
        <w:t xml:space="preserve">Diebold–Mariano (DM) test</w:t>
      </w:r>
      <w:r>
        <w:rPr>
          <w:rFonts w:ascii="Times New Roman" w:cs="Times New Roman" w:eastAsia="Times New Roman" w:hAnsi="Times New Roman"/>
        </w:rPr>
        <w:t xml:space="preserve">: tests whether two forecasts have equal expected absolute error, using the mean loss difference with HAC standard errors; used for the delta-accuracy test (protocol C1).</w:t>
      </w:r>
    </w:p>
    <w:p>
      <w:pPr>
        <w:spacing w:after="120" w:before="0" w:line="360"/>
        <w:jc w:val="both"/>
      </w:pPr>
      <w:r>
        <w:rPr>
          <w:rFonts w:ascii="Times New Roman" w:cs="Times New Roman" w:eastAsia="Times New Roman" w:hAnsi="Times New Roman"/>
        </w:rPr>
        <w:t xml:space="preserve">Other tools used are: the </w:t>
      </w:r>
      <w:r>
        <w:rPr>
          <w:rFonts w:ascii="Times New Roman" w:cs="Times New Roman" w:eastAsia="Times New Roman" w:hAnsi="Times New Roman"/>
          <w:b/>
          <w:bCs/>
        </w:rPr>
        <w:t xml:space="preserve">ADF test</w:t>
      </w:r>
      <w:r>
        <w:rPr>
          <w:rFonts w:ascii="Times New Roman" w:cs="Times New Roman" w:eastAsia="Times New Roman" w:hAnsi="Times New Roman"/>
        </w:rPr>
        <w:t xml:space="preserve"> for stationarity (null hypothesis: unit root); </w:t>
      </w:r>
      <w:r>
        <w:rPr>
          <w:rFonts w:ascii="Times New Roman" w:cs="Times New Roman" w:eastAsia="Times New Roman" w:hAnsi="Times New Roman"/>
          <w:b/>
          <w:bCs/>
        </w:rPr>
        <w:t xml:space="preserve">AIC</w:t>
      </w:r>
      <w:r>
        <w:rPr>
          <w:rFonts w:ascii="Times New Roman" w:cs="Times New Roman" w:eastAsia="Times New Roman" w:hAnsi="Times New Roman"/>
        </w:rPr>
        <w:t xml:space="preserve"> for SARIMA order selection; </w:t>
      </w:r>
      <w:r>
        <w:rPr>
          <w:rFonts w:ascii="Times New Roman" w:cs="Times New Roman" w:eastAsia="Times New Roman" w:hAnsi="Times New Roman"/>
          <w:b/>
          <w:bCs/>
        </w:rPr>
        <w:t xml:space="preserve">rolling z-scores</w:t>
      </w:r>
      <w:r>
        <w:rPr>
          <w:rFonts w:ascii="Times New Roman" w:cs="Times New Roman" w:eastAsia="Times New Roman" w:hAnsi="Times New Roman"/>
        </w:rPr>
        <w:t xml:space="preserve"> (|z| &gt; 2.5 over 30 days) for anomaly screening; </w:t>
      </w:r>
      <w:r>
        <w:rPr>
          <w:rFonts w:ascii="Times New Roman" w:cs="Times New Roman" w:eastAsia="Times New Roman" w:hAnsi="Times New Roman"/>
          <w:b/>
          <w:bCs/>
        </w:rPr>
        <w:t xml:space="preserve">Pearson correlation</w:t>
      </w:r>
      <w:r>
        <w:rPr>
          <w:rFonts w:ascii="Times New Roman" w:cs="Times New Roman" w:eastAsia="Times New Roman" w:hAnsi="Times New Roman"/>
        </w:rPr>
        <w:t xml:space="preserve"> of monthly medians; a </w:t>
      </w:r>
      <w:r>
        <w:rPr>
          <w:rFonts w:ascii="Times New Roman" w:cs="Times New Roman" w:eastAsia="Times New Roman" w:hAnsi="Times New Roman"/>
          <w:b/>
          <w:bCs/>
        </w:rPr>
        <w:t xml:space="preserve">seasonal price index</w:t>
      </w:r>
      <w:r>
        <w:rPr>
          <w:rFonts w:ascii="Times New Roman" w:cs="Times New Roman" w:eastAsia="Times New Roman" w:hAnsi="Times New Roman"/>
        </w:rPr>
        <w:t xml:space="preserve"> (monthly median ÷ annual mean × 100); </w:t>
      </w:r>
      <w:r>
        <w:rPr>
          <w:rFonts w:ascii="Times New Roman" w:cs="Times New Roman" w:eastAsia="Times New Roman" w:hAnsi="Times New Roman"/>
          <w:b/>
          <w:bCs/>
        </w:rPr>
        <w:t xml:space="preserve">SHAP</w:t>
      </w:r>
      <w:r>
        <w:rPr>
          <w:rFonts w:ascii="Times New Roman" w:cs="Times New Roman" w:eastAsia="Times New Roman" w:hAnsi="Times New Roman"/>
        </w:rPr>
        <w:t xml:space="preserve"> values for model attribution; and </w:t>
      </w:r>
      <w:r>
        <w:rPr>
          <w:rFonts w:ascii="Times New Roman" w:cs="Times New Roman" w:eastAsia="Times New Roman" w:hAnsi="Times New Roman"/>
          <w:b/>
          <w:bCs/>
        </w:rPr>
        <w:t xml:space="preserve">OLS regression with HAC (Newey–West) standard errors</w:t>
      </w:r>
      <w:r>
        <w:rPr>
          <w:rFonts w:ascii="Times New Roman" w:cs="Times New Roman" w:eastAsia="Times New Roman" w:hAnsi="Times New Roman"/>
        </w:rPr>
        <w:t xml:space="preserve"> with seven lags for the monsoon test. The monsoon model, estimated per commodity on Koyambedu data, is:</w:t>
      </w:r>
    </w:p>
    <w:p>
      <w:pPr>
        <w:spacing w:after="120" w:before="0" w:line="360"/>
        <w:jc w:val="center"/>
      </w:pPr>
      <w:r>
        <w:rPr>
          <w:rFonts w:ascii="Times New Roman" w:cs="Times New Roman" w:eastAsia="Times New Roman" w:hAnsi="Times New Roman"/>
          <w:i/>
          <w:iCs/>
        </w:rPr>
        <w:t xml:space="preserve">R(t, t+7) = β₀ + β₁ · RainAnomaly₇(t) + β₂ · Momentum₇(t) + ε(t)</w:t>
      </w:r>
    </w:p>
    <w:p>
      <w:pPr>
        <w:spacing w:after="120" w:before="0" w:line="360"/>
        <w:jc w:val="both"/>
      </w:pPr>
      <w:r>
        <w:rPr>
          <w:rFonts w:ascii="Times New Roman" w:cs="Times New Roman" w:eastAsia="Times New Roman" w:hAnsi="Times New Roman"/>
        </w:rPr>
        <w:t xml:space="preserve">where </w:t>
      </w:r>
      <w:r>
        <w:rPr>
          <w:rFonts w:ascii="Times New Roman" w:cs="Times New Roman" w:eastAsia="Times New Roman" w:hAnsi="Times New Roman"/>
          <w:i/>
          <w:iCs/>
        </w:rPr>
        <w:t xml:space="preserve">R</w:t>
      </w:r>
      <w:r>
        <w:rPr>
          <w:rFonts w:ascii="Times New Roman" w:cs="Times New Roman" w:eastAsia="Times New Roman" w:hAnsi="Times New Roman"/>
        </w:rPr>
        <w:t xml:space="preserve"> is the forward seven-day log price change (%), </w:t>
      </w:r>
      <w:r>
        <w:rPr>
          <w:rFonts w:ascii="Times New Roman" w:cs="Times New Roman" w:eastAsia="Times New Roman" w:hAnsi="Times New Roman"/>
          <w:i/>
          <w:iCs/>
        </w:rPr>
        <w:t xml:space="preserve">RainAnomaly₇</w:t>
      </w:r>
      <w:r>
        <w:rPr>
          <w:rFonts w:ascii="Times New Roman" w:cs="Times New Roman" w:eastAsia="Times New Roman" w:hAnsi="Times New Roman"/>
        </w:rPr>
        <w:t xml:space="preserve"> is the seven-day average of daily rainfall expressed as a z-score relative to other days of the same month in the weather record, and </w:t>
      </w:r>
      <w:r>
        <w:rPr>
          <w:rFonts w:ascii="Times New Roman" w:cs="Times New Roman" w:eastAsia="Times New Roman" w:hAnsi="Times New Roman"/>
          <w:i/>
          <w:iCs/>
        </w:rPr>
        <w:t xml:space="preserve">Momentum₇</w:t>
      </w:r>
      <w:r>
        <w:rPr>
          <w:rFonts w:ascii="Times New Roman" w:cs="Times New Roman" w:eastAsia="Times New Roman" w:hAnsi="Times New Roman"/>
        </w:rPr>
        <w:t xml:space="preserve"> is the prior seven-day log price change (%). H2 is supported if β₁ is significant at the 5% level. As the proposal specified, the monsoon effect is also ranked against price-lag features using SHAP, with a </w:t>
      </w:r>
      <w:r>
        <w:rPr>
          <w:rFonts w:ascii="Times New Roman" w:cs="Times New Roman" w:eastAsia="Times New Roman" w:hAnsi="Times New Roman"/>
          <w:b/>
          <w:bCs/>
        </w:rPr>
        <w:t xml:space="preserve">Northeast Monsoon deviation index</w:t>
      </w:r>
      <w:r>
        <w:rPr>
          <w:rFonts w:ascii="Times New Roman" w:cs="Times New Roman" w:eastAsia="Times New Roman" w:hAnsi="Times New Roman"/>
        </w:rPr>
        <w:t xml:space="preserve"> defined as the 30-day rainfall total standardised against the same calendar month, set to zero outside October–December.</w:t>
      </w:r>
    </w:p>
    <w:p>
      <w:pPr>
        <w:pStyle w:val="Heading2"/>
        <w:keepNext/>
        <w:spacing w:after="120" w:before="280"/>
      </w:pPr>
      <w:r>
        <w:rPr>
          <w:rFonts w:ascii="Times New Roman" w:cs="Times New Roman" w:eastAsia="Times New Roman" w:hAnsi="Times New Roman"/>
          <w:b/>
          <w:bCs/>
          <w:sz w:val="26"/>
          <w:szCs w:val="26"/>
        </w:rPr>
        <w:t xml:space="preserve">3.8 Multi-Agent Decision Layer</w:t>
      </w:r>
    </w:p>
    <w:p>
      <w:pPr>
        <w:spacing w:after="120" w:before="0" w:line="360"/>
        <w:jc w:val="both"/>
      </w:pPr>
      <w:r>
        <w:rPr>
          <w:rFonts w:ascii="Times New Roman" w:cs="Times New Roman" w:eastAsia="Times New Roman" w:hAnsi="Times New Roman"/>
        </w:rPr>
        <w:t xml:space="preserve">Two implementations of the decision layer were built. The </w:t>
      </w:r>
      <w:r>
        <w:rPr>
          <w:rFonts w:ascii="Times New Roman" w:cs="Times New Roman" w:eastAsia="Times New Roman" w:hAnsi="Times New Roman"/>
          <w:b/>
          <w:bCs/>
        </w:rPr>
        <w:t xml:space="preserve">deterministic agent pipeline</w:t>
      </w:r>
      <w:r>
        <w:rPr>
          <w:rFonts w:ascii="Times New Roman" w:cs="Times New Roman" w:eastAsia="Times New Roman" w:hAnsi="Times New Roman"/>
        </w:rPr>
        <w:t xml:space="preserve"> runs four agents in sequence: a </w:t>
      </w:r>
      <w:r>
        <w:rPr>
          <w:rFonts w:ascii="Times New Roman" w:cs="Times New Roman" w:eastAsia="Times New Roman" w:hAnsi="Times New Roman"/>
          <w:b/>
          <w:bCs/>
        </w:rPr>
        <w:t xml:space="preserve">Data Analyst</w:t>
      </w:r>
      <w:r>
        <w:rPr>
          <w:rFonts w:ascii="Times New Roman" w:cs="Times New Roman" w:eastAsia="Times New Roman" w:hAnsi="Times New Roman"/>
        </w:rPr>
        <w:t xml:space="preserve"> computing 30-day mean, standard deviation, coefficient of variation, z-score of the latest price and seven-day trend; a </w:t>
      </w:r>
      <w:r>
        <w:rPr>
          <w:rFonts w:ascii="Times New Roman" w:cs="Times New Roman" w:eastAsia="Times New Roman" w:hAnsi="Times New Roman"/>
          <w:b/>
          <w:bCs/>
        </w:rPr>
        <w:t xml:space="preserve">Price Forecaster</w:t>
      </w:r>
      <w:r>
        <w:rPr>
          <w:rFonts w:ascii="Times New Roman" w:cs="Times New Roman" w:eastAsia="Times New Roman" w:hAnsi="Times New Roman"/>
        </w:rPr>
        <w:t xml:space="preserve"> producing 7- and 14-day forecasts from the selected tree model; a </w:t>
      </w:r>
      <w:r>
        <w:rPr>
          <w:rFonts w:ascii="Times New Roman" w:cs="Times New Roman" w:eastAsia="Times New Roman" w:hAnsi="Times New Roman"/>
          <w:b/>
          <w:bCs/>
        </w:rPr>
        <w:t xml:space="preserve">Market Intelligence</w:t>
      </w:r>
      <w:r>
        <w:rPr>
          <w:rFonts w:ascii="Times New Roman" w:cs="Times New Roman" w:eastAsia="Times New Roman" w:hAnsi="Times New Roman"/>
        </w:rPr>
        <w:t xml:space="preserve"> agent computing a risk score; and a </w:t>
      </w:r>
      <w:r>
        <w:rPr>
          <w:rFonts w:ascii="Times New Roman" w:cs="Times New Roman" w:eastAsia="Times New Roman" w:hAnsi="Times New Roman"/>
          <w:b/>
          <w:bCs/>
        </w:rPr>
        <w:t xml:space="preserve">Procurement Advisor</w:t>
      </w:r>
      <w:r>
        <w:rPr>
          <w:rFonts w:ascii="Times New Roman" w:cs="Times New Roman" w:eastAsia="Times New Roman" w:hAnsi="Times New Roman"/>
        </w:rPr>
        <w:t xml:space="preserve"> mapping forecast change and risk to an action. The </w:t>
      </w:r>
      <w:r>
        <w:rPr>
          <w:rFonts w:ascii="Times New Roman" w:cs="Times New Roman" w:eastAsia="Times New Roman" w:hAnsi="Times New Roman"/>
          <w:b/>
          <w:bCs/>
        </w:rPr>
        <w:t xml:space="preserve">four-role pipeline</w:t>
      </w:r>
      <w:r>
        <w:rPr>
          <w:rFonts w:ascii="Times New Roman" w:cs="Times New Roman" w:eastAsia="Times New Roman" w:hAnsi="Times New Roman"/>
        </w:rPr>
        <w:t xml:space="preserve"> implements the four roles named in the proposal (Data Collector, Price Forecaster, News Reader and Report Writer), produces recursive day-by-day forecasts, adds a </w:t>
      </w:r>
      <w:r>
        <w:rPr>
          <w:rFonts w:ascii="Times New Roman" w:cs="Times New Roman" w:eastAsia="Times New Roman" w:hAnsi="Times New Roman"/>
          <w:b/>
          <w:bCs/>
        </w:rPr>
        <w:t xml:space="preserve">freshness gate</w:t>
      </w:r>
      <w:r>
        <w:rPr>
          <w:rFonts w:ascii="Times New Roman" w:cs="Times New Roman" w:eastAsia="Times New Roman" w:hAnsi="Times New Roman"/>
        </w:rPr>
        <w:t xml:space="preserve"> that abstains when prices are more than three days old, and can optionally fetch a live weather forecast, filter PIB news and call a locally hosted language model. The rules are shown in Table 3.5.</w:t>
      </w:r>
    </w:p>
    <w:p>
      <w:pPr>
        <w:pStyle w:val="TableCaption"/>
        <w:keepNext/>
        <w:spacing w:after="80" w:before="200" w:line="276"/>
        <w:jc w:val="center"/>
      </w:pPr>
      <w:r>
        <w:rPr>
          <w:rFonts w:ascii="Times New Roman" w:cs="Times New Roman" w:eastAsia="Times New Roman" w:hAnsi="Times New Roman"/>
          <w:b/>
          <w:bCs/>
          <w:sz w:val="22"/>
          <w:szCs w:val="22"/>
        </w:rPr>
        <w:t xml:space="preserve">Table 3.5: </w:t>
      </w:r>
      <w:r>
        <w:rPr>
          <w:rFonts w:ascii="Times New Roman" w:cs="Times New Roman" w:eastAsia="Times New Roman" w:hAnsi="Times New Roman"/>
          <w:sz w:val="22"/>
          <w:szCs w:val="22"/>
        </w:rPr>
        <w:t xml:space="preserve">Risk and procurement decision rules</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2180"/>
        <w:gridCol w:w="6268"/>
      </w:tblGrid>
      <w:tr>
        <w:trPr>
          <w:cantSplit/>
          <w:tblHeader/>
        </w:trPr>
        <w:tc>
          <w:tcPr>
            <w:tcW w:type="dxa" w:w="218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Element</w:t>
            </w:r>
          </w:p>
        </w:tc>
        <w:tc>
          <w:tcPr>
            <w:tcW w:type="dxa" w:w="626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Rule</w:t>
            </w:r>
          </w:p>
        </w:tc>
      </w:tr>
      <w:tr>
        <w:trPr>
          <w:cantSplit/>
        </w:trPr>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Risk score</w:t>
            </w:r>
          </w:p>
        </w:tc>
        <w:tc>
          <w:tcPr>
            <w:tcW w:type="dxa" w:w="62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min(100, 120 × CV₃₀ + 12 × |z₃₀| + 1.2 × |Δ₁₄|), where Δ₁₄ is the 14-day forecast change (%)</w:t>
            </w:r>
          </w:p>
        </w:tc>
      </w:tr>
      <w:tr>
        <w:trPr>
          <w:cantSplit/>
        </w:trPr>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Risk level</w:t>
            </w:r>
          </w:p>
        </w:tc>
        <w:tc>
          <w:tcPr>
            <w:tcW w:type="dxa" w:w="62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HIGH if score ≥ 55; MEDIUM if ≥ 28; otherwise LOW</w:t>
            </w:r>
          </w:p>
        </w:tc>
      </w:tr>
      <w:tr>
        <w:trPr>
          <w:cantSplit/>
        </w:trPr>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PROCURE NOW</w:t>
            </w:r>
          </w:p>
        </w:tc>
        <w:tc>
          <w:tcPr>
            <w:tcW w:type="dxa" w:w="62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Δ₁₄ &gt; +5% and risk not HIGH → buy 70–100% within 1–2 days</w:t>
            </w:r>
          </w:p>
        </w:tc>
      </w:tr>
      <w:tr>
        <w:trPr>
          <w:cantSplit/>
        </w:trPr>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DELAY PROCUREMENT</w:t>
            </w:r>
          </w:p>
        </w:tc>
        <w:tc>
          <w:tcPr>
            <w:tcW w:type="dxa" w:w="62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Δ₁₄ &lt; −5% → defer discretionary volume; reassess in 7 days</w:t>
            </w:r>
          </w:p>
        </w:tc>
      </w:tr>
      <w:tr>
        <w:trPr>
          <w:cantSplit/>
        </w:trPr>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PARTIAL PROCUREMENT</w:t>
            </w:r>
          </w:p>
        </w:tc>
        <w:tc>
          <w:tcPr>
            <w:tcW w:type="dxa" w:w="62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risk HIGH (and not DELAY) → buy 25–50%, split over 7–14 days</w:t>
            </w:r>
          </w:p>
        </w:tc>
      </w:tr>
      <w:tr>
        <w:trPr>
          <w:cantSplit/>
        </w:trPr>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HEDGE</w:t>
            </w:r>
          </w:p>
        </w:tc>
        <w:tc>
          <w:tcPr>
            <w:tcW w:type="dxa" w:w="62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|Δ₁₄| &gt; 3% → buy 25–50%, split over 7–14 days</w:t>
            </w:r>
          </w:p>
        </w:tc>
      </w:tr>
      <w:tr>
        <w:trPr>
          <w:cantSplit/>
        </w:trPr>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HOLD</w:t>
            </w:r>
          </w:p>
        </w:tc>
        <w:tc>
          <w:tcPr>
            <w:tcW w:type="dxa" w:w="62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otherwise → normal replenishment</w:t>
            </w:r>
          </w:p>
        </w:tc>
      </w:tr>
      <w:tr>
        <w:trPr>
          <w:cantSplit/>
        </w:trPr>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Freshness gate (four-role pipeline)</w:t>
            </w:r>
          </w:p>
        </w:tc>
        <w:tc>
          <w:tcPr>
            <w:tcW w:type="dxa" w:w="62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If latest price is more than 3 days old → ABSTAIN_STALE_DATA for every commodity</w:t>
            </w:r>
          </w:p>
        </w:tc>
      </w:tr>
    </w:tbl>
    <w:p>
      <w:pPr>
        <w:spacing w:after="200" w:before="60" w:line="240"/>
      </w:pPr>
      <w:r>
        <w:rPr>
          <w:rFonts w:ascii="Times New Roman" w:cs="Times New Roman" w:eastAsia="Times New Roman" w:hAnsi="Times New Roman"/>
          <w:i/>
          <w:iCs/>
          <w:sz w:val="18"/>
          <w:szCs w:val="18"/>
        </w:rPr>
        <w:t xml:space="preserve">Source: Author’s analysis.</w:t>
      </w:r>
    </w:p>
    <w:p>
      <w:pPr>
        <w:pStyle w:val="Heading2"/>
        <w:keepNext/>
        <w:spacing w:after="120" w:before="280"/>
      </w:pPr>
      <w:r>
        <w:rPr>
          <w:rFonts w:ascii="Times New Roman" w:cs="Times New Roman" w:eastAsia="Times New Roman" w:hAnsi="Times New Roman"/>
          <w:b/>
          <w:bCs/>
          <w:sz w:val="26"/>
          <w:szCs w:val="26"/>
        </w:rPr>
        <w:t xml:space="preserve">3.9 Procurement Backtest Design</w:t>
      </w:r>
    </w:p>
    <w:p>
      <w:pPr>
        <w:spacing w:after="120" w:before="0" w:line="360"/>
        <w:jc w:val="both"/>
      </w:pPr>
      <w:r>
        <w:rPr>
          <w:rFonts w:ascii="Times New Roman" w:cs="Times New Roman" w:eastAsia="Times New Roman" w:hAnsi="Times New Roman"/>
        </w:rPr>
        <w:t xml:space="preserve">The backtest applies the rules in Table 3.5 to the stored 14-day XGBoost forecasts from protocol B1 (8 commodities × 7 origins = 56 cases). Each case is a fixed 100 kg lot. The baseline purchases all 100 kg on the forecast date. PROCURE NOW and HOLD do the same; DELAY purchases all of it fourteen days later at the price then observed; PARTIAL PROCUREMENT and HEDGE buy half at the origin and half at day 14. The result is the baseline cost minus the advice cost, so a positive value means the advice was cheaper. The same logic is applied to the 2023 tomato case, at 13 weekly origins from 1 April to 24 June 2023, with a 14-day XGBoost model retrained at each origin on data available up to that date. Storage, transport, spoilage, quality and stockout costs are excluded.</w:t>
      </w:r>
    </w:p>
    <w:p>
      <w:pPr>
        <w:pStyle w:val="Heading2"/>
        <w:keepNext/>
        <w:spacing w:after="120" w:before="280"/>
      </w:pPr>
      <w:r>
        <w:rPr>
          <w:rFonts w:ascii="Times New Roman" w:cs="Times New Roman" w:eastAsia="Times New Roman" w:hAnsi="Times New Roman"/>
          <w:b/>
          <w:bCs/>
          <w:sz w:val="26"/>
          <w:szCs w:val="26"/>
        </w:rPr>
        <w:t xml:space="preserve">3.10 Tools and Software</w:t>
      </w:r>
    </w:p>
    <w:p>
      <w:pPr>
        <w:spacing w:after="120" w:before="0" w:line="360"/>
        <w:jc w:val="both"/>
      </w:pPr>
      <w:r>
        <w:rPr>
          <w:rFonts w:ascii="Times New Roman" w:cs="Times New Roman" w:eastAsia="Times New Roman" w:hAnsi="Times New Roman"/>
        </w:rPr>
        <w:t xml:space="preserve">All analysis was carried out in Python 3.12 using pandas 3.0 and NumPy 2.4 for data handling, statsmodels 0.15 for SARIMA, ADF and HAC regression (Seabold &amp; Perktold, 2010), Prophet 1.5 (Taylor &amp; Letham, 2018), scikit-learn 1.8 for Random Forest (Pedregosa et al., 2011), XGBoost 3.4 (Chen &amp; Guestrin, 2016), SHAP 0.54 (Lundberg &amp; Lee, 2017) and Matplotlib 3.10 for charts. The dashboard uses Streamlit 1.66. The complete pipeline was rerun end to end for this report; the run order and environment are recorded in Appendices C and D.</w:t>
      </w:r>
    </w:p>
    <w:p>
      <w:pPr>
        <w:pStyle w:val="Heading2"/>
        <w:keepNext/>
        <w:spacing w:after="120" w:before="280"/>
      </w:pPr>
      <w:r>
        <w:rPr>
          <w:rFonts w:ascii="Times New Roman" w:cs="Times New Roman" w:eastAsia="Times New Roman" w:hAnsi="Times New Roman"/>
          <w:b/>
          <w:bCs/>
          <w:sz w:val="26"/>
          <w:szCs w:val="26"/>
        </w:rPr>
        <w:t xml:space="preserve">3.11 Ethical Considerations</w:t>
      </w:r>
    </w:p>
    <w:p>
      <w:pPr>
        <w:spacing w:after="120" w:before="0" w:line="360"/>
        <w:jc w:val="both"/>
      </w:pPr>
      <w:r>
        <w:rPr>
          <w:rFonts w:ascii="Times New Roman" w:cs="Times New Roman" w:eastAsia="Times New Roman" w:hAnsi="Times New Roman"/>
        </w:rPr>
        <w:t xml:space="preserve">The study uses only publicly available aggregate market and weather data; no personal data were collected. Sources are cited and their limitations are stated. Results are reported as produced by the code, including results that do not support the original hypotheses, and no procurement savings are claimed that the evidence cannot support.</w:t>
      </w:r>
    </w:p>
    <w:p>
      <w:pPr>
        <w:pStyle w:val="Heading2"/>
        <w:keepNext/>
        <w:spacing w:after="120" w:before="280"/>
      </w:pPr>
      <w:r>
        <w:rPr>
          <w:rFonts w:ascii="Times New Roman" w:cs="Times New Roman" w:eastAsia="Times New Roman" w:hAnsi="Times New Roman"/>
          <w:b/>
          <w:bCs/>
          <w:sz w:val="26"/>
          <w:szCs w:val="26"/>
        </w:rPr>
        <w:t xml:space="preserve">3.12 Deviations from the Approved Proposal</w:t>
      </w:r>
    </w:p>
    <w:p>
      <w:pPr>
        <w:spacing w:after="120" w:before="0" w:line="360"/>
        <w:jc w:val="both"/>
      </w:pPr>
      <w:r>
        <w:rPr>
          <w:rFonts w:ascii="Times New Roman" w:cs="Times New Roman" w:eastAsia="Times New Roman" w:hAnsi="Times New Roman"/>
        </w:rPr>
        <w:t xml:space="preserve">Table 3.6 lists each point on which the study departs from the approved project proposal, the reason, and where the matter is addressed. None of the changes alters the objectives; most arise from data that could not be obtained.</w:t>
      </w:r>
    </w:p>
    <w:p>
      <w:pPr>
        <w:pStyle w:val="TableCaption"/>
        <w:keepNext/>
        <w:spacing w:after="80" w:before="200" w:line="276"/>
        <w:jc w:val="center"/>
      </w:pPr>
      <w:r>
        <w:rPr>
          <w:rFonts w:ascii="Times New Roman" w:cs="Times New Roman" w:eastAsia="Times New Roman" w:hAnsi="Times New Roman"/>
          <w:b/>
          <w:bCs/>
          <w:sz w:val="22"/>
          <w:szCs w:val="22"/>
        </w:rPr>
        <w:t xml:space="preserve">Table 3.6: </w:t>
      </w:r>
      <w:r>
        <w:rPr>
          <w:rFonts w:ascii="Times New Roman" w:cs="Times New Roman" w:eastAsia="Times New Roman" w:hAnsi="Times New Roman"/>
          <w:sz w:val="22"/>
          <w:szCs w:val="22"/>
        </w:rPr>
        <w:t xml:space="preserve">Deviations from the approved proposal and their treatment</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2560"/>
        <w:gridCol w:w="2816"/>
        <w:gridCol w:w="3072"/>
      </w:tblGrid>
      <w:tr>
        <w:trPr>
          <w:cantSplit/>
          <w:tblHeader/>
        </w:trPr>
        <w:tc>
          <w:tcPr>
            <w:tcW w:type="dxa" w:w="256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6"/>
                <w:szCs w:val="16"/>
              </w:rPr>
              <w:t xml:space="preserve">Proposal</w:t>
            </w:r>
          </w:p>
        </w:tc>
        <w:tc>
          <w:tcPr>
            <w:tcW w:type="dxa" w:w="281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6"/>
                <w:szCs w:val="16"/>
              </w:rPr>
              <w:t xml:space="preserve">This study</w:t>
            </w:r>
          </w:p>
        </w:tc>
        <w:tc>
          <w:tcPr>
            <w:tcW w:type="dxa" w:w="307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6"/>
                <w:szCs w:val="16"/>
              </w:rPr>
              <w:t xml:space="preserve">Reason / where addressed</w:t>
            </w:r>
          </w:p>
        </w:tc>
      </w:tr>
      <w:tr>
        <w:trPr>
          <w:cantSplit/>
        </w:trPr>
        <w:tc>
          <w:tcPr>
            <w:tcW w:type="dxa" w:w="2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Daily Agmarknet modal prices for Koyambedu, Jan 2010 – Jun 2026</w:t>
            </w:r>
          </w:p>
        </w:tc>
        <w:tc>
          <w:tcPr>
            <w:tcW w:type="dxa" w:w="281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Koyambedu history-page series, Nov 2021 – Oct 2026; statewide Agmarknet compilation, Jan 2024 – Apr 2026</w:t>
            </w:r>
          </w:p>
        </w:tc>
        <w:tc>
          <w:tcPr>
            <w:tcW w:type="dxa" w:w="307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Agmarknet’s Koyambedu history could not be retrieved programmatically; the available Agmarknet compilation begins in 2024 (Section 3.2)</w:t>
            </w:r>
          </w:p>
        </w:tc>
      </w:tr>
      <w:tr>
        <w:trPr>
          <w:cantSplit/>
        </w:trPr>
        <w:tc>
          <w:tcPr>
            <w:tcW w:type="dxa" w:w="2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Temporal holdout: train 2010–2022, test 2023–2026</w:t>
            </w:r>
          </w:p>
        </w:tc>
        <w:tc>
          <w:tcPr>
            <w:tcW w:type="dxa" w:w="281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Rolling-origin evaluation (7 and 4 origins, 2025–2026); 2023 episode as a retrospective scenario</w:t>
            </w:r>
          </w:p>
        </w:tc>
        <w:tc>
          <w:tcPr>
            <w:tcW w:type="dxa" w:w="307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Shorter history; rolling origins give more independent test points (Section 3.6)</w:t>
            </w:r>
          </w:p>
        </w:tc>
      </w:tr>
      <w:tr>
        <w:trPr>
          <w:cantSplit/>
        </w:trPr>
        <w:tc>
          <w:tcPr>
            <w:tcW w:type="dxa" w:w="2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Comparison against the published SARIMA benchmark</w:t>
            </w:r>
          </w:p>
        </w:tc>
        <w:tc>
          <w:tcPr>
            <w:tcW w:type="dxa" w:w="281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Qualitative comparison only</w:t>
            </w:r>
          </w:p>
        </w:tc>
        <w:tc>
          <w:tcPr>
            <w:tcW w:type="dxa" w:w="307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The published study is monthly; daily 7–30-day errors are not comparable (Section 2.2)</w:t>
            </w:r>
          </w:p>
        </w:tc>
      </w:tr>
      <w:tr>
        <w:trPr>
          <w:cantSplit/>
        </w:trPr>
        <w:tc>
          <w:tcPr>
            <w:tcW w:type="dxa" w:w="2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Market arrival volume as a predictor</w:t>
            </w:r>
          </w:p>
        </w:tc>
        <w:tc>
          <w:tcPr>
            <w:tcW w:type="dxa" w:w="281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Not used</w:t>
            </w:r>
          </w:p>
        </w:tc>
        <w:tc>
          <w:tcPr>
            <w:tcW w:type="dxa" w:w="307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Not available in either price source (Section 5.5)</w:t>
            </w:r>
          </w:p>
        </w:tc>
      </w:tr>
      <w:tr>
        <w:trPr>
          <w:cantSplit/>
        </w:trPr>
        <w:tc>
          <w:tcPr>
            <w:tcW w:type="dxa" w:w="2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NE Monsoon deviation ranked with SHAP</w:t>
            </w:r>
          </w:p>
        </w:tc>
        <w:tc>
          <w:tcPr>
            <w:tcW w:type="dxa" w:w="281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SHAP ranking plus a formal HAC regression test</w:t>
            </w:r>
          </w:p>
        </w:tc>
        <w:tc>
          <w:tcPr>
            <w:tcW w:type="dxa" w:w="307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SHAP ranks contributions but does not test significance (Section 4.11)</w:t>
            </w:r>
          </w:p>
        </w:tc>
      </w:tr>
      <w:tr>
        <w:trPr>
          <w:cantSplit/>
        </w:trPr>
        <w:tc>
          <w:tcPr>
            <w:tcW w:type="dxa" w:w="2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AgriSight runs the best-performing model</w:t>
            </w:r>
          </w:p>
        </w:tc>
        <w:tc>
          <w:tcPr>
            <w:tcW w:type="dxa" w:w="281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AgriSight runs the tree models; the naive forecast performed best</w:t>
            </w:r>
          </w:p>
        </w:tc>
        <w:tc>
          <w:tcPr>
            <w:tcW w:type="dxa" w:w="307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Pipeline built before evaluation; recommendation in Section 5.3</w:t>
            </w:r>
          </w:p>
        </w:tc>
      </w:tr>
      <w:tr>
        <w:trPr>
          <w:cantSplit/>
        </w:trPr>
        <w:tc>
          <w:tcPr>
            <w:tcW w:type="dxa" w:w="2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Weekly brief from a locally hosted LLM</w:t>
            </w:r>
          </w:p>
        </w:tc>
        <w:tc>
          <w:tcPr>
            <w:tcW w:type="dxa" w:w="281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Implemented, run on demand; live run pending</w:t>
            </w:r>
          </w:p>
        </w:tc>
        <w:tc>
          <w:tcPr>
            <w:tcW w:type="dxa" w:w="307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Section 4.12</w:t>
            </w:r>
          </w:p>
        </w:tc>
      </w:tr>
      <w:tr>
        <w:trPr>
          <w:cantSplit/>
        </w:trPr>
        <w:tc>
          <w:tcPr>
            <w:tcW w:type="dxa" w:w="2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Delta accuracy: XGBoost vs context-enriched AgriSight, six-month holdout</w:t>
            </w:r>
          </w:p>
        </w:tc>
        <w:tc>
          <w:tcPr>
            <w:tcW w:type="dxa" w:w="281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XGBoost with vs without weather context, six-month holdout</w:t>
            </w:r>
          </w:p>
        </w:tc>
        <w:tc>
          <w:tcPr>
            <w:tcW w:type="dxa" w:w="307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Historical policy news is not archived, so only weather context could be tested (Section 4.11.3)</w:t>
            </w:r>
          </w:p>
        </w:tc>
      </w:tr>
      <w:tr>
        <w:trPr>
          <w:cantSplit/>
        </w:trPr>
        <w:tc>
          <w:tcPr>
            <w:tcW w:type="dxa" w:w="2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Economic value of the 30-day forecast before July 2023</w:t>
            </w:r>
          </w:p>
        </w:tc>
        <w:tc>
          <w:tcPr>
            <w:tcW w:type="dxa" w:w="281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Done for 30-day and 14-day forecasts</w:t>
            </w:r>
          </w:p>
        </w:tc>
        <w:tc>
          <w:tcPr>
            <w:tcW w:type="dxa" w:w="307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Section 4.14</w:t>
            </w:r>
          </w:p>
        </w:tc>
      </w:tr>
      <w:tr>
        <w:trPr>
          <w:cantSplit/>
        </w:trPr>
        <w:tc>
          <w:tcPr>
            <w:tcW w:type="dxa" w:w="2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Tomato reached ₹200/kg, a ~700% spike</w:t>
            </w:r>
          </w:p>
        </w:tc>
        <w:tc>
          <w:tcPr>
            <w:tcW w:type="dxa" w:w="281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Koyambedu peak ₹160/kg on 1 Aug 2023, 9–12 times the April–May level</w:t>
            </w:r>
          </w:p>
        </w:tc>
        <w:tc>
          <w:tcPr>
            <w:tcW w:type="dxa" w:w="307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₹200/kg refers to retail reports (Section 1.1)</w:t>
            </w:r>
          </w:p>
        </w:tc>
      </w:tr>
      <w:tr>
        <w:trPr>
          <w:cantSplit/>
        </w:trPr>
        <w:tc>
          <w:tcPr>
            <w:tcW w:type="dxa" w:w="2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Two published Koyambedu SARIMA studies; Bari et al. (2024)</w:t>
            </w:r>
          </w:p>
        </w:tc>
        <w:tc>
          <w:tcPr>
            <w:tcW w:type="dxa" w:w="281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One Koyambedu study cited; Bari et al. not cited</w:t>
            </w:r>
          </w:p>
        </w:tc>
        <w:tc>
          <w:tcPr>
            <w:tcW w:type="dxa" w:w="307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Only Tamilselvi and Mohan Naidu (2020) and not Bari et al. could be located and verified</w:t>
            </w:r>
          </w:p>
        </w:tc>
      </w:tr>
    </w:tbl>
    <w:p>
      <w:pPr>
        <w:spacing w:after="200" w:before="60" w:line="240"/>
      </w:pPr>
      <w:r>
        <w:rPr>
          <w:rFonts w:ascii="Times New Roman" w:cs="Times New Roman" w:eastAsia="Times New Roman" w:hAnsi="Times New Roman"/>
          <w:i/>
          <w:iCs/>
          <w:sz w:val="18"/>
          <w:szCs w:val="18"/>
        </w:rPr>
        <w:t xml:space="preserve">Source: Approved project proposal; author’s analysis.</w:t>
      </w:r>
    </w:p>
    <w:p>
      <w:pPr>
        <w:pageBreakBefore/>
        <w:spacing w:after="0" w:before="240"/>
        <w:jc w:val="center"/>
      </w:pPr>
      <w:r>
        <w:rPr>
          <w:rFonts w:ascii="Times New Roman" w:cs="Times New Roman" w:eastAsia="Times New Roman" w:hAnsi="Times New Roman"/>
          <w:b/>
          <w:bCs/>
          <w:sz w:val="28"/>
          <w:szCs w:val="28"/>
        </w:rPr>
        <w:t xml:space="preserve">CHAPTER 4</w:t>
      </w:r>
    </w:p>
    <w:p>
      <w:pPr>
        <w:pStyle w:val="Heading1"/>
        <w:spacing w:after="360" w:before="120"/>
        <w:jc w:val="center"/>
      </w:pPr>
      <w:r>
        <w:rPr>
          <w:rFonts w:ascii="Times New Roman" w:cs="Times New Roman" w:eastAsia="Times New Roman" w:hAnsi="Times New Roman"/>
          <w:b/>
          <w:bCs/>
          <w:sz w:val="28"/>
          <w:szCs w:val="28"/>
        </w:rPr>
        <w:t xml:space="preserve">DATA ANALYSIS AND INTERPRETATION</w:t>
      </w:r>
    </w:p>
    <w:p>
      <w:pPr>
        <w:spacing w:after="120" w:before="0" w:line="360"/>
        <w:jc w:val="both"/>
      </w:pPr>
      <w:r>
        <w:rPr>
          <w:rFonts w:ascii="Times New Roman" w:cs="Times New Roman" w:eastAsia="Times New Roman" w:hAnsi="Times New Roman"/>
        </w:rPr>
        <w:t xml:space="preserve">This chapter presents the results in the order of the research questions: the data and their quality (Sections 4.1–4.4), statewide forecasting and its diagnosis (4.5–4.7), Koyambedu multi-horizon evaluation (4.8–4.10), the monsoon and weather-context tests (4.11), the multi-agent decision layer (4.12), the procurement backtest and tomato case study (4.13–4.14), and a summary of hypotheses and objectives (4.15–4.16). All figures and tables come from a single end-to-end run of the analysis pipeline (Appendices C and D).</w:t>
      </w:r>
    </w:p>
    <w:p>
      <w:pPr>
        <w:pStyle w:val="Heading2"/>
        <w:keepNext/>
        <w:spacing w:after="120" w:before="280"/>
      </w:pPr>
      <w:r>
        <w:rPr>
          <w:rFonts w:ascii="Times New Roman" w:cs="Times New Roman" w:eastAsia="Times New Roman" w:hAnsi="Times New Roman"/>
          <w:b/>
          <w:bCs/>
          <w:sz w:val="26"/>
          <w:szCs w:val="26"/>
        </w:rPr>
        <w:t xml:space="preserve">4.1 Profile of the Statewide Data</w:t>
      </w:r>
    </w:p>
    <w:p>
      <w:pPr>
        <w:spacing w:after="120" w:before="0" w:line="360"/>
        <w:jc w:val="both"/>
      </w:pPr>
      <w:r>
        <w:rPr>
          <w:rFonts w:ascii="Times New Roman" w:cs="Times New Roman" w:eastAsia="Times New Roman" w:hAnsi="Times New Roman"/>
        </w:rPr>
        <w:t xml:space="preserve">The statewide extract contains 414,388 market-level records for the eight vegetables from 451 markets in 36 districts between 24 January 2024 and 20 April 2026, with no missing values in any field. After aggregation to the daily statewide median and construction of 30-day lag features, the modelling table contains 4,041 commodity-days (about 504 days per vegetable) and 62 columns.</w:t>
      </w:r>
    </w:p>
    <w:p>
      <w:pPr>
        <w:pStyle w:val="TableCaption"/>
        <w:keepNext/>
        <w:spacing w:after="80" w:before="200" w:line="276"/>
        <w:jc w:val="center"/>
      </w:pPr>
      <w:r>
        <w:rPr>
          <w:rFonts w:ascii="Times New Roman" w:cs="Times New Roman" w:eastAsia="Times New Roman" w:hAnsi="Times New Roman"/>
          <w:b/>
          <w:bCs/>
          <w:sz w:val="22"/>
          <w:szCs w:val="22"/>
        </w:rPr>
        <w:t xml:space="preserve">Table 4.1: </w:t>
      </w:r>
      <w:r>
        <w:rPr>
          <w:rFonts w:ascii="Times New Roman" w:cs="Times New Roman" w:eastAsia="Times New Roman" w:hAnsi="Times New Roman"/>
          <w:sz w:val="22"/>
          <w:szCs w:val="22"/>
        </w:rPr>
        <w:t xml:space="preserve">Statewide records and daily median modal price (₹/quintal)</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1370"/>
        <w:gridCol w:w="1256"/>
        <w:gridCol w:w="799"/>
        <w:gridCol w:w="913"/>
        <w:gridCol w:w="913"/>
        <w:gridCol w:w="913"/>
        <w:gridCol w:w="685"/>
        <w:gridCol w:w="913"/>
        <w:gridCol w:w="686"/>
      </w:tblGrid>
      <w:tr>
        <w:trPr>
          <w:cantSplit/>
          <w:tblHeader/>
        </w:trPr>
        <w:tc>
          <w:tcPr>
            <w:tcW w:type="dxa" w:w="137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Commodity</w:t>
            </w:r>
          </w:p>
        </w:tc>
        <w:tc>
          <w:tcPr>
            <w:tcW w:type="dxa" w:w="125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Market records</w:t>
            </w:r>
          </w:p>
        </w:tc>
        <w:tc>
          <w:tcPr>
            <w:tcW w:type="dxa" w:w="79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Days</w:t>
            </w:r>
          </w:p>
        </w:tc>
        <w:tc>
          <w:tcPr>
            <w:tcW w:type="dxa" w:w="91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Mean</w:t>
            </w:r>
          </w:p>
        </w:tc>
        <w:tc>
          <w:tcPr>
            <w:tcW w:type="dxa" w:w="91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Median</w:t>
            </w:r>
          </w:p>
        </w:tc>
        <w:tc>
          <w:tcPr>
            <w:tcW w:type="dxa" w:w="91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Std. dev.</w:t>
            </w:r>
          </w:p>
        </w:tc>
        <w:tc>
          <w:tcPr>
            <w:tcW w:type="dxa" w:w="68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Min</w:t>
            </w:r>
          </w:p>
        </w:tc>
        <w:tc>
          <w:tcPr>
            <w:tcW w:type="dxa" w:w="91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Max</w:t>
            </w:r>
          </w:p>
        </w:tc>
        <w:tc>
          <w:tcPr>
            <w:tcW w:type="dxa" w:w="68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CV</w:t>
            </w:r>
          </w:p>
        </w:tc>
      </w:tr>
      <w:tr>
        <w:trPr>
          <w:cantSplit/>
        </w:trPr>
        <w:tc>
          <w:tcPr>
            <w:tcW w:type="dxa" w:w="137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Beans</w:t>
            </w:r>
          </w:p>
        </w:tc>
        <w:tc>
          <w:tcPr>
            <w:tcW w:type="dxa" w:w="12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48,382</w:t>
            </w:r>
          </w:p>
        </w:tc>
        <w:tc>
          <w:tcPr>
            <w:tcW w:type="dxa" w:w="79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506</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6,979</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7,000</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2,032</w:t>
            </w:r>
          </w:p>
        </w:tc>
        <w:tc>
          <w:tcPr>
            <w:tcW w:type="dxa" w:w="68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110</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16,000</w:t>
            </w:r>
          </w:p>
        </w:tc>
        <w:tc>
          <w:tcPr>
            <w:tcW w:type="dxa" w:w="6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29%</w:t>
            </w:r>
          </w:p>
        </w:tc>
      </w:tr>
      <w:tr>
        <w:trPr>
          <w:cantSplit/>
        </w:trPr>
        <w:tc>
          <w:tcPr>
            <w:tcW w:type="dxa" w:w="137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Brinjal</w:t>
            </w:r>
          </w:p>
        </w:tc>
        <w:tc>
          <w:tcPr>
            <w:tcW w:type="dxa" w:w="12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55,050</w:t>
            </w:r>
          </w:p>
        </w:tc>
        <w:tc>
          <w:tcPr>
            <w:tcW w:type="dxa" w:w="79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504</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4,048</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4,000</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1,028</w:t>
            </w:r>
          </w:p>
        </w:tc>
        <w:tc>
          <w:tcPr>
            <w:tcW w:type="dxa" w:w="68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50</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6,400</w:t>
            </w:r>
          </w:p>
        </w:tc>
        <w:tc>
          <w:tcPr>
            <w:tcW w:type="dxa" w:w="6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25%</w:t>
            </w:r>
          </w:p>
        </w:tc>
      </w:tr>
      <w:tr>
        <w:trPr>
          <w:cantSplit/>
        </w:trPr>
        <w:tc>
          <w:tcPr>
            <w:tcW w:type="dxa" w:w="137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Cabbage</w:t>
            </w:r>
          </w:p>
        </w:tc>
        <w:tc>
          <w:tcPr>
            <w:tcW w:type="dxa" w:w="12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49,072</w:t>
            </w:r>
          </w:p>
        </w:tc>
        <w:tc>
          <w:tcPr>
            <w:tcW w:type="dxa" w:w="79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504</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2,723</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2,500</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790</w:t>
            </w:r>
          </w:p>
        </w:tc>
        <w:tc>
          <w:tcPr>
            <w:tcW w:type="dxa" w:w="68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48</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5,000</w:t>
            </w:r>
          </w:p>
        </w:tc>
        <w:tc>
          <w:tcPr>
            <w:tcW w:type="dxa" w:w="6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29%</w:t>
            </w:r>
          </w:p>
        </w:tc>
      </w:tr>
      <w:tr>
        <w:trPr>
          <w:cantSplit/>
        </w:trPr>
        <w:tc>
          <w:tcPr>
            <w:tcW w:type="dxa" w:w="137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Carrot</w:t>
            </w:r>
          </w:p>
        </w:tc>
        <w:tc>
          <w:tcPr>
            <w:tcW w:type="dxa" w:w="12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49,130</w:t>
            </w:r>
          </w:p>
        </w:tc>
        <w:tc>
          <w:tcPr>
            <w:tcW w:type="dxa" w:w="79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504</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6,061</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6,000</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2,010</w:t>
            </w:r>
          </w:p>
        </w:tc>
        <w:tc>
          <w:tcPr>
            <w:tcW w:type="dxa" w:w="68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70</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12,500</w:t>
            </w:r>
          </w:p>
        </w:tc>
        <w:tc>
          <w:tcPr>
            <w:tcW w:type="dxa" w:w="6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33%</w:t>
            </w:r>
          </w:p>
        </w:tc>
      </w:tr>
      <w:tr>
        <w:trPr>
          <w:cantSplit/>
        </w:trPr>
        <w:tc>
          <w:tcPr>
            <w:tcW w:type="dxa" w:w="137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Drumstick</w:t>
            </w:r>
          </w:p>
        </w:tc>
        <w:tc>
          <w:tcPr>
            <w:tcW w:type="dxa" w:w="12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50,268</w:t>
            </w:r>
          </w:p>
        </w:tc>
        <w:tc>
          <w:tcPr>
            <w:tcW w:type="dxa" w:w="79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504</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8,240</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7,000</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5,103</w:t>
            </w:r>
          </w:p>
        </w:tc>
        <w:tc>
          <w:tcPr>
            <w:tcW w:type="dxa" w:w="68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100</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21,500</w:t>
            </w:r>
          </w:p>
        </w:tc>
        <w:tc>
          <w:tcPr>
            <w:tcW w:type="dxa" w:w="6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62%</w:t>
            </w:r>
          </w:p>
        </w:tc>
      </w:tr>
      <w:tr>
        <w:trPr>
          <w:cantSplit/>
        </w:trPr>
        <w:tc>
          <w:tcPr>
            <w:tcW w:type="dxa" w:w="137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Onion</w:t>
            </w:r>
          </w:p>
        </w:tc>
        <w:tc>
          <w:tcPr>
            <w:tcW w:type="dxa" w:w="12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59,560</w:t>
            </w:r>
          </w:p>
        </w:tc>
        <w:tc>
          <w:tcPr>
            <w:tcW w:type="dxa" w:w="79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503</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3,993</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3,250</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1,543</w:t>
            </w:r>
          </w:p>
        </w:tc>
        <w:tc>
          <w:tcPr>
            <w:tcW w:type="dxa" w:w="68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45</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7,000</w:t>
            </w:r>
          </w:p>
        </w:tc>
        <w:tc>
          <w:tcPr>
            <w:tcW w:type="dxa" w:w="6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39%</w:t>
            </w:r>
          </w:p>
        </w:tc>
      </w:tr>
      <w:tr>
        <w:trPr>
          <w:cantSplit/>
        </w:trPr>
        <w:tc>
          <w:tcPr>
            <w:tcW w:type="dxa" w:w="137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Potato</w:t>
            </w:r>
          </w:p>
        </w:tc>
        <w:tc>
          <w:tcPr>
            <w:tcW w:type="dxa" w:w="12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47,305</w:t>
            </w:r>
          </w:p>
        </w:tc>
        <w:tc>
          <w:tcPr>
            <w:tcW w:type="dxa" w:w="79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504</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4,078</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4,000</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951</w:t>
            </w:r>
          </w:p>
        </w:tc>
        <w:tc>
          <w:tcPr>
            <w:tcW w:type="dxa" w:w="68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48</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5,500</w:t>
            </w:r>
          </w:p>
        </w:tc>
        <w:tc>
          <w:tcPr>
            <w:tcW w:type="dxa" w:w="6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23%</w:t>
            </w:r>
          </w:p>
        </w:tc>
      </w:tr>
      <w:tr>
        <w:trPr>
          <w:cantSplit/>
        </w:trPr>
        <w:tc>
          <w:tcPr>
            <w:tcW w:type="dxa" w:w="137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Tomato</w:t>
            </w:r>
          </w:p>
        </w:tc>
        <w:tc>
          <w:tcPr>
            <w:tcW w:type="dxa" w:w="12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55,621</w:t>
            </w:r>
          </w:p>
        </w:tc>
        <w:tc>
          <w:tcPr>
            <w:tcW w:type="dxa" w:w="79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512</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2,774</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2,500</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1,331</w:t>
            </w:r>
          </w:p>
        </w:tc>
        <w:tc>
          <w:tcPr>
            <w:tcW w:type="dxa" w:w="68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40</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6,500</w:t>
            </w:r>
          </w:p>
        </w:tc>
        <w:tc>
          <w:tcPr>
            <w:tcW w:type="dxa" w:w="6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48%</w:t>
            </w:r>
          </w:p>
        </w:tc>
      </w:tr>
      <w:tr>
        <w:trPr>
          <w:cantSplit/>
        </w:trPr>
        <w:tc>
          <w:tcPr>
            <w:tcW w:type="dxa" w:w="137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Total / range</w:t>
            </w:r>
          </w:p>
        </w:tc>
        <w:tc>
          <w:tcPr>
            <w:tcW w:type="dxa" w:w="12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414,388</w:t>
            </w:r>
          </w:p>
        </w:tc>
        <w:tc>
          <w:tcPr>
            <w:tcW w:type="dxa" w:w="79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4,041</w:t>
            </w: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p>
        </w:tc>
        <w:tc>
          <w:tcPr>
            <w:tcW w:type="dxa" w:w="68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p>
        </w:tc>
        <w:tc>
          <w:tcPr>
            <w:tcW w:type="dxa" w:w="9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p>
        </w:tc>
        <w:tc>
          <w:tcPr>
            <w:tcW w:type="dxa" w:w="6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23–62%</w:t>
            </w:r>
          </w:p>
        </w:tc>
      </w:tr>
    </w:tbl>
    <w:p>
      <w:pPr>
        <w:spacing w:after="200" w:before="60" w:line="240"/>
      </w:pPr>
      <w:r>
        <w:rPr>
          <w:rFonts w:ascii="Times New Roman" w:cs="Times New Roman" w:eastAsia="Times New Roman" w:hAnsi="Times New Roman"/>
          <w:i/>
          <w:iCs/>
          <w:sz w:val="18"/>
          <w:szCs w:val="18"/>
        </w:rPr>
        <w:t xml:space="preserve">Source: Author’s analysis of the statewide data.</w:t>
      </w:r>
    </w:p>
    <w:p>
      <w:pPr>
        <w:keepNext/>
        <w:spacing w:after="60" w:before="160"/>
        <w:jc w:val="center"/>
      </w:pPr>
      <w:r>
        <w:drawing>
          <wp:inline distT="0" distB="0" distL="0" distR="0">
            <wp:extent cx="5334000" cy="2867025"/>
            <wp:effectExtent t="0" r="0" b="0" l="0"/>
            <wp:docPr id="1" name="Figure 4.1" descr="Statewide market-level records by commodity and market type" title="Statewide market-level records by commodity and market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867025"/>
                    </a:xfrm>
                    <a:prstGeom prst="rect">
                      <a:avLst/>
                    </a:prstGeom>
                  </pic:spPr>
                </pic:pic>
              </a:graphicData>
            </a:graphic>
          </wp:inline>
        </w:drawing>
      </w:r>
    </w:p>
    <w:p>
      <w:pPr>
        <w:pStyle w:val="FigureCaption"/>
        <w:spacing w:after="40" w:line="276"/>
        <w:jc w:val="center"/>
      </w:pPr>
      <w:r>
        <w:rPr>
          <w:rFonts w:ascii="Times New Roman" w:cs="Times New Roman" w:eastAsia="Times New Roman" w:hAnsi="Times New Roman"/>
          <w:b/>
          <w:bCs/>
          <w:sz w:val="22"/>
          <w:szCs w:val="22"/>
        </w:rPr>
        <w:t xml:space="preserve">Figure 4.1: </w:t>
      </w:r>
      <w:r>
        <w:rPr>
          <w:rFonts w:ascii="Times New Roman" w:cs="Times New Roman" w:eastAsia="Times New Roman" w:hAnsi="Times New Roman"/>
          <w:sz w:val="22"/>
          <w:szCs w:val="22"/>
        </w:rPr>
        <w:t xml:space="preserve">Statewide market-level records by commodity and market type</w:t>
      </w:r>
    </w:p>
    <w:p>
      <w:pPr>
        <w:spacing w:after="220" w:line="240"/>
        <w:jc w:val="center"/>
      </w:pPr>
      <w:r>
        <w:rPr>
          <w:rFonts w:ascii="Times New Roman" w:cs="Times New Roman" w:eastAsia="Times New Roman" w:hAnsi="Times New Roman"/>
          <w:i/>
          <w:iCs/>
          <w:sz w:val="18"/>
          <w:szCs w:val="18"/>
        </w:rPr>
        <w:t xml:space="preserve">Source: Author’s analysis.</w:t>
      </w:r>
    </w:p>
    <w:p>
      <w:pPr>
        <w:spacing w:after="120" w:before="0" w:line="360"/>
        <w:jc w:val="both"/>
      </w:pPr>
      <w:r>
        <w:rPr>
          <w:rFonts w:ascii="Times New Roman" w:cs="Times New Roman" w:eastAsia="Times New Roman" w:hAnsi="Times New Roman"/>
          <w:b/>
          <w:bCs/>
        </w:rPr>
        <w:t xml:space="preserve">Interpretation.</w:t>
      </w:r>
      <w:r>
        <w:rPr>
          <w:rFonts w:ascii="Times New Roman" w:cs="Times New Roman" w:eastAsia="Times New Roman" w:hAnsi="Times New Roman"/>
        </w:rPr>
        <w:t xml:space="preserve"> Drumstick (CV 62%) and Tomato (48%) are the most volatile series and Potato (23%) and Brinjal (25%) the least, consistent with the perishability ranking expected from the literature. The most important structural fact is shown in Figure 4.1: </w:t>
      </w:r>
      <w:r>
        <w:rPr>
          <w:rFonts w:ascii="Times New Roman" w:cs="Times New Roman" w:eastAsia="Times New Roman" w:hAnsi="Times New Roman"/>
          <w:b/>
          <w:bCs/>
        </w:rPr>
        <w:t xml:space="preserve">90.7% of all records come from Uzhavar Sandhai</w:t>
      </w:r>
      <w:r>
        <w:rPr>
          <w:rFonts w:ascii="Times New Roman" w:cs="Times New Roman" w:eastAsia="Times New Roman" w:hAnsi="Times New Roman"/>
        </w:rPr>
        <w:t xml:space="preserve">, the state’s farmers’ markets, and only 9.3% from other regulated markets. A “statewide median” in this dataset is therefore largely a farmers’-market price. It is closer to a retail price than to the bulk wholesale price a procurement buyer pays, and this conditions every downstream use of Track A.</w:t>
      </w:r>
    </w:p>
    <w:p>
      <w:pPr>
        <w:pStyle w:val="Heading2"/>
        <w:keepNext/>
        <w:spacing w:after="120" w:before="280"/>
      </w:pPr>
      <w:r>
        <w:rPr>
          <w:rFonts w:ascii="Times New Roman" w:cs="Times New Roman" w:eastAsia="Times New Roman" w:hAnsi="Times New Roman"/>
          <w:b/>
          <w:bCs/>
          <w:sz w:val="26"/>
          <w:szCs w:val="26"/>
        </w:rPr>
        <w:t xml:space="preserve">4.2 Data Quality Assessment</w:t>
      </w:r>
    </w:p>
    <w:p>
      <w:pPr>
        <w:pStyle w:val="TableCaption"/>
        <w:keepNext/>
        <w:spacing w:after="80" w:before="200" w:line="276"/>
        <w:jc w:val="center"/>
      </w:pPr>
      <w:r>
        <w:rPr>
          <w:rFonts w:ascii="Times New Roman" w:cs="Times New Roman" w:eastAsia="Times New Roman" w:hAnsi="Times New Roman"/>
          <w:b/>
          <w:bCs/>
          <w:sz w:val="22"/>
          <w:szCs w:val="22"/>
        </w:rPr>
        <w:t xml:space="preserve">Table 4.2: </w:t>
      </w:r>
      <w:r>
        <w:rPr>
          <w:rFonts w:ascii="Times New Roman" w:cs="Times New Roman" w:eastAsia="Times New Roman" w:hAnsi="Times New Roman"/>
          <w:sz w:val="22"/>
          <w:szCs w:val="22"/>
        </w:rPr>
        <w:t xml:space="preserve">Data quality checks on the statewide data</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2560"/>
        <w:gridCol w:w="3328"/>
        <w:gridCol w:w="2560"/>
      </w:tblGrid>
      <w:tr>
        <w:trPr>
          <w:cantSplit/>
          <w:tblHeader/>
        </w:trPr>
        <w:tc>
          <w:tcPr>
            <w:tcW w:type="dxa" w:w="256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Check</w:t>
            </w:r>
          </w:p>
        </w:tc>
        <w:tc>
          <w:tcPr>
            <w:tcW w:type="dxa" w:w="332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Result</w:t>
            </w:r>
          </w:p>
        </w:tc>
        <w:tc>
          <w:tcPr>
            <w:tcW w:type="dxa" w:w="256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Treatment</w:t>
            </w:r>
          </w:p>
        </w:tc>
      </w:tr>
      <w:tr>
        <w:trPr>
          <w:cantSplit/>
        </w:trPr>
        <w:tc>
          <w:tcPr>
            <w:tcW w:type="dxa" w:w="2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Missing values</w:t>
            </w:r>
          </w:p>
        </w:tc>
        <w:tc>
          <w:tcPr>
            <w:tcW w:type="dxa" w:w="33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None in any of 10 fields</w:t>
            </w:r>
          </w:p>
        </w:tc>
        <w:tc>
          <w:tcPr>
            <w:tcW w:type="dxa" w:w="2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None needed</w:t>
            </w:r>
          </w:p>
        </w:tc>
      </w:tr>
      <w:tr>
        <w:trPr>
          <w:cantSplit/>
        </w:trPr>
        <w:tc>
          <w:tcPr>
            <w:tcW w:type="dxa" w:w="2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Duplicate date–market–commodity keys</w:t>
            </w:r>
          </w:p>
        </w:tc>
        <w:tc>
          <w:tcPr>
            <w:tcW w:type="dxa" w:w="33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Removed during cleaning</w:t>
            </w:r>
          </w:p>
        </w:tc>
        <w:tc>
          <w:tcPr>
            <w:tcW w:type="dxa" w:w="2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Last record kept</w:t>
            </w:r>
          </w:p>
        </w:tc>
      </w:tr>
      <w:tr>
        <w:trPr>
          <w:cantSplit/>
        </w:trPr>
        <w:tc>
          <w:tcPr>
            <w:tcW w:type="dxa" w:w="2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Extreme values &gt; ₹100,000/quintal</w:t>
            </w:r>
          </w:p>
        </w:tc>
        <w:tc>
          <w:tcPr>
            <w:tcW w:type="dxa" w:w="33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3 records (Drumstick ₹180,000; Tomato ₹353,000 and ₹404,000)</w:t>
            </w:r>
          </w:p>
        </w:tc>
        <w:tc>
          <w:tcPr>
            <w:tcW w:type="dxa" w:w="2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Removed and logged</w:t>
            </w:r>
          </w:p>
        </w:tc>
      </w:tr>
      <w:tr>
        <w:trPr>
          <w:cantSplit/>
        </w:trPr>
        <w:tc>
          <w:tcPr>
            <w:tcW w:type="dxa" w:w="2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Implausibly low values &lt; ₹300/quintal</w:t>
            </w:r>
          </w:p>
        </w:tc>
        <w:tc>
          <w:tcPr>
            <w:tcW w:type="dxa" w:w="33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11,344 records (2.74%), 7,562 of them in June 2024</w:t>
            </w:r>
          </w:p>
        </w:tc>
        <w:tc>
          <w:tcPr>
            <w:tcW w:type="dxa" w:w="2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Not removed; flagged as likely per-kg entries</w:t>
            </w:r>
          </w:p>
        </w:tc>
      </w:tr>
      <w:tr>
        <w:trPr>
          <w:cantSplit/>
        </w:trPr>
        <w:tc>
          <w:tcPr>
            <w:tcW w:type="dxa" w:w="2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Commodity-days affected by low values</w:t>
            </w:r>
          </w:p>
        </w:tc>
        <w:tc>
          <w:tcPr>
            <w:tcW w:type="dxa" w:w="33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104 of 4,041 (12 per vegetable; 20 for Tomato)</w:t>
            </w:r>
          </w:p>
        </w:tc>
        <w:tc>
          <w:tcPr>
            <w:tcW w:type="dxa" w:w="2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Inflate holdout errors when in the test window</w:t>
            </w:r>
          </w:p>
        </w:tc>
      </w:tr>
      <w:tr>
        <w:trPr>
          <w:cantSplit/>
        </w:trPr>
        <w:tc>
          <w:tcPr>
            <w:tcW w:type="dxa" w:w="2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Rolling z-score anomalies (Tomato, |z| &gt; 2.5)</w:t>
            </w:r>
          </w:p>
        </w:tc>
        <w:tc>
          <w:tcPr>
            <w:tcW w:type="dxa" w:w="33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34 days</w:t>
            </w:r>
          </w:p>
        </w:tc>
        <w:tc>
          <w:tcPr>
            <w:tcW w:type="dxa" w:w="2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Retained; genuine spikes and data errors</w:t>
            </w:r>
          </w:p>
        </w:tc>
      </w:tr>
      <w:tr>
        <w:trPr>
          <w:cantSplit/>
        </w:trPr>
        <w:tc>
          <w:tcPr>
            <w:tcW w:type="dxa" w:w="2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Calendar gaps</w:t>
            </w:r>
          </w:p>
        </w:tc>
        <w:tc>
          <w:tcPr>
            <w:tcW w:type="dxa" w:w="33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Up to 3 missing days forward-filled; longer gaps left missing</w:t>
            </w:r>
          </w:p>
        </w:tc>
        <w:tc>
          <w:tcPr>
            <w:tcW w:type="dxa" w:w="2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Rows with incomplete features dropped</w:t>
            </w:r>
          </w:p>
        </w:tc>
      </w:tr>
    </w:tbl>
    <w:p>
      <w:pPr>
        <w:spacing w:after="200" w:before="60" w:line="240"/>
      </w:pPr>
      <w:r>
        <w:rPr>
          <w:rFonts w:ascii="Times New Roman" w:cs="Times New Roman" w:eastAsia="Times New Roman" w:hAnsi="Times New Roman"/>
          <w:i/>
          <w:iCs/>
          <w:sz w:val="18"/>
          <w:szCs w:val="18"/>
        </w:rPr>
        <w:t xml:space="preserve">Source: Author’s analysis.</w:t>
      </w:r>
    </w:p>
    <w:p>
      <w:pPr>
        <w:spacing w:after="120" w:before="0" w:line="360"/>
        <w:jc w:val="both"/>
      </w:pPr>
      <w:r>
        <w:rPr>
          <w:rFonts w:ascii="Times New Roman" w:cs="Times New Roman" w:eastAsia="Times New Roman" w:hAnsi="Times New Roman"/>
          <w:b/>
          <w:bCs/>
        </w:rPr>
        <w:t xml:space="preserve">Interpretation.</w:t>
      </w:r>
      <w:r>
        <w:rPr>
          <w:rFonts w:ascii="Times New Roman" w:cs="Times New Roman" w:eastAsia="Times New Roman" w:hAnsi="Times New Roman"/>
        </w:rPr>
        <w:t xml:space="preserve"> The data are complete but not clean. The cluster of values below ₹300 per quintal in June–July 2024, when the same vegetables otherwise trade at ₹2,000–8,000, is consistent with prices entered per kilogram in a per-quintal field. These days appear as sharp troughs in Figure 4.2. They also strengthen the cross-commodity correlations, because all eight series fall together on those days. They should be corrected at source before any operational use.</w:t>
      </w:r>
    </w:p>
    <w:p>
      <w:pPr>
        <w:keepNext/>
        <w:spacing w:after="60" w:before="160"/>
        <w:jc w:val="center"/>
      </w:pPr>
      <w:r>
        <w:drawing>
          <wp:inline distT="0" distB="0" distL="0" distR="0">
            <wp:extent cx="5334000" cy="2495550"/>
            <wp:effectExtent t="0" r="0" b="0" l="0"/>
            <wp:docPr id="1" name="Figure 4.2" descr="Tomato daily statewide median with rolling-z anomalies and suspected unit errors" title="Tomato daily statewide median with rolling-z anomalies and suspected unit err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495550"/>
                    </a:xfrm>
                    <a:prstGeom prst="rect">
                      <a:avLst/>
                    </a:prstGeom>
                  </pic:spPr>
                </pic:pic>
              </a:graphicData>
            </a:graphic>
          </wp:inline>
        </w:drawing>
      </w:r>
    </w:p>
    <w:p>
      <w:pPr>
        <w:pStyle w:val="FigureCaption"/>
        <w:spacing w:after="40" w:line="276"/>
        <w:jc w:val="center"/>
      </w:pPr>
      <w:r>
        <w:rPr>
          <w:rFonts w:ascii="Times New Roman" w:cs="Times New Roman" w:eastAsia="Times New Roman" w:hAnsi="Times New Roman"/>
          <w:b/>
          <w:bCs/>
          <w:sz w:val="22"/>
          <w:szCs w:val="22"/>
        </w:rPr>
        <w:t xml:space="preserve">Figure 4.2: </w:t>
      </w:r>
      <w:r>
        <w:rPr>
          <w:rFonts w:ascii="Times New Roman" w:cs="Times New Roman" w:eastAsia="Times New Roman" w:hAnsi="Times New Roman"/>
          <w:sz w:val="22"/>
          <w:szCs w:val="22"/>
        </w:rPr>
        <w:t xml:space="preserve">Tomato daily statewide median with rolling-z anomalies and suspected unit errors</w:t>
      </w:r>
    </w:p>
    <w:p>
      <w:pPr>
        <w:spacing w:after="220" w:line="240"/>
        <w:jc w:val="center"/>
      </w:pPr>
      <w:r>
        <w:rPr>
          <w:rFonts w:ascii="Times New Roman" w:cs="Times New Roman" w:eastAsia="Times New Roman" w:hAnsi="Times New Roman"/>
          <w:i/>
          <w:iCs/>
          <w:sz w:val="18"/>
          <w:szCs w:val="18"/>
        </w:rPr>
        <w:t xml:space="preserve">Source: Author’s analysis.</w:t>
      </w:r>
    </w:p>
    <w:p>
      <w:pPr>
        <w:pStyle w:val="Heading2"/>
        <w:keepNext/>
        <w:spacing w:after="120" w:before="280"/>
      </w:pPr>
      <w:r>
        <w:rPr>
          <w:rFonts w:ascii="Times New Roman" w:cs="Times New Roman" w:eastAsia="Times New Roman" w:hAnsi="Times New Roman"/>
          <w:b/>
          <w:bCs/>
          <w:sz w:val="26"/>
          <w:szCs w:val="26"/>
        </w:rPr>
        <w:t xml:space="preserve">4.3 Price Behaviour: Trend, Seasonality and Co-movement</w:t>
      </w:r>
    </w:p>
    <w:p>
      <w:pPr>
        <w:keepNext/>
        <w:spacing w:after="60" w:before="160"/>
        <w:jc w:val="center"/>
      </w:pPr>
      <w:r>
        <w:drawing>
          <wp:inline distT="0" distB="0" distL="0" distR="0">
            <wp:extent cx="5229225" cy="5715000"/>
            <wp:effectExtent t="0" r="0" b="0" l="0"/>
            <wp:docPr id="1" name="Figure 4.3" descr="Monthly median of daily statewide modal price by commodity" title="Monthly median of daily statewide modal price by commod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29225" cy="5715000"/>
                    </a:xfrm>
                    <a:prstGeom prst="rect">
                      <a:avLst/>
                    </a:prstGeom>
                  </pic:spPr>
                </pic:pic>
              </a:graphicData>
            </a:graphic>
          </wp:inline>
        </w:drawing>
      </w:r>
    </w:p>
    <w:p>
      <w:pPr>
        <w:pStyle w:val="FigureCaption"/>
        <w:spacing w:after="40" w:line="276"/>
        <w:jc w:val="center"/>
      </w:pPr>
      <w:r>
        <w:rPr>
          <w:rFonts w:ascii="Times New Roman" w:cs="Times New Roman" w:eastAsia="Times New Roman" w:hAnsi="Times New Roman"/>
          <w:b/>
          <w:bCs/>
          <w:sz w:val="22"/>
          <w:szCs w:val="22"/>
        </w:rPr>
        <w:t xml:space="preserve">Figure 4.3: </w:t>
      </w:r>
      <w:r>
        <w:rPr>
          <w:rFonts w:ascii="Times New Roman" w:cs="Times New Roman" w:eastAsia="Times New Roman" w:hAnsi="Times New Roman"/>
          <w:sz w:val="22"/>
          <w:szCs w:val="22"/>
        </w:rPr>
        <w:t xml:space="preserve">Monthly median of daily statewide modal price by commodity</w:t>
      </w:r>
    </w:p>
    <w:p>
      <w:pPr>
        <w:spacing w:after="220" w:line="240"/>
        <w:jc w:val="center"/>
      </w:pPr>
      <w:r>
        <w:rPr>
          <w:rFonts w:ascii="Times New Roman" w:cs="Times New Roman" w:eastAsia="Times New Roman" w:hAnsi="Times New Roman"/>
          <w:i/>
          <w:iCs/>
          <w:sz w:val="18"/>
          <w:szCs w:val="18"/>
        </w:rPr>
        <w:t xml:space="preserve">Source: Author’s analysis.</w:t>
      </w:r>
    </w:p>
    <w:p>
      <w:pPr>
        <w:keepNext/>
        <w:spacing w:after="60" w:before="160"/>
        <w:jc w:val="center"/>
      </w:pPr>
      <w:r>
        <w:drawing>
          <wp:inline distT="0" distB="0" distL="0" distR="0">
            <wp:extent cx="5334000" cy="2809875"/>
            <wp:effectExtent t="0" r="0" b="0" l="0"/>
            <wp:docPr id="1" name="Figure 4.4" descr="Seasonal price index by calendar month (annual mean = 100)" title="Seasonal price index by calendar month (annual mean =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809875"/>
                    </a:xfrm>
                    <a:prstGeom prst="rect">
                      <a:avLst/>
                    </a:prstGeom>
                  </pic:spPr>
                </pic:pic>
              </a:graphicData>
            </a:graphic>
          </wp:inline>
        </w:drawing>
      </w:r>
    </w:p>
    <w:p>
      <w:pPr>
        <w:pStyle w:val="FigureCaption"/>
        <w:spacing w:after="40" w:line="276"/>
        <w:jc w:val="center"/>
      </w:pPr>
      <w:r>
        <w:rPr>
          <w:rFonts w:ascii="Times New Roman" w:cs="Times New Roman" w:eastAsia="Times New Roman" w:hAnsi="Times New Roman"/>
          <w:b/>
          <w:bCs/>
          <w:sz w:val="22"/>
          <w:szCs w:val="22"/>
        </w:rPr>
        <w:t xml:space="preserve">Figure 4.4: </w:t>
      </w:r>
      <w:r>
        <w:rPr>
          <w:rFonts w:ascii="Times New Roman" w:cs="Times New Roman" w:eastAsia="Times New Roman" w:hAnsi="Times New Roman"/>
          <w:sz w:val="22"/>
          <w:szCs w:val="22"/>
        </w:rPr>
        <w:t xml:space="preserve">Seasonal price index by calendar month (annual mean = 100)</w:t>
      </w:r>
    </w:p>
    <w:p>
      <w:pPr>
        <w:spacing w:after="220" w:line="240"/>
        <w:jc w:val="center"/>
      </w:pPr>
      <w:r>
        <w:rPr>
          <w:rFonts w:ascii="Times New Roman" w:cs="Times New Roman" w:eastAsia="Times New Roman" w:hAnsi="Times New Roman"/>
          <w:i/>
          <w:iCs/>
          <w:sz w:val="18"/>
          <w:szCs w:val="18"/>
        </w:rPr>
        <w:t xml:space="preserve">Source: Author’s analysis.</w:t>
      </w:r>
    </w:p>
    <w:p>
      <w:pPr>
        <w:spacing w:after="120" w:before="0" w:line="360"/>
        <w:jc w:val="both"/>
      </w:pPr>
      <w:r>
        <w:rPr>
          <w:rFonts w:ascii="Times New Roman" w:cs="Times New Roman" w:eastAsia="Times New Roman" w:hAnsi="Times New Roman"/>
          <w:b/>
          <w:bCs/>
        </w:rPr>
        <w:t xml:space="preserve">Interpretation of seasonality.</w:t>
      </w:r>
      <w:r>
        <w:rPr>
          <w:rFonts w:ascii="Times New Roman" w:cs="Times New Roman" w:eastAsia="Times New Roman" w:hAnsi="Times New Roman"/>
        </w:rPr>
        <w:t xml:space="preserve"> Over the 27 months available, most vegetables were cheapest between March and May and dearest in the second half of the year. Tomato’s index ranges from 63 in March to 149 in October, Onion’s from 63 in April to 147 in October, and Carrot and Potato peak in August (136 and 117). Drumstick shows the widest swing, from 50 in March to 191 in January. With only about two observations of each calendar month, these indices are indicative rather than stable estimates, but they agree with the national pattern reported by Ajmal et al. (2024) and Roy et al. (2024), which describes tomato as dearest in the second half of the year and onion as peaking towards the end of the year.</w:t>
      </w:r>
    </w:p>
    <w:p>
      <w:pPr>
        <w:keepNext/>
        <w:spacing w:after="60" w:before="160"/>
        <w:jc w:val="center"/>
      </w:pPr>
      <w:r>
        <w:drawing>
          <wp:inline distT="0" distB="0" distL="0" distR="0">
            <wp:extent cx="4267200" cy="3648075"/>
            <wp:effectExtent t="0" r="0" b="0" l="0"/>
            <wp:docPr id="1" name="Figure 4.5" descr="Correlation of monthly median prices across commodities" title="Correlation of monthly median prices across commod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67200" cy="3648075"/>
                    </a:xfrm>
                    <a:prstGeom prst="rect">
                      <a:avLst/>
                    </a:prstGeom>
                  </pic:spPr>
                </pic:pic>
              </a:graphicData>
            </a:graphic>
          </wp:inline>
        </w:drawing>
      </w:r>
    </w:p>
    <w:p>
      <w:pPr>
        <w:pStyle w:val="FigureCaption"/>
        <w:spacing w:after="40" w:line="276"/>
        <w:jc w:val="center"/>
      </w:pPr>
      <w:r>
        <w:rPr>
          <w:rFonts w:ascii="Times New Roman" w:cs="Times New Roman" w:eastAsia="Times New Roman" w:hAnsi="Times New Roman"/>
          <w:b/>
          <w:bCs/>
          <w:sz w:val="22"/>
          <w:szCs w:val="22"/>
        </w:rPr>
        <w:t xml:space="preserve">Figure 4.5: </w:t>
      </w:r>
      <w:r>
        <w:rPr>
          <w:rFonts w:ascii="Times New Roman" w:cs="Times New Roman" w:eastAsia="Times New Roman" w:hAnsi="Times New Roman"/>
          <w:sz w:val="22"/>
          <w:szCs w:val="22"/>
        </w:rPr>
        <w:t xml:space="preserve">Correlation of monthly median prices across commodities</w:t>
      </w:r>
    </w:p>
    <w:p>
      <w:pPr>
        <w:spacing w:after="220" w:line="240"/>
        <w:jc w:val="center"/>
      </w:pPr>
      <w:r>
        <w:rPr>
          <w:rFonts w:ascii="Times New Roman" w:cs="Times New Roman" w:eastAsia="Times New Roman" w:hAnsi="Times New Roman"/>
          <w:i/>
          <w:iCs/>
          <w:sz w:val="18"/>
          <w:szCs w:val="18"/>
        </w:rPr>
        <w:t xml:space="preserve">Source: Author’s analysis.</w:t>
      </w:r>
    </w:p>
    <w:p>
      <w:pPr>
        <w:spacing w:after="120" w:before="0" w:line="360"/>
        <w:jc w:val="both"/>
      </w:pPr>
      <w:r>
        <w:rPr>
          <w:rFonts w:ascii="Times New Roman" w:cs="Times New Roman" w:eastAsia="Times New Roman" w:hAnsi="Times New Roman"/>
          <w:b/>
          <w:bCs/>
        </w:rPr>
        <w:t xml:space="preserve">Interpretation of co-movement.</w:t>
      </w:r>
      <w:r>
        <w:rPr>
          <w:rFonts w:ascii="Times New Roman" w:cs="Times New Roman" w:eastAsia="Times New Roman" w:hAnsi="Times New Roman"/>
        </w:rPr>
        <w:t xml:space="preserve"> Brinjal, Cabbage, Carrot and Potato move closely together (r = 0.90–0.93), and Tomato and Onion correlate at 0.80 with each other and with Potato. Drumstick is largely independent of the others (r = 0.27–0.51), consistent with its distinct tree-crop supply cycle. Part of the high co-movement reflects the common unit-error days noted in Section 4.2. Nonetheless, the pattern supports the use of cross-commodity features and matches the horizontal volatility transmission found by Padhi et al. (2023).</w:t>
      </w:r>
    </w:p>
    <w:p>
      <w:pPr>
        <w:pStyle w:val="Heading2"/>
        <w:keepNext/>
        <w:spacing w:after="120" w:before="280"/>
      </w:pPr>
      <w:r>
        <w:rPr>
          <w:rFonts w:ascii="Times New Roman" w:cs="Times New Roman" w:eastAsia="Times New Roman" w:hAnsi="Times New Roman"/>
          <w:b/>
          <w:bCs/>
          <w:sz w:val="26"/>
          <w:szCs w:val="26"/>
        </w:rPr>
        <w:t xml:space="preserve">4.4 Stationarity Testing</w:t>
      </w:r>
    </w:p>
    <w:p>
      <w:pPr>
        <w:pStyle w:val="TableCaption"/>
        <w:keepNext/>
        <w:spacing w:after="80" w:before="200" w:line="276"/>
        <w:jc w:val="center"/>
      </w:pPr>
      <w:r>
        <w:rPr>
          <w:rFonts w:ascii="Times New Roman" w:cs="Times New Roman" w:eastAsia="Times New Roman" w:hAnsi="Times New Roman"/>
          <w:b/>
          <w:bCs/>
          <w:sz w:val="22"/>
          <w:szCs w:val="22"/>
        </w:rPr>
        <w:t xml:space="preserve">Table 4.3: </w:t>
      </w:r>
      <w:r>
        <w:rPr>
          <w:rFonts w:ascii="Times New Roman" w:cs="Times New Roman" w:eastAsia="Times New Roman" w:hAnsi="Times New Roman"/>
          <w:sz w:val="22"/>
          <w:szCs w:val="22"/>
        </w:rPr>
        <w:t xml:space="preserve">Augmented Dickey–Fuller test on daily statewide median price</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1830"/>
        <w:gridCol w:w="1690"/>
        <w:gridCol w:w="1408"/>
        <w:gridCol w:w="1267"/>
        <w:gridCol w:w="2253"/>
      </w:tblGrid>
      <w:tr>
        <w:trPr>
          <w:cantSplit/>
          <w:tblHeader/>
        </w:trPr>
        <w:tc>
          <w:tcPr>
            <w:tcW w:type="dxa" w:w="183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Commodity</w:t>
            </w:r>
          </w:p>
        </w:tc>
        <w:tc>
          <w:tcPr>
            <w:tcW w:type="dxa" w:w="169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ADF statistic</w:t>
            </w:r>
          </w:p>
        </w:tc>
        <w:tc>
          <w:tcPr>
            <w:tcW w:type="dxa" w:w="140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p-value</w:t>
            </w:r>
          </w:p>
        </w:tc>
        <w:tc>
          <w:tcPr>
            <w:tcW w:type="dxa" w:w="126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Lags used</w:t>
            </w:r>
          </w:p>
        </w:tc>
        <w:tc>
          <w:tcPr>
            <w:tcW w:type="dxa" w:w="225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Decision (5%)</w:t>
            </w:r>
          </w:p>
        </w:tc>
      </w:tr>
      <w:tr>
        <w:trPr>
          <w:cantSplit/>
        </w:trPr>
        <w:tc>
          <w:tcPr>
            <w:tcW w:type="dxa" w:w="18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Beans</w:t>
            </w:r>
          </w:p>
        </w:tc>
        <w:tc>
          <w:tcPr>
            <w:tcW w:type="dxa" w:w="169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-3.99</w:t>
            </w:r>
          </w:p>
        </w:tc>
        <w:tc>
          <w:tcPr>
            <w:tcW w:type="dxa" w:w="14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0.0014</w:t>
            </w:r>
          </w:p>
        </w:tc>
        <w:tc>
          <w:tcPr>
            <w:tcW w:type="dxa" w:w="12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5</w:t>
            </w:r>
          </w:p>
        </w:tc>
        <w:tc>
          <w:tcPr>
            <w:tcW w:type="dxa" w:w="225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Reject unit root</w:t>
            </w:r>
          </w:p>
        </w:tc>
      </w:tr>
      <w:tr>
        <w:trPr>
          <w:cantSplit/>
        </w:trPr>
        <w:tc>
          <w:tcPr>
            <w:tcW w:type="dxa" w:w="18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Brinjal</w:t>
            </w:r>
          </w:p>
        </w:tc>
        <w:tc>
          <w:tcPr>
            <w:tcW w:type="dxa" w:w="169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-4.37</w:t>
            </w:r>
          </w:p>
        </w:tc>
        <w:tc>
          <w:tcPr>
            <w:tcW w:type="dxa" w:w="14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0.0003</w:t>
            </w:r>
          </w:p>
        </w:tc>
        <w:tc>
          <w:tcPr>
            <w:tcW w:type="dxa" w:w="12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4</w:t>
            </w:r>
          </w:p>
        </w:tc>
        <w:tc>
          <w:tcPr>
            <w:tcW w:type="dxa" w:w="225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Reject unit root</w:t>
            </w:r>
          </w:p>
        </w:tc>
      </w:tr>
      <w:tr>
        <w:trPr>
          <w:cantSplit/>
        </w:trPr>
        <w:tc>
          <w:tcPr>
            <w:tcW w:type="dxa" w:w="18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Cabbage</w:t>
            </w:r>
          </w:p>
        </w:tc>
        <w:tc>
          <w:tcPr>
            <w:tcW w:type="dxa" w:w="169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-4.82</w:t>
            </w:r>
          </w:p>
        </w:tc>
        <w:tc>
          <w:tcPr>
            <w:tcW w:type="dxa" w:w="14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&lt;0.0001</w:t>
            </w:r>
          </w:p>
        </w:tc>
        <w:tc>
          <w:tcPr>
            <w:tcW w:type="dxa" w:w="12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w:t>
            </w:r>
          </w:p>
        </w:tc>
        <w:tc>
          <w:tcPr>
            <w:tcW w:type="dxa" w:w="225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Reject unit root</w:t>
            </w:r>
          </w:p>
        </w:tc>
      </w:tr>
      <w:tr>
        <w:trPr>
          <w:cantSplit/>
        </w:trPr>
        <w:tc>
          <w:tcPr>
            <w:tcW w:type="dxa" w:w="18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Carrot</w:t>
            </w:r>
          </w:p>
        </w:tc>
        <w:tc>
          <w:tcPr>
            <w:tcW w:type="dxa" w:w="169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-4.66</w:t>
            </w:r>
          </w:p>
        </w:tc>
        <w:tc>
          <w:tcPr>
            <w:tcW w:type="dxa" w:w="14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0.0001</w:t>
            </w:r>
          </w:p>
        </w:tc>
        <w:tc>
          <w:tcPr>
            <w:tcW w:type="dxa" w:w="12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2</w:t>
            </w:r>
          </w:p>
        </w:tc>
        <w:tc>
          <w:tcPr>
            <w:tcW w:type="dxa" w:w="225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Reject unit root</w:t>
            </w:r>
          </w:p>
        </w:tc>
      </w:tr>
      <w:tr>
        <w:trPr>
          <w:cantSplit/>
        </w:trPr>
        <w:tc>
          <w:tcPr>
            <w:tcW w:type="dxa" w:w="18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Drumstick</w:t>
            </w:r>
          </w:p>
        </w:tc>
        <w:tc>
          <w:tcPr>
            <w:tcW w:type="dxa" w:w="169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-5.63</w:t>
            </w:r>
          </w:p>
        </w:tc>
        <w:tc>
          <w:tcPr>
            <w:tcW w:type="dxa" w:w="14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&lt;0.0001</w:t>
            </w:r>
          </w:p>
        </w:tc>
        <w:tc>
          <w:tcPr>
            <w:tcW w:type="dxa" w:w="12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4</w:t>
            </w:r>
          </w:p>
        </w:tc>
        <w:tc>
          <w:tcPr>
            <w:tcW w:type="dxa" w:w="225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Reject unit root</w:t>
            </w:r>
          </w:p>
        </w:tc>
      </w:tr>
      <w:tr>
        <w:trPr>
          <w:cantSplit/>
        </w:trPr>
        <w:tc>
          <w:tcPr>
            <w:tcW w:type="dxa" w:w="18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Onion</w:t>
            </w:r>
          </w:p>
        </w:tc>
        <w:tc>
          <w:tcPr>
            <w:tcW w:type="dxa" w:w="169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-5.15</w:t>
            </w:r>
          </w:p>
        </w:tc>
        <w:tc>
          <w:tcPr>
            <w:tcW w:type="dxa" w:w="14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&lt;0.0001</w:t>
            </w:r>
          </w:p>
        </w:tc>
        <w:tc>
          <w:tcPr>
            <w:tcW w:type="dxa" w:w="12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2</w:t>
            </w:r>
          </w:p>
        </w:tc>
        <w:tc>
          <w:tcPr>
            <w:tcW w:type="dxa" w:w="225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Reject unit root</w:t>
            </w:r>
          </w:p>
        </w:tc>
      </w:tr>
      <w:tr>
        <w:trPr>
          <w:cantSplit/>
        </w:trPr>
        <w:tc>
          <w:tcPr>
            <w:tcW w:type="dxa" w:w="18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Potato</w:t>
            </w:r>
          </w:p>
        </w:tc>
        <w:tc>
          <w:tcPr>
            <w:tcW w:type="dxa" w:w="169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-4.43</w:t>
            </w:r>
          </w:p>
        </w:tc>
        <w:tc>
          <w:tcPr>
            <w:tcW w:type="dxa" w:w="14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0.0003</w:t>
            </w:r>
          </w:p>
        </w:tc>
        <w:tc>
          <w:tcPr>
            <w:tcW w:type="dxa" w:w="12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2</w:t>
            </w:r>
          </w:p>
        </w:tc>
        <w:tc>
          <w:tcPr>
            <w:tcW w:type="dxa" w:w="225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Reject unit root</w:t>
            </w:r>
          </w:p>
        </w:tc>
      </w:tr>
      <w:tr>
        <w:trPr>
          <w:cantSplit/>
        </w:trPr>
        <w:tc>
          <w:tcPr>
            <w:tcW w:type="dxa" w:w="18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Tomato</w:t>
            </w:r>
          </w:p>
        </w:tc>
        <w:tc>
          <w:tcPr>
            <w:tcW w:type="dxa" w:w="169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-6.25</w:t>
            </w:r>
          </w:p>
        </w:tc>
        <w:tc>
          <w:tcPr>
            <w:tcW w:type="dxa" w:w="14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&lt;0.0001</w:t>
            </w:r>
          </w:p>
        </w:tc>
        <w:tc>
          <w:tcPr>
            <w:tcW w:type="dxa" w:w="12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6</w:t>
            </w:r>
          </w:p>
        </w:tc>
        <w:tc>
          <w:tcPr>
            <w:tcW w:type="dxa" w:w="225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Reject unit root</w:t>
            </w:r>
          </w:p>
        </w:tc>
      </w:tr>
    </w:tbl>
    <w:p>
      <w:pPr>
        <w:spacing w:after="200" w:before="60" w:line="240"/>
      </w:pPr>
      <w:r>
        <w:rPr>
          <w:rFonts w:ascii="Times New Roman" w:cs="Times New Roman" w:eastAsia="Times New Roman" w:hAnsi="Times New Roman"/>
          <w:i/>
          <w:iCs/>
          <w:sz w:val="18"/>
          <w:szCs w:val="18"/>
        </w:rPr>
        <w:t xml:space="preserve">Source: Author’s analysis.</w:t>
      </w:r>
    </w:p>
    <w:p>
      <w:pPr>
        <w:spacing w:after="120" w:before="0" w:line="360"/>
        <w:jc w:val="both"/>
      </w:pPr>
      <w:r>
        <w:rPr>
          <w:rFonts w:ascii="Times New Roman" w:cs="Times New Roman" w:eastAsia="Times New Roman" w:hAnsi="Times New Roman"/>
          <w:b/>
          <w:bCs/>
        </w:rPr>
        <w:t xml:space="preserve">Interpretation.</w:t>
      </w:r>
      <w:r>
        <w:rPr>
          <w:rFonts w:ascii="Times New Roman" w:cs="Times New Roman" w:eastAsia="Times New Roman" w:hAnsi="Times New Roman"/>
        </w:rPr>
        <w:t xml:space="preserve"> The null hypothesis of a unit root is rejected for all eight series at the 1% level. Over this window the daily prices are mean-reverting around a level rather than drifting like a random walk. This is consistent with the SARIMA order selection in Table 4.4, where </w:t>
      </w:r>
      <w:r>
        <w:rPr>
          <w:rFonts w:ascii="Times New Roman" w:cs="Times New Roman" w:eastAsia="Times New Roman" w:hAnsi="Times New Roman"/>
          <w:i/>
          <w:iCs/>
        </w:rPr>
        <w:t xml:space="preserve">d</w:t>
      </w:r>
      <w:r>
        <w:rPr>
          <w:rFonts w:ascii="Times New Roman" w:cs="Times New Roman" w:eastAsia="Times New Roman" w:hAnsi="Times New Roman"/>
        </w:rPr>
        <w:t xml:space="preserve"> = 0 was chosen for every commodity, and with the negative momentum coefficients found in Section 4.11.</w:t>
      </w:r>
    </w:p>
    <w:p>
      <w:pPr>
        <w:pStyle w:val="Heading2"/>
        <w:keepNext/>
        <w:spacing w:after="120" w:before="280"/>
      </w:pPr>
      <w:r>
        <w:rPr>
          <w:rFonts w:ascii="Times New Roman" w:cs="Times New Roman" w:eastAsia="Times New Roman" w:hAnsi="Times New Roman"/>
          <w:b/>
          <w:bCs/>
          <w:sz w:val="26"/>
          <w:szCs w:val="26"/>
        </w:rPr>
        <w:t xml:space="preserve">4.5 Statewide Forecasting Results</w:t>
      </w:r>
    </w:p>
    <w:p>
      <w:pPr>
        <w:pStyle w:val="TableCaption"/>
        <w:keepNext/>
        <w:spacing w:after="80" w:before="200" w:line="276"/>
        <w:jc w:val="center"/>
      </w:pPr>
      <w:r>
        <w:rPr>
          <w:rFonts w:ascii="Times New Roman" w:cs="Times New Roman" w:eastAsia="Times New Roman" w:hAnsi="Times New Roman"/>
          <w:b/>
          <w:bCs/>
          <w:sz w:val="22"/>
          <w:szCs w:val="22"/>
        </w:rPr>
        <w:t xml:space="preserve">Table 4.4: </w:t>
      </w:r>
      <w:r>
        <w:rPr>
          <w:rFonts w:ascii="Times New Roman" w:cs="Times New Roman" w:eastAsia="Times New Roman" w:hAnsi="Times New Roman"/>
          <w:sz w:val="22"/>
          <w:szCs w:val="22"/>
        </w:rPr>
        <w:t xml:space="preserve">Statewide 90-day holdout MAPE (%) by commodity and model</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1191"/>
        <w:gridCol w:w="1625"/>
        <w:gridCol w:w="975"/>
        <w:gridCol w:w="975"/>
        <w:gridCol w:w="866"/>
        <w:gridCol w:w="975"/>
        <w:gridCol w:w="866"/>
        <w:gridCol w:w="975"/>
      </w:tblGrid>
      <w:tr>
        <w:trPr>
          <w:cantSplit/>
          <w:tblHeader/>
        </w:trPr>
        <w:tc>
          <w:tcPr>
            <w:tcW w:type="dxa" w:w="1191"/>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Commodity</w:t>
            </w:r>
          </w:p>
        </w:tc>
        <w:tc>
          <w:tcPr>
            <w:tcW w:type="dxa" w:w="162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SARIMA order</w:t>
            </w:r>
          </w:p>
        </w:tc>
        <w:tc>
          <w:tcPr>
            <w:tcW w:type="dxa" w:w="97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SARIMA static</w:t>
            </w:r>
          </w:p>
        </w:tc>
        <w:tc>
          <w:tcPr>
            <w:tcW w:type="dxa" w:w="97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SARIMA 7-day WF</w:t>
            </w:r>
          </w:p>
        </w:tc>
        <w:tc>
          <w:tcPr>
            <w:tcW w:type="dxa" w:w="86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Prophet</w:t>
            </w:r>
          </w:p>
        </w:tc>
        <w:tc>
          <w:tcPr>
            <w:tcW w:type="dxa" w:w="97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Random Forest</w:t>
            </w:r>
          </w:p>
        </w:tc>
        <w:tc>
          <w:tcPr>
            <w:tcW w:type="dxa" w:w="86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XGBoost</w:t>
            </w:r>
          </w:p>
        </w:tc>
        <w:tc>
          <w:tcPr>
            <w:tcW w:type="dxa" w:w="97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Naive (static)</w:t>
            </w:r>
          </w:p>
        </w:tc>
      </w:tr>
      <w:tr>
        <w:trPr>
          <w:cantSplit/>
        </w:trPr>
        <w:tc>
          <w:tcPr>
            <w:tcW w:type="dxa" w:w="11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Beans</w:t>
            </w:r>
          </w:p>
        </w:tc>
        <w:tc>
          <w:tcPr>
            <w:tcW w:type="dxa" w:w="162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(1,0,1)(0,1,1)₇</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9.88</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5.33</w:t>
            </w:r>
          </w:p>
        </w:tc>
        <w:tc>
          <w:tcPr>
            <w:tcW w:type="dxa" w:w="86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14.36</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11.35</w:t>
            </w:r>
          </w:p>
        </w:tc>
        <w:tc>
          <w:tcPr>
            <w:tcW w:type="dxa" w:w="86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14.87</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11.93</w:t>
            </w:r>
          </w:p>
        </w:tc>
      </w:tr>
      <w:tr>
        <w:trPr>
          <w:cantSplit/>
        </w:trPr>
        <w:tc>
          <w:tcPr>
            <w:tcW w:type="dxa" w:w="11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Brinjal</w:t>
            </w:r>
          </w:p>
        </w:tc>
        <w:tc>
          <w:tcPr>
            <w:tcW w:type="dxa" w:w="162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(1,0,1)(0,1,1)₇</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20.62</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6.52</w:t>
            </w:r>
          </w:p>
        </w:tc>
        <w:tc>
          <w:tcPr>
            <w:tcW w:type="dxa" w:w="86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11.27</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13.05</w:t>
            </w:r>
          </w:p>
        </w:tc>
        <w:tc>
          <w:tcPr>
            <w:tcW w:type="dxa" w:w="86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14.68</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14.33</w:t>
            </w:r>
          </w:p>
        </w:tc>
      </w:tr>
      <w:tr>
        <w:trPr>
          <w:cantSplit/>
        </w:trPr>
        <w:tc>
          <w:tcPr>
            <w:tcW w:type="dxa" w:w="11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Cabbage</w:t>
            </w:r>
          </w:p>
        </w:tc>
        <w:tc>
          <w:tcPr>
            <w:tcW w:type="dxa" w:w="162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(2,0,1)(0,1,1)₇</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12.66</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7.30</w:t>
            </w:r>
          </w:p>
        </w:tc>
        <w:tc>
          <w:tcPr>
            <w:tcW w:type="dxa" w:w="86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8.46</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6.11</w:t>
            </w:r>
          </w:p>
        </w:tc>
        <w:tc>
          <w:tcPr>
            <w:tcW w:type="dxa" w:w="86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7.84</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20.06</w:t>
            </w:r>
          </w:p>
        </w:tc>
      </w:tr>
      <w:tr>
        <w:trPr>
          <w:cantSplit/>
        </w:trPr>
        <w:tc>
          <w:tcPr>
            <w:tcW w:type="dxa" w:w="11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Carrot</w:t>
            </w:r>
          </w:p>
        </w:tc>
        <w:tc>
          <w:tcPr>
            <w:tcW w:type="dxa" w:w="162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(2,0,1)(0,1,1)₇</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52.24</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11.90</w:t>
            </w:r>
          </w:p>
        </w:tc>
        <w:tc>
          <w:tcPr>
            <w:tcW w:type="dxa" w:w="86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34.52</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10.43</w:t>
            </w:r>
          </w:p>
        </w:tc>
        <w:tc>
          <w:tcPr>
            <w:tcW w:type="dxa" w:w="86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11.58</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29.50</w:t>
            </w:r>
          </w:p>
        </w:tc>
      </w:tr>
      <w:tr>
        <w:trPr>
          <w:cantSplit/>
        </w:trPr>
        <w:tc>
          <w:tcPr>
            <w:tcW w:type="dxa" w:w="11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Drumstick</w:t>
            </w:r>
          </w:p>
        </w:tc>
        <w:tc>
          <w:tcPr>
            <w:tcW w:type="dxa" w:w="162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(2,0,0)(1,1,1)₇</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55.81</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23.07</w:t>
            </w:r>
          </w:p>
        </w:tc>
        <w:tc>
          <w:tcPr>
            <w:tcW w:type="dxa" w:w="86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31.76</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19.97</w:t>
            </w:r>
          </w:p>
        </w:tc>
        <w:tc>
          <w:tcPr>
            <w:tcW w:type="dxa" w:w="86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25.72</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225.66</w:t>
            </w:r>
          </w:p>
        </w:tc>
      </w:tr>
      <w:tr>
        <w:trPr>
          <w:cantSplit/>
        </w:trPr>
        <w:tc>
          <w:tcPr>
            <w:tcW w:type="dxa" w:w="11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Onion</w:t>
            </w:r>
          </w:p>
        </w:tc>
        <w:tc>
          <w:tcPr>
            <w:tcW w:type="dxa" w:w="162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(1,0,1)(1,1,1)₇</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34.46</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7.07</w:t>
            </w:r>
          </w:p>
        </w:tc>
        <w:tc>
          <w:tcPr>
            <w:tcW w:type="dxa" w:w="86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18.91</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9.36</w:t>
            </w:r>
          </w:p>
        </w:tc>
        <w:tc>
          <w:tcPr>
            <w:tcW w:type="dxa" w:w="86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11.86</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21.08</w:t>
            </w:r>
          </w:p>
        </w:tc>
      </w:tr>
      <w:tr>
        <w:trPr>
          <w:cantSplit/>
        </w:trPr>
        <w:tc>
          <w:tcPr>
            <w:tcW w:type="dxa" w:w="11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Potato</w:t>
            </w:r>
          </w:p>
        </w:tc>
        <w:tc>
          <w:tcPr>
            <w:tcW w:type="dxa" w:w="162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(1,0,1)(0,1,1)₇</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21.55</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6.51</w:t>
            </w:r>
          </w:p>
        </w:tc>
        <w:tc>
          <w:tcPr>
            <w:tcW w:type="dxa" w:w="86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10.34</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8.00</w:t>
            </w:r>
          </w:p>
        </w:tc>
        <w:tc>
          <w:tcPr>
            <w:tcW w:type="dxa" w:w="86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9.81</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18.49</w:t>
            </w:r>
          </w:p>
        </w:tc>
      </w:tr>
      <w:tr>
        <w:trPr>
          <w:cantSplit/>
        </w:trPr>
        <w:tc>
          <w:tcPr>
            <w:tcW w:type="dxa" w:w="11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Tomato</w:t>
            </w:r>
          </w:p>
        </w:tc>
        <w:tc>
          <w:tcPr>
            <w:tcW w:type="dxa" w:w="162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(1,0,1)(0,1,1)₇</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53.57</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15.99</w:t>
            </w:r>
          </w:p>
        </w:tc>
        <w:tc>
          <w:tcPr>
            <w:tcW w:type="dxa" w:w="86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25.05</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12.26</w:t>
            </w:r>
          </w:p>
        </w:tc>
        <w:tc>
          <w:tcPr>
            <w:tcW w:type="dxa" w:w="86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15.49</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51.65</w:t>
            </w:r>
          </w:p>
        </w:tc>
      </w:tr>
      <w:tr>
        <w:trPr>
          <w:cantSplit/>
        </w:trPr>
        <w:tc>
          <w:tcPr>
            <w:tcW w:type="dxa" w:w="11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Mean</w:t>
            </w:r>
          </w:p>
        </w:tc>
        <w:tc>
          <w:tcPr>
            <w:tcW w:type="dxa" w:w="162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32.60</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10.46</w:t>
            </w:r>
          </w:p>
        </w:tc>
        <w:tc>
          <w:tcPr>
            <w:tcW w:type="dxa" w:w="86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19.33</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11.32</w:t>
            </w:r>
          </w:p>
        </w:tc>
        <w:tc>
          <w:tcPr>
            <w:tcW w:type="dxa" w:w="86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13.98</w:t>
            </w:r>
          </w:p>
        </w:tc>
        <w:tc>
          <w:tcPr>
            <w:tcW w:type="dxa" w:w="9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49.09</w:t>
            </w:r>
          </w:p>
        </w:tc>
      </w:tr>
    </w:tbl>
    <w:p>
      <w:pPr>
        <w:spacing w:after="200" w:before="60" w:line="240"/>
      </w:pPr>
      <w:r>
        <w:rPr>
          <w:rFonts w:ascii="Times New Roman" w:cs="Times New Roman" w:eastAsia="Times New Roman" w:hAnsi="Times New Roman"/>
          <w:i/>
          <w:iCs/>
          <w:sz w:val="18"/>
          <w:szCs w:val="18"/>
        </w:rPr>
        <w:t xml:space="preserve">Source: Author’s analysis (protocols A1 and A2). “Naive (static)” repeats the last training value for all 90 days.</w:t>
      </w:r>
    </w:p>
    <w:p>
      <w:pPr>
        <w:pStyle w:val="TableCaption"/>
        <w:keepNext/>
        <w:spacing w:after="80" w:before="200" w:line="276"/>
        <w:jc w:val="center"/>
      </w:pPr>
      <w:r>
        <w:rPr>
          <w:rFonts w:ascii="Times New Roman" w:cs="Times New Roman" w:eastAsia="Times New Roman" w:hAnsi="Times New Roman"/>
          <w:b/>
          <w:bCs/>
          <w:sz w:val="22"/>
          <w:szCs w:val="22"/>
        </w:rPr>
        <w:t xml:space="preserve">Table 4.5: </w:t>
      </w:r>
      <w:r>
        <w:rPr>
          <w:rFonts w:ascii="Times New Roman" w:cs="Times New Roman" w:eastAsia="Times New Roman" w:hAnsi="Times New Roman"/>
          <w:sz w:val="22"/>
          <w:szCs w:val="22"/>
        </w:rPr>
        <w:t xml:space="preserve">Statewide holdout RMSE and MAE (₹/quintal)</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1448"/>
        <w:gridCol w:w="1207"/>
        <w:gridCol w:w="1207"/>
        <w:gridCol w:w="1086"/>
        <w:gridCol w:w="1207"/>
        <w:gridCol w:w="1086"/>
        <w:gridCol w:w="1207"/>
      </w:tblGrid>
      <w:tr>
        <w:trPr>
          <w:cantSplit/>
          <w:tblHeader/>
        </w:trPr>
        <w:tc>
          <w:tcPr>
            <w:tcW w:type="dxa" w:w="144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Commodity</w:t>
            </w:r>
          </w:p>
        </w:tc>
        <w:tc>
          <w:tcPr>
            <w:tcW w:type="dxa" w:w="120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SARIMA WF RMSE</w:t>
            </w:r>
          </w:p>
        </w:tc>
        <w:tc>
          <w:tcPr>
            <w:tcW w:type="dxa" w:w="120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Prophet RMSE</w:t>
            </w:r>
          </w:p>
        </w:tc>
        <w:tc>
          <w:tcPr>
            <w:tcW w:type="dxa" w:w="108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RF RMSE</w:t>
            </w:r>
          </w:p>
        </w:tc>
        <w:tc>
          <w:tcPr>
            <w:tcW w:type="dxa" w:w="120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XGBoost RMSE</w:t>
            </w:r>
          </w:p>
        </w:tc>
        <w:tc>
          <w:tcPr>
            <w:tcW w:type="dxa" w:w="108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RF MAE</w:t>
            </w:r>
          </w:p>
        </w:tc>
        <w:tc>
          <w:tcPr>
            <w:tcW w:type="dxa" w:w="120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XGBoost MAE</w:t>
            </w:r>
          </w:p>
        </w:tc>
      </w:tr>
      <w:tr>
        <w:trPr>
          <w:cantSplit/>
        </w:trPr>
        <w:tc>
          <w:tcPr>
            <w:tcW w:type="dxa" w:w="144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Beans</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410</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1,121</w:t>
            </w:r>
          </w:p>
        </w:tc>
        <w:tc>
          <w:tcPr>
            <w:tcW w:type="dxa" w:w="10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800</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1,038</w:t>
            </w:r>
          </w:p>
        </w:tc>
        <w:tc>
          <w:tcPr>
            <w:tcW w:type="dxa" w:w="10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609</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810</w:t>
            </w:r>
          </w:p>
        </w:tc>
      </w:tr>
      <w:tr>
        <w:trPr>
          <w:cantSplit/>
        </w:trPr>
        <w:tc>
          <w:tcPr>
            <w:tcW w:type="dxa" w:w="144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Brinjal</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285</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455</w:t>
            </w:r>
          </w:p>
        </w:tc>
        <w:tc>
          <w:tcPr>
            <w:tcW w:type="dxa" w:w="10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514</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602</w:t>
            </w:r>
          </w:p>
        </w:tc>
        <w:tc>
          <w:tcPr>
            <w:tcW w:type="dxa" w:w="10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404</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453</w:t>
            </w:r>
          </w:p>
        </w:tc>
      </w:tr>
      <w:tr>
        <w:trPr>
          <w:cantSplit/>
        </w:trPr>
        <w:tc>
          <w:tcPr>
            <w:tcW w:type="dxa" w:w="144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Cabbage</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213</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266</w:t>
            </w:r>
          </w:p>
        </w:tc>
        <w:tc>
          <w:tcPr>
            <w:tcW w:type="dxa" w:w="10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179</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222</w:t>
            </w:r>
          </w:p>
        </w:tc>
        <w:tc>
          <w:tcPr>
            <w:tcW w:type="dxa" w:w="10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140</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179</w:t>
            </w:r>
          </w:p>
        </w:tc>
      </w:tr>
      <w:tr>
        <w:trPr>
          <w:cantSplit/>
        </w:trPr>
        <w:tc>
          <w:tcPr>
            <w:tcW w:type="dxa" w:w="144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Carrot</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586</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1,505</w:t>
            </w:r>
          </w:p>
        </w:tc>
        <w:tc>
          <w:tcPr>
            <w:tcW w:type="dxa" w:w="10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551</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614</w:t>
            </w:r>
          </w:p>
        </w:tc>
        <w:tc>
          <w:tcPr>
            <w:tcW w:type="dxa" w:w="10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421</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468</w:t>
            </w:r>
          </w:p>
        </w:tc>
      </w:tr>
      <w:tr>
        <w:trPr>
          <w:cantSplit/>
        </w:trPr>
        <w:tc>
          <w:tcPr>
            <w:tcW w:type="dxa" w:w="144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Drumstick</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1,410</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1,979</w:t>
            </w:r>
          </w:p>
        </w:tc>
        <w:tc>
          <w:tcPr>
            <w:tcW w:type="dxa" w:w="10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1,513</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2,019</w:t>
            </w:r>
          </w:p>
        </w:tc>
        <w:tc>
          <w:tcPr>
            <w:tcW w:type="dxa" w:w="10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1,119</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1,352</w:t>
            </w:r>
          </w:p>
        </w:tc>
      </w:tr>
      <w:tr>
        <w:trPr>
          <w:cantSplit/>
        </w:trPr>
        <w:tc>
          <w:tcPr>
            <w:tcW w:type="dxa" w:w="144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Onion</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230</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591</w:t>
            </w:r>
          </w:p>
        </w:tc>
        <w:tc>
          <w:tcPr>
            <w:tcW w:type="dxa" w:w="10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313</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428</w:t>
            </w:r>
          </w:p>
        </w:tc>
        <w:tc>
          <w:tcPr>
            <w:tcW w:type="dxa" w:w="10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259</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333</w:t>
            </w:r>
          </w:p>
        </w:tc>
      </w:tr>
      <w:tr>
        <w:trPr>
          <w:cantSplit/>
        </w:trPr>
        <w:tc>
          <w:tcPr>
            <w:tcW w:type="dxa" w:w="144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Potato</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257</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380</w:t>
            </w:r>
          </w:p>
        </w:tc>
        <w:tc>
          <w:tcPr>
            <w:tcW w:type="dxa" w:w="10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322</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383</w:t>
            </w:r>
          </w:p>
        </w:tc>
        <w:tc>
          <w:tcPr>
            <w:tcW w:type="dxa" w:w="10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247</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302</w:t>
            </w:r>
          </w:p>
        </w:tc>
      </w:tr>
      <w:tr>
        <w:trPr>
          <w:cantSplit/>
        </w:trPr>
        <w:tc>
          <w:tcPr>
            <w:tcW w:type="dxa" w:w="144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Tomato</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344</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602</w:t>
            </w:r>
          </w:p>
        </w:tc>
        <w:tc>
          <w:tcPr>
            <w:tcW w:type="dxa" w:w="10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283</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362</w:t>
            </w:r>
          </w:p>
        </w:tc>
        <w:tc>
          <w:tcPr>
            <w:tcW w:type="dxa" w:w="10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234</w:t>
            </w:r>
          </w:p>
        </w:tc>
        <w:tc>
          <w:tcPr>
            <w:tcW w:type="dxa" w:w="120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291</w:t>
            </w:r>
          </w:p>
        </w:tc>
      </w:tr>
    </w:tbl>
    <w:p>
      <w:pPr>
        <w:spacing w:after="200" w:before="60" w:line="240"/>
      </w:pPr>
      <w:r>
        <w:rPr>
          <w:rFonts w:ascii="Times New Roman" w:cs="Times New Roman" w:eastAsia="Times New Roman" w:hAnsi="Times New Roman"/>
          <w:i/>
          <w:iCs/>
          <w:sz w:val="18"/>
          <w:szCs w:val="18"/>
        </w:rPr>
        <w:t xml:space="preserve">Source: Author’s analysis.</w:t>
      </w:r>
    </w:p>
    <w:p>
      <w:pPr>
        <w:keepNext/>
        <w:spacing w:after="60" w:before="160"/>
        <w:jc w:val="center"/>
      </w:pPr>
      <w:r>
        <w:drawing>
          <wp:inline distT="0" distB="0" distL="0" distR="0">
            <wp:extent cx="5334000" cy="3028950"/>
            <wp:effectExtent t="0" r="0" b="0" l="0"/>
            <wp:docPr id="1" name="Figure 4.6" descr="Statewide 90-day holdout MAPE by commodity and model" title="Statewide 90-day holdout MAPE by commodity and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028950"/>
                    </a:xfrm>
                    <a:prstGeom prst="rect">
                      <a:avLst/>
                    </a:prstGeom>
                  </pic:spPr>
                </pic:pic>
              </a:graphicData>
            </a:graphic>
          </wp:inline>
        </w:drawing>
      </w:r>
    </w:p>
    <w:p>
      <w:pPr>
        <w:pStyle w:val="FigureCaption"/>
        <w:spacing w:after="40" w:line="276"/>
        <w:jc w:val="center"/>
      </w:pPr>
      <w:r>
        <w:rPr>
          <w:rFonts w:ascii="Times New Roman" w:cs="Times New Roman" w:eastAsia="Times New Roman" w:hAnsi="Times New Roman"/>
          <w:b/>
          <w:bCs/>
          <w:sz w:val="22"/>
          <w:szCs w:val="22"/>
        </w:rPr>
        <w:t xml:space="preserve">Figure 4.6: </w:t>
      </w:r>
      <w:r>
        <w:rPr>
          <w:rFonts w:ascii="Times New Roman" w:cs="Times New Roman" w:eastAsia="Times New Roman" w:hAnsi="Times New Roman"/>
          <w:sz w:val="22"/>
          <w:szCs w:val="22"/>
        </w:rPr>
        <w:t xml:space="preserve">Statewide 90-day holdout MAPE by commodity and model</w:t>
      </w:r>
    </w:p>
    <w:p>
      <w:pPr>
        <w:spacing w:after="220" w:line="240"/>
        <w:jc w:val="center"/>
      </w:pPr>
      <w:r>
        <w:rPr>
          <w:rFonts w:ascii="Times New Roman" w:cs="Times New Roman" w:eastAsia="Times New Roman" w:hAnsi="Times New Roman"/>
          <w:i/>
          <w:iCs/>
          <w:sz w:val="18"/>
          <w:szCs w:val="18"/>
        </w:rPr>
        <w:t xml:space="preserve">Source: Author’s analysis.</w:t>
      </w:r>
    </w:p>
    <w:p>
      <w:pPr>
        <w:spacing w:after="120" w:before="0" w:line="360"/>
        <w:jc w:val="both"/>
      </w:pPr>
      <w:r>
        <w:rPr>
          <w:rFonts w:ascii="Times New Roman" w:cs="Times New Roman" w:eastAsia="Times New Roman" w:hAnsi="Times New Roman"/>
          <w:b/>
          <w:bCs/>
        </w:rPr>
        <w:t xml:space="preserve">Interpretation.</w:t>
      </w:r>
      <w:r>
        <w:rPr>
          <w:rFonts w:ascii="Times New Roman" w:cs="Times New Roman" w:eastAsia="Times New Roman" w:hAnsi="Times New Roman"/>
        </w:rPr>
        <w:t xml:space="preserve"> Three conclusions follow, but they must be read with the protocol differences in Table 3.4 in mind.</w:t>
      </w:r>
    </w:p>
    <w:p>
      <w:pPr>
        <w:pStyle w:val="ListParagraph"/>
        <w:numPr>
          <w:ilvl w:val="0"/>
          <w:numId w:val="4"/>
        </w:numPr>
        <w:spacing w:after="60" w:line="360"/>
        <w:jc w:val="both"/>
      </w:pPr>
      <w:r>
        <w:rPr>
          <w:rFonts w:ascii="Times New Roman" w:cs="Times New Roman" w:eastAsia="Times New Roman" w:hAnsi="Times New Roman"/>
          <w:b/>
          <w:bCs/>
        </w:rPr>
        <w:t xml:space="preserve">Static forecasts are poor.</w:t>
      </w:r>
      <w:r>
        <w:rPr>
          <w:rFonts w:ascii="Times New Roman" w:cs="Times New Roman" w:eastAsia="Times New Roman" w:hAnsi="Times New Roman"/>
        </w:rPr>
        <w:t xml:space="preserve"> A single 90-day SARIMA forecast averages 32.60% MAPE and Prophet 19.33%. Over a full quarter both models largely extrapolate a level or trend that the market then departs from, with errors above 50% for Carrot, Drumstick and Tomato under SARIMA.</w:t>
      </w:r>
    </w:p>
    <w:p>
      <w:pPr>
        <w:pStyle w:val="ListParagraph"/>
        <w:numPr>
          <w:ilvl w:val="0"/>
          <w:numId w:val="4"/>
        </w:numPr>
        <w:spacing w:after="60" w:line="360"/>
        <w:jc w:val="both"/>
      </w:pPr>
      <w:r>
        <w:rPr>
          <w:rFonts w:ascii="Times New Roman" w:cs="Times New Roman" w:eastAsia="Times New Roman" w:hAnsi="Times New Roman"/>
          <w:b/>
          <w:bCs/>
        </w:rPr>
        <w:t xml:space="preserve">Frequent refitting matters more than model class.</w:t>
      </w:r>
      <w:r>
        <w:rPr>
          <w:rFonts w:ascii="Times New Roman" w:cs="Times New Roman" w:eastAsia="Times New Roman" w:hAnsi="Times New Roman"/>
        </w:rPr>
        <w:t xml:space="preserve"> Refitting SARIMA every seven days cuts its error to 10.46%, better than both tree models on average. Random Forest (11.32%) beat XGBoost (13.98%) for all eight commodities.</w:t>
      </w:r>
    </w:p>
    <w:p>
      <w:pPr>
        <w:pStyle w:val="ListParagraph"/>
        <w:numPr>
          <w:ilvl w:val="0"/>
          <w:numId w:val="4"/>
        </w:numPr>
        <w:spacing w:after="60" w:line="360"/>
        <w:jc w:val="both"/>
      </w:pPr>
      <w:r>
        <w:rPr>
          <w:rFonts w:ascii="Times New Roman" w:cs="Times New Roman" w:eastAsia="Times New Roman" w:hAnsi="Times New Roman"/>
          <w:b/>
          <w:bCs/>
        </w:rPr>
        <w:t xml:space="preserve">Note on second-review figures.</w:t>
      </w:r>
      <w:r>
        <w:rPr>
          <w:rFonts w:ascii="Times New Roman" w:cs="Times New Roman" w:eastAsia="Times New Roman" w:hAnsi="Times New Roman"/>
        </w:rPr>
        <w:t xml:space="preserve"> The tree-model error presented at the second review (6.28%) came from an earlier feature build and could not be reproduced. The figures above are the reproducible results and supersede it.</w:t>
      </w:r>
    </w:p>
    <w:p>
      <w:pPr>
        <w:spacing w:after="120" w:before="0" w:line="360"/>
        <w:jc w:val="both"/>
      </w:pPr>
      <w:r>
        <w:rPr>
          <w:rFonts w:ascii="Times New Roman" w:cs="Times New Roman" w:eastAsia="Times New Roman" w:hAnsi="Times New Roman"/>
        </w:rPr>
        <w:t xml:space="preserve">More importantly, Protocol A2 scores </w:t>
      </w:r>
      <w:r>
        <w:rPr>
          <w:rFonts w:ascii="Times New Roman" w:cs="Times New Roman" w:eastAsia="Times New Roman" w:hAnsi="Times New Roman"/>
          <w:b/>
          <w:bCs/>
        </w:rPr>
        <w:t xml:space="preserve">next-day</w:t>
      </w:r>
      <w:r>
        <w:rPr>
          <w:rFonts w:ascii="Times New Roman" w:cs="Times New Roman" w:eastAsia="Times New Roman" w:hAnsi="Times New Roman"/>
        </w:rPr>
        <w:t xml:space="preserve"> predictions, because the newest price information in the features is from the previous day (Section 3.4). Whether a 10–14% next-day error is good can only be judged against a next-day benchmark. Section 4.6 provides that benchmark.</w:t>
      </w:r>
    </w:p>
    <w:p>
      <w:pPr>
        <w:pStyle w:val="Heading2"/>
        <w:keepNext/>
        <w:spacing w:after="120" w:before="280"/>
      </w:pPr>
      <w:r>
        <w:rPr>
          <w:rFonts w:ascii="Times New Roman" w:cs="Times New Roman" w:eastAsia="Times New Roman" w:hAnsi="Times New Roman"/>
          <w:b/>
          <w:bCs/>
          <w:sz w:val="26"/>
          <w:szCs w:val="26"/>
        </w:rPr>
        <w:t xml:space="preserve">4.6 Horizon Sensitivity: Is the Statewide Accuracy Real Forecasting Skill?</w:t>
      </w:r>
    </w:p>
    <w:p>
      <w:pPr>
        <w:spacing w:after="120" w:before="0" w:line="360"/>
        <w:jc w:val="both"/>
      </w:pPr>
      <w:r>
        <w:rPr>
          <w:rFonts w:ascii="Times New Roman" w:cs="Times New Roman" w:eastAsia="Times New Roman" w:hAnsi="Times New Roman"/>
        </w:rPr>
        <w:t xml:space="preserve">Protocol A3 reruns A2 on the identical 90-day test window and adds two naive benchmarks and two altered XGBoost feature sets: one without the model’s own previous-day price, and one in which every price and cross-commodity feature is rebuilt from information at least seven days old, which is a genuine seven-day-ahead forecast.</w:t>
      </w:r>
    </w:p>
    <w:p>
      <w:pPr>
        <w:pStyle w:val="TableCaption"/>
        <w:keepNext/>
        <w:spacing w:after="80" w:before="200" w:line="276"/>
        <w:jc w:val="center"/>
      </w:pPr>
      <w:r>
        <w:rPr>
          <w:rFonts w:ascii="Times New Roman" w:cs="Times New Roman" w:eastAsia="Times New Roman" w:hAnsi="Times New Roman"/>
          <w:b/>
          <w:bCs/>
          <w:sz w:val="22"/>
          <w:szCs w:val="22"/>
        </w:rPr>
        <w:t xml:space="preserve">Table 4.6: </w:t>
      </w:r>
      <w:r>
        <w:rPr>
          <w:rFonts w:ascii="Times New Roman" w:cs="Times New Roman" w:eastAsia="Times New Roman" w:hAnsi="Times New Roman"/>
          <w:sz w:val="22"/>
          <w:szCs w:val="22"/>
        </w:rPr>
        <w:t xml:space="preserve">Horizon sensitivity on the statewide 90-day test window: MAPE (%)</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1560"/>
        <w:gridCol w:w="1300"/>
        <w:gridCol w:w="1300"/>
        <w:gridCol w:w="1430"/>
        <w:gridCol w:w="1430"/>
        <w:gridCol w:w="1428"/>
      </w:tblGrid>
      <w:tr>
        <w:trPr>
          <w:cantSplit/>
          <w:tblHeader/>
        </w:trPr>
        <w:tc>
          <w:tcPr>
            <w:tcW w:type="dxa" w:w="156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Commodity</w:t>
            </w:r>
          </w:p>
        </w:tc>
        <w:tc>
          <w:tcPr>
            <w:tcW w:type="dxa" w:w="1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Naive: yesterday</w:t>
            </w:r>
          </w:p>
        </w:tc>
        <w:tc>
          <w:tcPr>
            <w:tcW w:type="dxa" w:w="1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Naive: 7 days ago</w:t>
            </w:r>
          </w:p>
        </w:tc>
        <w:tc>
          <w:tcPr>
            <w:tcW w:type="dxa" w:w="143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XGBoost (original features)</w:t>
            </w:r>
          </w:p>
        </w:tc>
        <w:tc>
          <w:tcPr>
            <w:tcW w:type="dxa" w:w="143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XGBoost w/o own t-1</w:t>
            </w:r>
          </w:p>
        </w:tc>
        <w:tc>
          <w:tcPr>
            <w:tcW w:type="dxa" w:w="142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XGBoost strict 7-day</w:t>
            </w:r>
          </w:p>
        </w:tc>
      </w:tr>
      <w:tr>
        <w:trPr>
          <w:cantSplit/>
        </w:trPr>
        <w:tc>
          <w:tcPr>
            <w:tcW w:type="dxa" w:w="1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Beans</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4.08</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13.29</w:t>
            </w:r>
          </w:p>
        </w:tc>
        <w:tc>
          <w:tcPr>
            <w:tcW w:type="dxa" w:w="14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13.85</w:t>
            </w:r>
          </w:p>
        </w:tc>
        <w:tc>
          <w:tcPr>
            <w:tcW w:type="dxa" w:w="14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13.71</w:t>
            </w:r>
          </w:p>
        </w:tc>
        <w:tc>
          <w:tcPr>
            <w:tcW w:type="dxa" w:w="14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22.60</w:t>
            </w:r>
          </w:p>
        </w:tc>
      </w:tr>
      <w:tr>
        <w:trPr>
          <w:cantSplit/>
        </w:trPr>
        <w:tc>
          <w:tcPr>
            <w:tcW w:type="dxa" w:w="1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Brinjal</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5.10</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7.91</w:t>
            </w:r>
          </w:p>
        </w:tc>
        <w:tc>
          <w:tcPr>
            <w:tcW w:type="dxa" w:w="14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12.98</w:t>
            </w:r>
          </w:p>
        </w:tc>
        <w:tc>
          <w:tcPr>
            <w:tcW w:type="dxa" w:w="14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13.63</w:t>
            </w:r>
          </w:p>
        </w:tc>
        <w:tc>
          <w:tcPr>
            <w:tcW w:type="dxa" w:w="14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14.34</w:t>
            </w:r>
          </w:p>
        </w:tc>
      </w:tr>
      <w:tr>
        <w:trPr>
          <w:cantSplit/>
        </w:trPr>
        <w:tc>
          <w:tcPr>
            <w:tcW w:type="dxa" w:w="1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Cabbage</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4.80</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5.99</w:t>
            </w:r>
          </w:p>
        </w:tc>
        <w:tc>
          <w:tcPr>
            <w:tcW w:type="dxa" w:w="14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6.55</w:t>
            </w:r>
          </w:p>
        </w:tc>
        <w:tc>
          <w:tcPr>
            <w:tcW w:type="dxa" w:w="14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6.39</w:t>
            </w:r>
          </w:p>
        </w:tc>
        <w:tc>
          <w:tcPr>
            <w:tcW w:type="dxa" w:w="14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6.08</w:t>
            </w:r>
          </w:p>
        </w:tc>
      </w:tr>
      <w:tr>
        <w:trPr>
          <w:cantSplit/>
        </w:trPr>
        <w:tc>
          <w:tcPr>
            <w:tcW w:type="dxa" w:w="1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Carrot</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4.30</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6.77</w:t>
            </w:r>
          </w:p>
        </w:tc>
        <w:tc>
          <w:tcPr>
            <w:tcW w:type="dxa" w:w="14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10.30</w:t>
            </w:r>
          </w:p>
        </w:tc>
        <w:tc>
          <w:tcPr>
            <w:tcW w:type="dxa" w:w="14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9.61</w:t>
            </w:r>
          </w:p>
        </w:tc>
        <w:tc>
          <w:tcPr>
            <w:tcW w:type="dxa" w:w="14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12.71</w:t>
            </w:r>
          </w:p>
        </w:tc>
      </w:tr>
      <w:tr>
        <w:trPr>
          <w:cantSplit/>
        </w:trPr>
        <w:tc>
          <w:tcPr>
            <w:tcW w:type="dxa" w:w="1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Drumstick</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5.90</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16.61</w:t>
            </w:r>
          </w:p>
        </w:tc>
        <w:tc>
          <w:tcPr>
            <w:tcW w:type="dxa" w:w="14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25.62</w:t>
            </w:r>
          </w:p>
        </w:tc>
        <w:tc>
          <w:tcPr>
            <w:tcW w:type="dxa" w:w="14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31.21</w:t>
            </w:r>
          </w:p>
        </w:tc>
        <w:tc>
          <w:tcPr>
            <w:tcW w:type="dxa" w:w="14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94.71</w:t>
            </w:r>
          </w:p>
        </w:tc>
      </w:tr>
      <w:tr>
        <w:trPr>
          <w:cantSplit/>
        </w:trPr>
        <w:tc>
          <w:tcPr>
            <w:tcW w:type="dxa" w:w="1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Onion</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1.74</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4.69</w:t>
            </w:r>
          </w:p>
        </w:tc>
        <w:tc>
          <w:tcPr>
            <w:tcW w:type="dxa" w:w="14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9.76</w:t>
            </w:r>
          </w:p>
        </w:tc>
        <w:tc>
          <w:tcPr>
            <w:tcW w:type="dxa" w:w="14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10.19</w:t>
            </w:r>
          </w:p>
        </w:tc>
        <w:tc>
          <w:tcPr>
            <w:tcW w:type="dxa" w:w="14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15.96</w:t>
            </w:r>
          </w:p>
        </w:tc>
      </w:tr>
      <w:tr>
        <w:trPr>
          <w:cantSplit/>
        </w:trPr>
        <w:tc>
          <w:tcPr>
            <w:tcW w:type="dxa" w:w="1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Potato</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3.54</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5.45</w:t>
            </w:r>
          </w:p>
        </w:tc>
        <w:tc>
          <w:tcPr>
            <w:tcW w:type="dxa" w:w="14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9.32</w:t>
            </w:r>
          </w:p>
        </w:tc>
        <w:tc>
          <w:tcPr>
            <w:tcW w:type="dxa" w:w="14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8.95</w:t>
            </w:r>
          </w:p>
        </w:tc>
        <w:tc>
          <w:tcPr>
            <w:tcW w:type="dxa" w:w="14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8.75</w:t>
            </w:r>
          </w:p>
        </w:tc>
      </w:tr>
      <w:tr>
        <w:trPr>
          <w:cantSplit/>
        </w:trPr>
        <w:tc>
          <w:tcPr>
            <w:tcW w:type="dxa" w:w="1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Tomato</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4.16</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12.08</w:t>
            </w:r>
          </w:p>
        </w:tc>
        <w:tc>
          <w:tcPr>
            <w:tcW w:type="dxa" w:w="14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21.28</w:t>
            </w:r>
          </w:p>
        </w:tc>
        <w:tc>
          <w:tcPr>
            <w:tcW w:type="dxa" w:w="14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21.33</w:t>
            </w:r>
          </w:p>
        </w:tc>
        <w:tc>
          <w:tcPr>
            <w:tcW w:type="dxa" w:w="14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41.59</w:t>
            </w:r>
          </w:p>
        </w:tc>
      </w:tr>
      <w:tr>
        <w:trPr>
          <w:cantSplit/>
        </w:trPr>
        <w:tc>
          <w:tcPr>
            <w:tcW w:type="dxa" w:w="15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Mean</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4.20</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9.10</w:t>
            </w:r>
          </w:p>
        </w:tc>
        <w:tc>
          <w:tcPr>
            <w:tcW w:type="dxa" w:w="14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13.71</w:t>
            </w:r>
          </w:p>
        </w:tc>
        <w:tc>
          <w:tcPr>
            <w:tcW w:type="dxa" w:w="143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14.38</w:t>
            </w:r>
          </w:p>
        </w:tc>
        <w:tc>
          <w:tcPr>
            <w:tcW w:type="dxa" w:w="14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27.09</w:t>
            </w:r>
          </w:p>
        </w:tc>
      </w:tr>
    </w:tbl>
    <w:p>
      <w:pPr>
        <w:spacing w:after="200" w:before="60" w:line="240"/>
      </w:pPr>
      <w:r>
        <w:rPr>
          <w:rFonts w:ascii="Times New Roman" w:cs="Times New Roman" w:eastAsia="Times New Roman" w:hAnsi="Times New Roman"/>
          <w:i/>
          <w:iCs/>
          <w:sz w:val="18"/>
          <w:szCs w:val="18"/>
        </w:rPr>
        <w:t xml:space="preserve">Source: Author’s analysis (protocol A3).</w:t>
      </w:r>
    </w:p>
    <w:p>
      <w:pPr>
        <w:keepNext/>
        <w:spacing w:after="60" w:before="160"/>
        <w:jc w:val="center"/>
      </w:pPr>
      <w:r>
        <w:drawing>
          <wp:inline distT="0" distB="0" distL="0" distR="0">
            <wp:extent cx="5334000" cy="1962150"/>
            <wp:effectExtent t="0" r="0" b="0" l="0"/>
            <wp:docPr id="1" name="Figure 4.7" descr="Mean MAPE of naive benchmarks and XGBoost variants on the same test window" title="Mean MAPE of naive benchmarks and XGBoost variants on the same test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962150"/>
                    </a:xfrm>
                    <a:prstGeom prst="rect">
                      <a:avLst/>
                    </a:prstGeom>
                  </pic:spPr>
                </pic:pic>
              </a:graphicData>
            </a:graphic>
          </wp:inline>
        </w:drawing>
      </w:r>
    </w:p>
    <w:p>
      <w:pPr>
        <w:pStyle w:val="FigureCaption"/>
        <w:spacing w:after="40" w:line="276"/>
        <w:jc w:val="center"/>
      </w:pPr>
      <w:r>
        <w:rPr>
          <w:rFonts w:ascii="Times New Roman" w:cs="Times New Roman" w:eastAsia="Times New Roman" w:hAnsi="Times New Roman"/>
          <w:b/>
          <w:bCs/>
          <w:sz w:val="22"/>
          <w:szCs w:val="22"/>
        </w:rPr>
        <w:t xml:space="preserve">Figure 4.7: </w:t>
      </w:r>
      <w:r>
        <w:rPr>
          <w:rFonts w:ascii="Times New Roman" w:cs="Times New Roman" w:eastAsia="Times New Roman" w:hAnsi="Times New Roman"/>
          <w:sz w:val="22"/>
          <w:szCs w:val="22"/>
        </w:rPr>
        <w:t xml:space="preserve">Mean MAPE of naive benchmarks and XGBoost variants on the same test window</w:t>
      </w:r>
    </w:p>
    <w:p>
      <w:pPr>
        <w:spacing w:after="220" w:line="240"/>
        <w:jc w:val="center"/>
      </w:pPr>
      <w:r>
        <w:rPr>
          <w:rFonts w:ascii="Times New Roman" w:cs="Times New Roman" w:eastAsia="Times New Roman" w:hAnsi="Times New Roman"/>
          <w:i/>
          <w:iCs/>
          <w:sz w:val="18"/>
          <w:szCs w:val="18"/>
        </w:rPr>
        <w:t xml:space="preserve">Source: Author’s analysis.</w:t>
      </w:r>
    </w:p>
    <w:p>
      <w:pPr>
        <w:keepNext/>
        <w:spacing w:after="60" w:before="160"/>
        <w:jc w:val="center"/>
      </w:pPr>
      <w:r>
        <w:drawing>
          <wp:inline distT="0" distB="0" distL="0" distR="0">
            <wp:extent cx="5334000" cy="2809875"/>
            <wp:effectExtent t="0" r="0" b="0" l="0"/>
            <wp:docPr id="1" name="Figure 4.8" descr="Tomato statewide holdout: actual price, Random Forest, XGBoost and yesterday’s price" title="Tomato statewide holdout: actual price, Random Forest, XGBoost and yesterday’s pr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809875"/>
                    </a:xfrm>
                    <a:prstGeom prst="rect">
                      <a:avLst/>
                    </a:prstGeom>
                  </pic:spPr>
                </pic:pic>
              </a:graphicData>
            </a:graphic>
          </wp:inline>
        </w:drawing>
      </w:r>
    </w:p>
    <w:p>
      <w:pPr>
        <w:pStyle w:val="FigureCaption"/>
        <w:spacing w:after="40" w:line="276"/>
        <w:jc w:val="center"/>
      </w:pPr>
      <w:r>
        <w:rPr>
          <w:rFonts w:ascii="Times New Roman" w:cs="Times New Roman" w:eastAsia="Times New Roman" w:hAnsi="Times New Roman"/>
          <w:b/>
          <w:bCs/>
          <w:sz w:val="22"/>
          <w:szCs w:val="22"/>
        </w:rPr>
        <w:t xml:space="preserve">Figure 4.8: </w:t>
      </w:r>
      <w:r>
        <w:rPr>
          <w:rFonts w:ascii="Times New Roman" w:cs="Times New Roman" w:eastAsia="Times New Roman" w:hAnsi="Times New Roman"/>
          <w:sz w:val="22"/>
          <w:szCs w:val="22"/>
        </w:rPr>
        <w:t xml:space="preserve">Tomato statewide holdout: actual price, Random Forest, XGBoost and yesterday’s price</w:t>
      </w:r>
    </w:p>
    <w:p>
      <w:pPr>
        <w:spacing w:after="220" w:line="240"/>
        <w:jc w:val="center"/>
      </w:pPr>
      <w:r>
        <w:rPr>
          <w:rFonts w:ascii="Times New Roman" w:cs="Times New Roman" w:eastAsia="Times New Roman" w:hAnsi="Times New Roman"/>
          <w:i/>
          <w:iCs/>
          <w:sz w:val="18"/>
          <w:szCs w:val="18"/>
        </w:rPr>
        <w:t xml:space="preserve">Source: Author’s analysis.</w:t>
      </w:r>
    </w:p>
    <w:p>
      <w:pPr>
        <w:spacing w:after="120" w:before="0" w:line="360"/>
        <w:jc w:val="both"/>
      </w:pPr>
      <w:r>
        <w:rPr>
          <w:rFonts w:ascii="Times New Roman" w:cs="Times New Roman" w:eastAsia="Times New Roman" w:hAnsi="Times New Roman"/>
          <w:b/>
          <w:bCs/>
        </w:rPr>
        <w:t xml:space="preserve">Interpretation.</w:t>
      </w:r>
      <w:r>
        <w:rPr>
          <w:rFonts w:ascii="Times New Roman" w:cs="Times New Roman" w:eastAsia="Times New Roman" w:hAnsi="Times New Roman"/>
        </w:rPr>
        <w:t xml:space="preserve"> This is the pivotal result of Track A. </w:t>
      </w:r>
      <w:r>
        <w:rPr>
          <w:rFonts w:ascii="Times New Roman" w:cs="Times New Roman" w:eastAsia="Times New Roman" w:hAnsi="Times New Roman"/>
          <w:b/>
          <w:bCs/>
        </w:rPr>
        <w:t xml:space="preserve">Simply using yesterday’s price gives 4.20% mean MAPE</w:t>
      </w:r>
      <w:r>
        <w:rPr>
          <w:rFonts w:ascii="Times New Roman" w:cs="Times New Roman" w:eastAsia="Times New Roman" w:hAnsi="Times New Roman"/>
        </w:rPr>
        <w:t xml:space="preserve">, beating XGBoost (13.71%) for every one of the eight commodities. Even the price from seven days earlier (9.10%) beats the tree models’ next-day predictions. When XGBoost is forced to forecast genuinely seven days ahead, its error rises to 27.09%, three times the seven-day naive benchmark, with especially poor results for Drumstick (94.71%) and Tomato (41.59%).</w:t>
      </w:r>
    </w:p>
    <w:p>
      <w:pPr>
        <w:spacing w:after="120" w:before="0" w:line="360"/>
        <w:jc w:val="both"/>
      </w:pPr>
      <w:r>
        <w:rPr>
          <w:rFonts w:ascii="Times New Roman" w:cs="Times New Roman" w:eastAsia="Times New Roman" w:hAnsi="Times New Roman"/>
        </w:rPr>
        <w:t xml:space="preserve">The tree models therefore do not add forecasting skill on this data; they add noise to a persistence signal. Two causes are likely. First, the daily statewide median is a noisy aggregate of about 80–160 reporting markets whose composition changes day to day. Second, with only about 400 training days per commodity and 38 features, the models overfit transient patterns. For a procurement buyer the practical lesson is that the minimum benchmark for any vendor or in-house forecast is the latest observed price at the horizon of the decision.</w:t>
      </w:r>
    </w:p>
    <w:p>
      <w:pPr>
        <w:pStyle w:val="Heading2"/>
        <w:keepNext/>
        <w:spacing w:after="120" w:before="280"/>
      </w:pPr>
      <w:r>
        <w:rPr>
          <w:rFonts w:ascii="Times New Roman" w:cs="Times New Roman" w:eastAsia="Times New Roman" w:hAnsi="Times New Roman"/>
          <w:b/>
          <w:bCs/>
          <w:sz w:val="26"/>
          <w:szCs w:val="26"/>
        </w:rPr>
        <w:t xml:space="preserve">4.7 Model Explanation with SHAP</w:t>
      </w:r>
    </w:p>
    <w:p>
      <w:pPr>
        <w:pStyle w:val="TableCaption"/>
        <w:keepNext/>
        <w:spacing w:after="80" w:before="200" w:line="276"/>
        <w:jc w:val="center"/>
      </w:pPr>
      <w:r>
        <w:rPr>
          <w:rFonts w:ascii="Times New Roman" w:cs="Times New Roman" w:eastAsia="Times New Roman" w:hAnsi="Times New Roman"/>
          <w:b/>
          <w:bCs/>
          <w:sz w:val="22"/>
          <w:szCs w:val="22"/>
        </w:rPr>
        <w:t xml:space="preserve">Table 4.7: </w:t>
      </w:r>
      <w:r>
        <w:rPr>
          <w:rFonts w:ascii="Times New Roman" w:cs="Times New Roman" w:eastAsia="Times New Roman" w:hAnsi="Times New Roman"/>
          <w:sz w:val="22"/>
          <w:szCs w:val="22"/>
        </w:rPr>
        <w:t xml:space="preserve">Top three SHAP drivers and share of attribution from own previous-day price</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1367"/>
        <w:gridCol w:w="1988"/>
        <w:gridCol w:w="1864"/>
        <w:gridCol w:w="1864"/>
        <w:gridCol w:w="1365"/>
      </w:tblGrid>
      <w:tr>
        <w:trPr>
          <w:cantSplit/>
          <w:tblHeader/>
        </w:trPr>
        <w:tc>
          <w:tcPr>
            <w:tcW w:type="dxa" w:w="136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Commodity</w:t>
            </w:r>
          </w:p>
        </w:tc>
        <w:tc>
          <w:tcPr>
            <w:tcW w:type="dxa" w:w="198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Driver 1</w:t>
            </w:r>
          </w:p>
        </w:tc>
        <w:tc>
          <w:tcPr>
            <w:tcW w:type="dxa" w:w="186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Driver 2</w:t>
            </w:r>
          </w:p>
        </w:tc>
        <w:tc>
          <w:tcPr>
            <w:tcW w:type="dxa" w:w="186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Driver 3</w:t>
            </w:r>
          </w:p>
        </w:tc>
        <w:tc>
          <w:tcPr>
            <w:tcW w:type="dxa" w:w="136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Own t-1 share of |SHAP|</w:t>
            </w:r>
          </w:p>
        </w:tc>
      </w:tr>
      <w:tr>
        <w:trPr>
          <w:cantSplit/>
        </w:trPr>
        <w:tc>
          <w:tcPr>
            <w:tcW w:type="dxa" w:w="13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Beans</w:t>
            </w:r>
          </w:p>
        </w:tc>
        <w:tc>
          <w:tcPr>
            <w:tcW w:type="dxa" w:w="198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Beans price (t-1)</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52-week position</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7-day EMA</w:t>
            </w:r>
          </w:p>
        </w:tc>
        <w:tc>
          <w:tcPr>
            <w:tcW w:type="dxa" w:w="136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16.64%</w:t>
            </w:r>
          </w:p>
        </w:tc>
      </w:tr>
      <w:tr>
        <w:trPr>
          <w:cantSplit/>
        </w:trPr>
        <w:tc>
          <w:tcPr>
            <w:tcW w:type="dxa" w:w="13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Brinjal</w:t>
            </w:r>
          </w:p>
        </w:tc>
        <w:tc>
          <w:tcPr>
            <w:tcW w:type="dxa" w:w="198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Brinjal price (t-1)</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52-week position</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30-day rainfall</w:t>
            </w:r>
          </w:p>
        </w:tc>
        <w:tc>
          <w:tcPr>
            <w:tcW w:type="dxa" w:w="136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24.98%</w:t>
            </w:r>
          </w:p>
        </w:tc>
      </w:tr>
      <w:tr>
        <w:trPr>
          <w:cantSplit/>
        </w:trPr>
        <w:tc>
          <w:tcPr>
            <w:tcW w:type="dxa" w:w="13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Cabbage</w:t>
            </w:r>
          </w:p>
        </w:tc>
        <w:tc>
          <w:tcPr>
            <w:tcW w:type="dxa" w:w="198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52-week position</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7-day max</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Tomato price (t-1)</w:t>
            </w:r>
          </w:p>
        </w:tc>
        <w:tc>
          <w:tcPr>
            <w:tcW w:type="dxa" w:w="136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2.58%</w:t>
            </w:r>
          </w:p>
        </w:tc>
      </w:tr>
      <w:tr>
        <w:trPr>
          <w:cantSplit/>
        </w:trPr>
        <w:tc>
          <w:tcPr>
            <w:tcW w:type="dxa" w:w="13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Carrot</w:t>
            </w:r>
          </w:p>
        </w:tc>
        <w:tc>
          <w:tcPr>
            <w:tcW w:type="dxa" w:w="198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Carrot price (t-1)</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7-day mean</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52-week position</w:t>
            </w:r>
          </w:p>
        </w:tc>
        <w:tc>
          <w:tcPr>
            <w:tcW w:type="dxa" w:w="136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27.19%</w:t>
            </w:r>
          </w:p>
        </w:tc>
      </w:tr>
      <w:tr>
        <w:trPr>
          <w:cantSplit/>
        </w:trPr>
        <w:tc>
          <w:tcPr>
            <w:tcW w:type="dxa" w:w="13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Drumstick</w:t>
            </w:r>
          </w:p>
        </w:tc>
        <w:tc>
          <w:tcPr>
            <w:tcW w:type="dxa" w:w="198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Drumstick price (t-1)</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52-week position</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Max temperature</w:t>
            </w:r>
          </w:p>
        </w:tc>
        <w:tc>
          <w:tcPr>
            <w:tcW w:type="dxa" w:w="136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36.90%</w:t>
            </w:r>
          </w:p>
        </w:tc>
      </w:tr>
      <w:tr>
        <w:trPr>
          <w:cantSplit/>
        </w:trPr>
        <w:tc>
          <w:tcPr>
            <w:tcW w:type="dxa" w:w="13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Onion</w:t>
            </w:r>
          </w:p>
        </w:tc>
        <w:tc>
          <w:tcPr>
            <w:tcW w:type="dxa" w:w="198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52-week position</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14-day EMA</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Potato price (t-1)</w:t>
            </w:r>
          </w:p>
        </w:tc>
        <w:tc>
          <w:tcPr>
            <w:tcW w:type="dxa" w:w="136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10.42%</w:t>
            </w:r>
          </w:p>
        </w:tc>
      </w:tr>
      <w:tr>
        <w:trPr>
          <w:cantSplit/>
        </w:trPr>
        <w:tc>
          <w:tcPr>
            <w:tcW w:type="dxa" w:w="13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Potato</w:t>
            </w:r>
          </w:p>
        </w:tc>
        <w:tc>
          <w:tcPr>
            <w:tcW w:type="dxa" w:w="198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7-day mean</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Price t-14</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52-week position</w:t>
            </w:r>
          </w:p>
        </w:tc>
        <w:tc>
          <w:tcPr>
            <w:tcW w:type="dxa" w:w="136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2.14%</w:t>
            </w:r>
          </w:p>
        </w:tc>
      </w:tr>
      <w:tr>
        <w:trPr>
          <w:cantSplit/>
        </w:trPr>
        <w:tc>
          <w:tcPr>
            <w:tcW w:type="dxa" w:w="13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Tomato</w:t>
            </w:r>
          </w:p>
        </w:tc>
        <w:tc>
          <w:tcPr>
            <w:tcW w:type="dxa" w:w="198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52-week position</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Tomato price (t-1)</w:t>
            </w:r>
          </w:p>
        </w:tc>
        <w:tc>
          <w:tcPr>
            <w:tcW w:type="dxa" w:w="18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7-day max</w:t>
            </w:r>
          </w:p>
        </w:tc>
        <w:tc>
          <w:tcPr>
            <w:tcW w:type="dxa" w:w="136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19.01%</w:t>
            </w:r>
          </w:p>
        </w:tc>
      </w:tr>
    </w:tbl>
    <w:p>
      <w:pPr>
        <w:spacing w:after="200" w:before="60" w:line="240"/>
      </w:pPr>
      <w:r>
        <w:rPr>
          <w:rFonts w:ascii="Times New Roman" w:cs="Times New Roman" w:eastAsia="Times New Roman" w:hAnsi="Times New Roman"/>
          <w:i/>
          <w:iCs/>
          <w:sz w:val="18"/>
          <w:szCs w:val="18"/>
        </w:rPr>
        <w:t xml:space="preserve">Source: Author’s analysis (XGBoost refit on all eligible rows).</w:t>
      </w:r>
    </w:p>
    <w:p>
      <w:pPr>
        <w:keepNext/>
        <w:spacing w:after="60" w:before="160"/>
        <w:jc w:val="center"/>
      </w:pPr>
      <w:r>
        <w:drawing>
          <wp:inline distT="0" distB="0" distL="0" distR="0">
            <wp:extent cx="5334000" cy="2362200"/>
            <wp:effectExtent t="0" r="0" b="0" l="0"/>
            <wp:docPr id="1" name="Figure 4.9" descr="SHAP attribution: top features averaged over the eight models, and share from the own previous-day price" title="SHAP attribution: top features averaged over the eight models, and share from the own previous-day pr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362200"/>
                    </a:xfrm>
                    <a:prstGeom prst="rect">
                      <a:avLst/>
                    </a:prstGeom>
                  </pic:spPr>
                </pic:pic>
              </a:graphicData>
            </a:graphic>
          </wp:inline>
        </w:drawing>
      </w:r>
    </w:p>
    <w:p>
      <w:pPr>
        <w:pStyle w:val="FigureCaption"/>
        <w:spacing w:after="40" w:line="276"/>
        <w:jc w:val="center"/>
      </w:pPr>
      <w:r>
        <w:rPr>
          <w:rFonts w:ascii="Times New Roman" w:cs="Times New Roman" w:eastAsia="Times New Roman" w:hAnsi="Times New Roman"/>
          <w:b/>
          <w:bCs/>
          <w:sz w:val="22"/>
          <w:szCs w:val="22"/>
        </w:rPr>
        <w:t xml:space="preserve">Figure 4.9: </w:t>
      </w:r>
      <w:r>
        <w:rPr>
          <w:rFonts w:ascii="Times New Roman" w:cs="Times New Roman" w:eastAsia="Times New Roman" w:hAnsi="Times New Roman"/>
          <w:sz w:val="22"/>
          <w:szCs w:val="22"/>
        </w:rPr>
        <w:t xml:space="preserve">SHAP attribution: top features averaged over the eight models, and share from the own previous-day price</w:t>
      </w:r>
    </w:p>
    <w:p>
      <w:pPr>
        <w:spacing w:after="220" w:line="240"/>
        <w:jc w:val="center"/>
      </w:pPr>
      <w:r>
        <w:rPr>
          <w:rFonts w:ascii="Times New Roman" w:cs="Times New Roman" w:eastAsia="Times New Roman" w:hAnsi="Times New Roman"/>
          <w:i/>
          <w:iCs/>
          <w:sz w:val="18"/>
          <w:szCs w:val="18"/>
        </w:rPr>
        <w:t xml:space="preserve">Source: Author’s analysis.</w:t>
      </w:r>
    </w:p>
    <w:p>
      <w:pPr>
        <w:spacing w:after="120" w:before="0" w:line="360"/>
        <w:jc w:val="both"/>
      </w:pPr>
      <w:r>
        <w:rPr>
          <w:rFonts w:ascii="Times New Roman" w:cs="Times New Roman" w:eastAsia="Times New Roman" w:hAnsi="Times New Roman"/>
          <w:b/>
          <w:bCs/>
        </w:rPr>
        <w:t xml:space="preserve">Interpretation.</w:t>
      </w:r>
      <w:r>
        <w:rPr>
          <w:rFonts w:ascii="Times New Roman" w:cs="Times New Roman" w:eastAsia="Times New Roman" w:hAnsi="Times New Roman"/>
        </w:rPr>
        <w:t xml:space="preserve"> The position of the previous day’s price within its 52-week range is the most important feature on average, and each commodity’s </w:t>
      </w:r>
      <w:r>
        <w:rPr>
          <w:rFonts w:ascii="Times New Roman" w:cs="Times New Roman" w:eastAsia="Times New Roman" w:hAnsi="Times New Roman"/>
          <w:b/>
          <w:bCs/>
        </w:rPr>
        <w:t xml:space="preserve">own previous-day price</w:t>
      </w:r>
      <w:r>
        <w:rPr>
          <w:rFonts w:ascii="Times New Roman" w:cs="Times New Roman" w:eastAsia="Times New Roman" w:hAnsi="Times New Roman"/>
        </w:rPr>
        <w:t xml:space="preserve"> (entered through the cross-commodity block) is the top driver for Beans, Brinjal, Carrot and Drumstick, accounting for 17–37% of total attribution in those models. Weather features appear in the top three only for Brinjal (30-day rainfall) and Drumstick (maximum temperature), and calendar and festival flags do not appear at all. In other words, the fitted models mostly encode “tomorrow will look like today, relative to the past year”. This agrees with the horizon-sensitivity result: the information that drives the predictions is persistence, which a naive forecast captures more cleanly. SHAP values describe model behaviour and are not causal effects (Molnar, 2022).</w:t>
      </w:r>
    </w:p>
    <w:p>
      <w:pPr>
        <w:pStyle w:val="Heading2"/>
        <w:keepNext/>
        <w:spacing w:after="120" w:before="280"/>
      </w:pPr>
      <w:r>
        <w:rPr>
          <w:rFonts w:ascii="Times New Roman" w:cs="Times New Roman" w:eastAsia="Times New Roman" w:hAnsi="Times New Roman"/>
          <w:b/>
          <w:bCs/>
          <w:sz w:val="26"/>
          <w:szCs w:val="26"/>
        </w:rPr>
        <w:t xml:space="preserve">4.8 Profile of the Koyambedu Series</w:t>
      </w:r>
    </w:p>
    <w:p>
      <w:pPr>
        <w:pStyle w:val="TableCaption"/>
        <w:keepNext/>
        <w:spacing w:after="80" w:before="200" w:line="276"/>
        <w:jc w:val="center"/>
      </w:pPr>
      <w:r>
        <w:rPr>
          <w:rFonts w:ascii="Times New Roman" w:cs="Times New Roman" w:eastAsia="Times New Roman" w:hAnsi="Times New Roman"/>
          <w:b/>
          <w:bCs/>
          <w:sz w:val="22"/>
          <w:szCs w:val="22"/>
        </w:rPr>
        <w:t xml:space="preserve">Table 4.8: </w:t>
      </w:r>
      <w:r>
        <w:rPr>
          <w:rFonts w:ascii="Times New Roman" w:cs="Times New Roman" w:eastAsia="Times New Roman" w:hAnsi="Times New Roman"/>
          <w:sz w:val="22"/>
          <w:szCs w:val="22"/>
        </w:rPr>
        <w:t xml:space="preserve">Koyambedu daily price series (₹/kg), 4 Nov 2021 – 17 Oct 2026</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2304"/>
        <w:gridCol w:w="896"/>
        <w:gridCol w:w="896"/>
        <w:gridCol w:w="896"/>
        <w:gridCol w:w="1024"/>
        <w:gridCol w:w="768"/>
        <w:gridCol w:w="768"/>
        <w:gridCol w:w="896"/>
      </w:tblGrid>
      <w:tr>
        <w:trPr>
          <w:cantSplit/>
          <w:tblHeader/>
        </w:trPr>
        <w:tc>
          <w:tcPr>
            <w:tcW w:type="dxa" w:w="230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Series (study commodity)</w:t>
            </w:r>
          </w:p>
        </w:tc>
        <w:tc>
          <w:tcPr>
            <w:tcW w:type="dxa" w:w="89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Days</w:t>
            </w:r>
          </w:p>
        </w:tc>
        <w:tc>
          <w:tcPr>
            <w:tcW w:type="dxa" w:w="89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Mean</w:t>
            </w:r>
          </w:p>
        </w:tc>
        <w:tc>
          <w:tcPr>
            <w:tcW w:type="dxa" w:w="89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Median</w:t>
            </w:r>
          </w:p>
        </w:tc>
        <w:tc>
          <w:tcPr>
            <w:tcW w:type="dxa" w:w="102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Std. dev.</w:t>
            </w:r>
          </w:p>
        </w:tc>
        <w:tc>
          <w:tcPr>
            <w:tcW w:type="dxa" w:w="76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Min</w:t>
            </w:r>
          </w:p>
        </w:tc>
        <w:tc>
          <w:tcPr>
            <w:tcW w:type="dxa" w:w="76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Max</w:t>
            </w:r>
          </w:p>
        </w:tc>
        <w:tc>
          <w:tcPr>
            <w:tcW w:type="dxa" w:w="89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CV</w:t>
            </w:r>
          </w:p>
        </w:tc>
      </w:tr>
      <w:tr>
        <w:trPr>
          <w:cantSplit/>
        </w:trPr>
        <w:tc>
          <w:tcPr>
            <w:tcW w:type="dxa" w:w="23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French Beans (Beans)</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1,809</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55.9</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54</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21.2</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20</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185</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38.0%</w:t>
            </w:r>
          </w:p>
        </w:tc>
      </w:tr>
      <w:tr>
        <w:trPr>
          <w:cantSplit/>
        </w:trPr>
        <w:tc>
          <w:tcPr>
            <w:tcW w:type="dxa" w:w="23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Brinjal</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1,809</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31.0</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31</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8.3</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17</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84</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26.6%</w:t>
            </w:r>
          </w:p>
        </w:tc>
      </w:tr>
      <w:tr>
        <w:trPr>
          <w:cantSplit/>
        </w:trPr>
        <w:tc>
          <w:tcPr>
            <w:tcW w:type="dxa" w:w="23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Cabbage</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1,809</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24.5</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25</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6.0</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50</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24.3%</w:t>
            </w:r>
          </w:p>
        </w:tc>
      </w:tr>
      <w:tr>
        <w:trPr>
          <w:cantSplit/>
        </w:trPr>
        <w:tc>
          <w:tcPr>
            <w:tcW w:type="dxa" w:w="23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Carrot</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1,809</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43.5</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42</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10.1</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22</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74</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23.3%</w:t>
            </w:r>
          </w:p>
        </w:tc>
      </w:tr>
      <w:tr>
        <w:trPr>
          <w:cantSplit/>
        </w:trPr>
        <w:tc>
          <w:tcPr>
            <w:tcW w:type="dxa" w:w="23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Drumsticks</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1,809</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80.7</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70</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41.2</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30</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270</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51.1%</w:t>
            </w:r>
          </w:p>
        </w:tc>
      </w:tr>
      <w:tr>
        <w:trPr>
          <w:cantSplit/>
        </w:trPr>
        <w:tc>
          <w:tcPr>
            <w:tcW w:type="dxa" w:w="23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Onion Big (Onion)</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1,809</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31.6</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29</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10.9</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16</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69</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34.6%</w:t>
            </w:r>
          </w:p>
        </w:tc>
      </w:tr>
      <w:tr>
        <w:trPr>
          <w:cantSplit/>
        </w:trPr>
        <w:tc>
          <w:tcPr>
            <w:tcW w:type="dxa" w:w="23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Potato</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1,809</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29.7</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29</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5.7</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14</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49</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19.2%</w:t>
            </w:r>
          </w:p>
        </w:tc>
      </w:tr>
      <w:tr>
        <w:trPr>
          <w:cantSplit/>
        </w:trPr>
        <w:tc>
          <w:tcPr>
            <w:tcW w:type="dxa" w:w="23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Tomato</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1,809</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31.7</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26</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18.9</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160</w:t>
            </w:r>
          </w:p>
        </w:tc>
        <w:tc>
          <w:tcPr>
            <w:tcW w:type="dxa" w:w="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59.4%</w:t>
            </w:r>
          </w:p>
        </w:tc>
      </w:tr>
    </w:tbl>
    <w:p>
      <w:pPr>
        <w:spacing w:after="200" w:before="60" w:line="240"/>
      </w:pPr>
      <w:r>
        <w:rPr>
          <w:rFonts w:ascii="Times New Roman" w:cs="Times New Roman" w:eastAsia="Times New Roman" w:hAnsi="Times New Roman"/>
          <w:i/>
          <w:iCs/>
          <w:sz w:val="18"/>
          <w:szCs w:val="18"/>
        </w:rPr>
        <w:t xml:space="preserve">Source: Author’s analysis of Vegetable Market Price (n.d.).</w:t>
      </w:r>
    </w:p>
    <w:p>
      <w:pPr>
        <w:keepNext/>
        <w:spacing w:after="60" w:before="160"/>
        <w:jc w:val="center"/>
      </w:pPr>
      <w:r>
        <w:drawing>
          <wp:inline distT="0" distB="0" distL="0" distR="0">
            <wp:extent cx="5238750" cy="5715000"/>
            <wp:effectExtent t="0" r="0" b="0" l="0"/>
            <wp:docPr id="1" name="Figure 4.10" descr="Koyambedu history-page daily prices by series" title="Koyambedu history-page daily prices by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38750" cy="5715000"/>
                    </a:xfrm>
                    <a:prstGeom prst="rect">
                      <a:avLst/>
                    </a:prstGeom>
                  </pic:spPr>
                </pic:pic>
              </a:graphicData>
            </a:graphic>
          </wp:inline>
        </w:drawing>
      </w:r>
    </w:p>
    <w:p>
      <w:pPr>
        <w:pStyle w:val="FigureCaption"/>
        <w:spacing w:after="40" w:line="276"/>
        <w:jc w:val="center"/>
      </w:pPr>
      <w:r>
        <w:rPr>
          <w:rFonts w:ascii="Times New Roman" w:cs="Times New Roman" w:eastAsia="Times New Roman" w:hAnsi="Times New Roman"/>
          <w:b/>
          <w:bCs/>
          <w:sz w:val="22"/>
          <w:szCs w:val="22"/>
        </w:rPr>
        <w:t xml:space="preserve">Figure 4.10: </w:t>
      </w:r>
      <w:r>
        <w:rPr>
          <w:rFonts w:ascii="Times New Roman" w:cs="Times New Roman" w:eastAsia="Times New Roman" w:hAnsi="Times New Roman"/>
          <w:sz w:val="22"/>
          <w:szCs w:val="22"/>
        </w:rPr>
        <w:t xml:space="preserve">Koyambedu history-page daily prices by series</w:t>
      </w:r>
    </w:p>
    <w:p>
      <w:pPr>
        <w:spacing w:after="220" w:line="240"/>
        <w:jc w:val="center"/>
      </w:pPr>
      <w:r>
        <w:rPr>
          <w:rFonts w:ascii="Times New Roman" w:cs="Times New Roman" w:eastAsia="Times New Roman" w:hAnsi="Times New Roman"/>
          <w:i/>
          <w:iCs/>
          <w:sz w:val="18"/>
          <w:szCs w:val="18"/>
        </w:rPr>
        <w:t xml:space="preserve">Source: Author’s analysis.</w:t>
      </w:r>
    </w:p>
    <w:p>
      <w:pPr>
        <w:spacing w:after="120" w:before="0" w:line="360"/>
        <w:jc w:val="both"/>
      </w:pPr>
      <w:r>
        <w:rPr>
          <w:rFonts w:ascii="Times New Roman" w:cs="Times New Roman" w:eastAsia="Times New Roman" w:hAnsi="Times New Roman"/>
          <w:b/>
          <w:bCs/>
        </w:rPr>
        <w:t xml:space="preserve">Interpretation.</w:t>
      </w:r>
      <w:r>
        <w:rPr>
          <w:rFonts w:ascii="Times New Roman" w:cs="Times New Roman" w:eastAsia="Times New Roman" w:hAnsi="Times New Roman"/>
        </w:rPr>
        <w:t xml:space="preserve"> The Koyambedu panel is complete (1,809 consecutive days for each series, no gaps) and covers almost five years, including the 2023 tomato episode that the statewide data cannot reach. Tomato is again the most volatile series (CV 59.4%), followed by Drumsticks (51.1%) and French Beans (38.0%). Between 3 July and 22 August 2023 the Tomato series contains 51 daily observations, rising from ₹80/kg to a peak of ₹160/kg on 1 August (+100%) before falling to ₹49/kg on 22 August (−69.4%). Prices in this panel are in ₹/kg and are not directly comparable with the ₹/quintal statewide series.</w:t>
      </w:r>
    </w:p>
    <w:p>
      <w:pPr>
        <w:pStyle w:val="Heading2"/>
        <w:keepNext/>
        <w:spacing w:after="120" w:before="280"/>
      </w:pPr>
      <w:r>
        <w:rPr>
          <w:rFonts w:ascii="Times New Roman" w:cs="Times New Roman" w:eastAsia="Times New Roman" w:hAnsi="Times New Roman"/>
          <w:b/>
          <w:bCs/>
          <w:sz w:val="26"/>
          <w:szCs w:val="26"/>
        </w:rPr>
        <w:t xml:space="preserve">4.9 Koyambedu Multi-Horizon Model Comparison (Protocol B1)</w:t>
      </w:r>
    </w:p>
    <w:p>
      <w:pPr>
        <w:spacing w:after="120" w:before="0" w:line="360"/>
        <w:jc w:val="both"/>
      </w:pPr>
      <w:r>
        <w:rPr>
          <w:rFonts w:ascii="Times New Roman" w:cs="Times New Roman" w:eastAsia="Times New Roman" w:hAnsi="Times New Roman"/>
        </w:rPr>
        <w:t xml:space="preserve">Six methods were evaluated at the same seven quarterly origins from 1 January 2025 to 1 July 2026, for 7-, 14- and 30-day horizons and all eight series, giving 168 scored forecasts per method.</w:t>
      </w:r>
    </w:p>
    <w:p>
      <w:pPr>
        <w:pStyle w:val="TableCaption"/>
        <w:keepNext/>
        <w:spacing w:after="80" w:before="200" w:line="276"/>
        <w:jc w:val="center"/>
      </w:pPr>
      <w:r>
        <w:rPr>
          <w:rFonts w:ascii="Times New Roman" w:cs="Times New Roman" w:eastAsia="Times New Roman" w:hAnsi="Times New Roman"/>
          <w:b/>
          <w:bCs/>
          <w:sz w:val="22"/>
          <w:szCs w:val="22"/>
        </w:rPr>
        <w:t xml:space="preserve">Table 4.9: </w:t>
      </w:r>
      <w:r>
        <w:rPr>
          <w:rFonts w:ascii="Times New Roman" w:cs="Times New Roman" w:eastAsia="Times New Roman" w:hAnsi="Times New Roman"/>
          <w:sz w:val="22"/>
          <w:szCs w:val="22"/>
        </w:rPr>
        <w:t xml:space="preserve">Koyambedu model comparison pooled over origins, series and horizons (₹/kg)</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1891"/>
        <w:gridCol w:w="1135"/>
        <w:gridCol w:w="1009"/>
        <w:gridCol w:w="1009"/>
        <w:gridCol w:w="1135"/>
        <w:gridCol w:w="1135"/>
        <w:gridCol w:w="1134"/>
      </w:tblGrid>
      <w:tr>
        <w:trPr>
          <w:cantSplit/>
          <w:tblHeader/>
        </w:trPr>
        <w:tc>
          <w:tcPr>
            <w:tcW w:type="dxa" w:w="1891"/>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Model</w:t>
            </w:r>
          </w:p>
        </w:tc>
        <w:tc>
          <w:tcPr>
            <w:tcW w:type="dxa" w:w="113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Forecasts</w:t>
            </w:r>
          </w:p>
        </w:tc>
        <w:tc>
          <w:tcPr>
            <w:tcW w:type="dxa" w:w="100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MAE</w:t>
            </w:r>
          </w:p>
        </w:tc>
        <w:tc>
          <w:tcPr>
            <w:tcW w:type="dxa" w:w="100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RMSE</w:t>
            </w:r>
          </w:p>
        </w:tc>
        <w:tc>
          <w:tcPr>
            <w:tcW w:type="dxa" w:w="113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MAPE %</w:t>
            </w:r>
          </w:p>
        </w:tc>
        <w:tc>
          <w:tcPr>
            <w:tcW w:type="dxa" w:w="113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sMAPE %</w:t>
            </w:r>
          </w:p>
        </w:tc>
        <w:tc>
          <w:tcPr>
            <w:tcW w:type="dxa" w:w="113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WAPE %</w:t>
            </w:r>
          </w:p>
        </w:tc>
      </w:tr>
      <w:tr>
        <w:trPr>
          <w:cantSplit/>
        </w:trPr>
        <w:tc>
          <w:tcPr>
            <w:tcW w:type="dxa" w:w="18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NaiveLast</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168</w:t>
            </w:r>
          </w:p>
        </w:tc>
        <w:tc>
          <w:tcPr>
            <w:tcW w:type="dxa" w:w="100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4.89</w:t>
            </w:r>
          </w:p>
        </w:tc>
        <w:tc>
          <w:tcPr>
            <w:tcW w:type="dxa" w:w="100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9.99</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12.28</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11.57</w:t>
            </w:r>
          </w:p>
        </w:tc>
        <w:tc>
          <w:tcPr>
            <w:tcW w:type="dxa" w:w="11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11.88</w:t>
            </w:r>
          </w:p>
        </w:tc>
      </w:tr>
      <w:tr>
        <w:trPr>
          <w:cantSplit/>
        </w:trPr>
        <w:tc>
          <w:tcPr>
            <w:tcW w:type="dxa" w:w="18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SARIMA</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168</w:t>
            </w:r>
          </w:p>
        </w:tc>
        <w:tc>
          <w:tcPr>
            <w:tcW w:type="dxa" w:w="100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5.05</w:t>
            </w:r>
          </w:p>
        </w:tc>
        <w:tc>
          <w:tcPr>
            <w:tcW w:type="dxa" w:w="100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9.83</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12.81</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12.01</w:t>
            </w:r>
          </w:p>
        </w:tc>
        <w:tc>
          <w:tcPr>
            <w:tcW w:type="dxa" w:w="11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12.28</w:t>
            </w:r>
          </w:p>
        </w:tc>
      </w:tr>
      <w:tr>
        <w:trPr>
          <w:cantSplit/>
        </w:trPr>
        <w:tc>
          <w:tcPr>
            <w:tcW w:type="dxa" w:w="18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SeasonalNaive7</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168</w:t>
            </w:r>
          </w:p>
        </w:tc>
        <w:tc>
          <w:tcPr>
            <w:tcW w:type="dxa" w:w="100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5.25</w:t>
            </w:r>
          </w:p>
        </w:tc>
        <w:tc>
          <w:tcPr>
            <w:tcW w:type="dxa" w:w="100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10.07</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13.40</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12.47</w:t>
            </w:r>
          </w:p>
        </w:tc>
        <w:tc>
          <w:tcPr>
            <w:tcW w:type="dxa" w:w="11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12.76</w:t>
            </w:r>
          </w:p>
        </w:tc>
      </w:tr>
      <w:tr>
        <w:trPr>
          <w:cantSplit/>
        </w:trPr>
        <w:tc>
          <w:tcPr>
            <w:tcW w:type="dxa" w:w="18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XGBoost</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168</w:t>
            </w:r>
          </w:p>
        </w:tc>
        <w:tc>
          <w:tcPr>
            <w:tcW w:type="dxa" w:w="100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6.32</w:t>
            </w:r>
          </w:p>
        </w:tc>
        <w:tc>
          <w:tcPr>
            <w:tcW w:type="dxa" w:w="100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10.82</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14.35</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13.66</w:t>
            </w:r>
          </w:p>
        </w:tc>
        <w:tc>
          <w:tcPr>
            <w:tcW w:type="dxa" w:w="11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15.36</w:t>
            </w:r>
          </w:p>
        </w:tc>
      </w:tr>
      <w:tr>
        <w:trPr>
          <w:cantSplit/>
        </w:trPr>
        <w:tc>
          <w:tcPr>
            <w:tcW w:type="dxa" w:w="18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RandomForest</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168</w:t>
            </w:r>
          </w:p>
        </w:tc>
        <w:tc>
          <w:tcPr>
            <w:tcW w:type="dxa" w:w="100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6.84</w:t>
            </w:r>
          </w:p>
        </w:tc>
        <w:tc>
          <w:tcPr>
            <w:tcW w:type="dxa" w:w="100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11.95</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15.39</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14.62</w:t>
            </w:r>
          </w:p>
        </w:tc>
        <w:tc>
          <w:tcPr>
            <w:tcW w:type="dxa" w:w="11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16.63</w:t>
            </w:r>
          </w:p>
        </w:tc>
      </w:tr>
      <w:tr>
        <w:trPr>
          <w:cantSplit/>
        </w:trPr>
        <w:tc>
          <w:tcPr>
            <w:tcW w:type="dxa" w:w="18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Prophet</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168</w:t>
            </w:r>
          </w:p>
        </w:tc>
        <w:tc>
          <w:tcPr>
            <w:tcW w:type="dxa" w:w="100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9.80</w:t>
            </w:r>
          </w:p>
        </w:tc>
        <w:tc>
          <w:tcPr>
            <w:tcW w:type="dxa" w:w="100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15.64</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23.46</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22.56</w:t>
            </w:r>
          </w:p>
        </w:tc>
        <w:tc>
          <w:tcPr>
            <w:tcW w:type="dxa" w:w="113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23.82</w:t>
            </w:r>
          </w:p>
        </w:tc>
      </w:tr>
    </w:tbl>
    <w:p>
      <w:pPr>
        <w:spacing w:after="200" w:before="60" w:line="240"/>
      </w:pPr>
      <w:r>
        <w:rPr>
          <w:rFonts w:ascii="Times New Roman" w:cs="Times New Roman" w:eastAsia="Times New Roman" w:hAnsi="Times New Roman"/>
          <w:i/>
          <w:iCs/>
          <w:sz w:val="18"/>
          <w:szCs w:val="18"/>
        </w:rPr>
        <w:t xml:space="preserve">Source: Author’s analysis (protocol B1).</w:t>
      </w:r>
    </w:p>
    <w:p>
      <w:pPr>
        <w:pStyle w:val="TableCaption"/>
        <w:keepNext/>
        <w:spacing w:after="80" w:before="200" w:line="276"/>
        <w:jc w:val="center"/>
      </w:pPr>
      <w:r>
        <w:rPr>
          <w:rFonts w:ascii="Times New Roman" w:cs="Times New Roman" w:eastAsia="Times New Roman" w:hAnsi="Times New Roman"/>
          <w:b/>
          <w:bCs/>
          <w:sz w:val="22"/>
          <w:szCs w:val="22"/>
        </w:rPr>
        <w:t xml:space="preserve">Table 4.10: </w:t>
      </w:r>
      <w:r>
        <w:rPr>
          <w:rFonts w:ascii="Times New Roman" w:cs="Times New Roman" w:eastAsia="Times New Roman" w:hAnsi="Times New Roman"/>
          <w:sz w:val="22"/>
          <w:szCs w:val="22"/>
        </w:rPr>
        <w:t xml:space="preserve">Koyambedu WAPE (%) by forecast horizon</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2938"/>
        <w:gridCol w:w="1837"/>
        <w:gridCol w:w="1837"/>
        <w:gridCol w:w="1836"/>
      </w:tblGrid>
      <w:tr>
        <w:trPr>
          <w:cantSplit/>
          <w:tblHeader/>
        </w:trPr>
        <w:tc>
          <w:tcPr>
            <w:tcW w:type="dxa" w:w="29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Model</w:t>
            </w:r>
          </w:p>
        </w:tc>
        <w:tc>
          <w:tcPr>
            <w:tcW w:type="dxa" w:w="183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7 days</w:t>
            </w:r>
          </w:p>
        </w:tc>
        <w:tc>
          <w:tcPr>
            <w:tcW w:type="dxa" w:w="183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14 days</w:t>
            </w:r>
          </w:p>
        </w:tc>
        <w:tc>
          <w:tcPr>
            <w:tcW w:type="dxa" w:w="183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30 days</w:t>
            </w:r>
          </w:p>
        </w:tc>
      </w:tr>
      <w:tr>
        <w:trPr>
          <w:cantSplit/>
        </w:trPr>
        <w:tc>
          <w:tcPr>
            <w:tcW w:type="dxa" w:w="2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NaiveLast</w:t>
            </w:r>
          </w:p>
        </w:tc>
        <w:tc>
          <w:tcPr>
            <w:tcW w:type="dxa" w:w="183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8.02</w:t>
            </w:r>
          </w:p>
        </w:tc>
        <w:tc>
          <w:tcPr>
            <w:tcW w:type="dxa" w:w="183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9.27</w:t>
            </w:r>
          </w:p>
        </w:tc>
        <w:tc>
          <w:tcPr>
            <w:tcW w:type="dxa" w:w="183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18.38</w:t>
            </w:r>
          </w:p>
        </w:tc>
      </w:tr>
      <w:tr>
        <w:trPr>
          <w:cantSplit/>
        </w:trPr>
        <w:tc>
          <w:tcPr>
            <w:tcW w:type="dxa" w:w="2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SeasonalNaive7</w:t>
            </w:r>
          </w:p>
        </w:tc>
        <w:tc>
          <w:tcPr>
            <w:tcW w:type="dxa" w:w="183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8.02</w:t>
            </w:r>
          </w:p>
        </w:tc>
        <w:tc>
          <w:tcPr>
            <w:tcW w:type="dxa" w:w="183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9.27</w:t>
            </w:r>
          </w:p>
        </w:tc>
        <w:tc>
          <w:tcPr>
            <w:tcW w:type="dxa" w:w="183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21.05</w:t>
            </w:r>
          </w:p>
        </w:tc>
      </w:tr>
      <w:tr>
        <w:trPr>
          <w:cantSplit/>
        </w:trPr>
        <w:tc>
          <w:tcPr>
            <w:tcW w:type="dxa" w:w="2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SARIMA</w:t>
            </w:r>
          </w:p>
        </w:tc>
        <w:tc>
          <w:tcPr>
            <w:tcW w:type="dxa" w:w="183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8.17</w:t>
            </w:r>
          </w:p>
        </w:tc>
        <w:tc>
          <w:tcPr>
            <w:tcW w:type="dxa" w:w="183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9.61</w:t>
            </w:r>
          </w:p>
        </w:tc>
        <w:tc>
          <w:tcPr>
            <w:tcW w:type="dxa" w:w="183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19.11</w:t>
            </w:r>
          </w:p>
        </w:tc>
      </w:tr>
      <w:tr>
        <w:trPr>
          <w:cantSplit/>
        </w:trPr>
        <w:tc>
          <w:tcPr>
            <w:tcW w:type="dxa" w:w="2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XGBoost</w:t>
            </w:r>
          </w:p>
        </w:tc>
        <w:tc>
          <w:tcPr>
            <w:tcW w:type="dxa" w:w="183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11.63</w:t>
            </w:r>
          </w:p>
        </w:tc>
        <w:tc>
          <w:tcPr>
            <w:tcW w:type="dxa" w:w="183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15.71</w:t>
            </w:r>
          </w:p>
        </w:tc>
        <w:tc>
          <w:tcPr>
            <w:tcW w:type="dxa" w:w="183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18.73</w:t>
            </w:r>
          </w:p>
        </w:tc>
      </w:tr>
      <w:tr>
        <w:trPr>
          <w:cantSplit/>
        </w:trPr>
        <w:tc>
          <w:tcPr>
            <w:tcW w:type="dxa" w:w="2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RandomForest</w:t>
            </w:r>
          </w:p>
        </w:tc>
        <w:tc>
          <w:tcPr>
            <w:tcW w:type="dxa" w:w="183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10.75</w:t>
            </w:r>
          </w:p>
        </w:tc>
        <w:tc>
          <w:tcPr>
            <w:tcW w:type="dxa" w:w="183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18.01</w:t>
            </w:r>
          </w:p>
        </w:tc>
        <w:tc>
          <w:tcPr>
            <w:tcW w:type="dxa" w:w="183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21.13</w:t>
            </w:r>
          </w:p>
        </w:tc>
      </w:tr>
      <w:tr>
        <w:trPr>
          <w:cantSplit/>
        </w:trPr>
        <w:tc>
          <w:tcPr>
            <w:tcW w:type="dxa" w:w="2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Prophet</w:t>
            </w:r>
          </w:p>
        </w:tc>
        <w:tc>
          <w:tcPr>
            <w:tcW w:type="dxa" w:w="183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22.11</w:t>
            </w:r>
          </w:p>
        </w:tc>
        <w:tc>
          <w:tcPr>
            <w:tcW w:type="dxa" w:w="183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23.93</w:t>
            </w:r>
          </w:p>
        </w:tc>
        <w:tc>
          <w:tcPr>
            <w:tcW w:type="dxa" w:w="183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25.42</w:t>
            </w:r>
          </w:p>
        </w:tc>
      </w:tr>
    </w:tbl>
    <w:p>
      <w:pPr>
        <w:spacing w:after="200" w:before="60" w:line="240"/>
      </w:pPr>
      <w:r>
        <w:rPr>
          <w:rFonts w:ascii="Times New Roman" w:cs="Times New Roman" w:eastAsia="Times New Roman" w:hAnsi="Times New Roman"/>
          <w:i/>
          <w:iCs/>
          <w:sz w:val="18"/>
          <w:szCs w:val="18"/>
        </w:rPr>
        <w:t xml:space="preserve">Source: Author’s analysis.</w:t>
      </w:r>
    </w:p>
    <w:p>
      <w:pPr>
        <w:keepNext/>
        <w:spacing w:after="60" w:before="160"/>
        <w:jc w:val="center"/>
      </w:pPr>
      <w:r>
        <w:drawing>
          <wp:inline distT="0" distB="0" distL="0" distR="0">
            <wp:extent cx="5334000" cy="2771775"/>
            <wp:effectExtent t="0" r="0" b="0" l="0"/>
            <wp:docPr id="1" name="Figure 4.11" descr="Koyambedu WAPE by forecast horizon and model" title="Koyambedu WAPE by forecast horizon and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771775"/>
                    </a:xfrm>
                    <a:prstGeom prst="rect">
                      <a:avLst/>
                    </a:prstGeom>
                  </pic:spPr>
                </pic:pic>
              </a:graphicData>
            </a:graphic>
          </wp:inline>
        </w:drawing>
      </w:r>
    </w:p>
    <w:p>
      <w:pPr>
        <w:pStyle w:val="FigureCaption"/>
        <w:spacing w:after="40" w:line="276"/>
        <w:jc w:val="center"/>
      </w:pPr>
      <w:r>
        <w:rPr>
          <w:rFonts w:ascii="Times New Roman" w:cs="Times New Roman" w:eastAsia="Times New Roman" w:hAnsi="Times New Roman"/>
          <w:b/>
          <w:bCs/>
          <w:sz w:val="22"/>
          <w:szCs w:val="22"/>
        </w:rPr>
        <w:t xml:space="preserve">Figure 4.11: </w:t>
      </w:r>
      <w:r>
        <w:rPr>
          <w:rFonts w:ascii="Times New Roman" w:cs="Times New Roman" w:eastAsia="Times New Roman" w:hAnsi="Times New Roman"/>
          <w:sz w:val="22"/>
          <w:szCs w:val="22"/>
        </w:rPr>
        <w:t xml:space="preserve">Koyambedu WAPE by forecast horizon and model</w:t>
      </w:r>
    </w:p>
    <w:p>
      <w:pPr>
        <w:spacing w:after="220" w:line="240"/>
        <w:jc w:val="center"/>
      </w:pPr>
      <w:r>
        <w:rPr>
          <w:rFonts w:ascii="Times New Roman" w:cs="Times New Roman" w:eastAsia="Times New Roman" w:hAnsi="Times New Roman"/>
          <w:i/>
          <w:iCs/>
          <w:sz w:val="18"/>
          <w:szCs w:val="18"/>
        </w:rPr>
        <w:t xml:space="preserve">Source: Author’s analysis.</w:t>
      </w:r>
    </w:p>
    <w:p>
      <w:pPr>
        <w:pStyle w:val="TableCaption"/>
        <w:keepNext/>
        <w:spacing w:after="80" w:before="200" w:line="276"/>
        <w:jc w:val="center"/>
      </w:pPr>
      <w:r>
        <w:rPr>
          <w:rFonts w:ascii="Times New Roman" w:cs="Times New Roman" w:eastAsia="Times New Roman" w:hAnsi="Times New Roman"/>
          <w:b/>
          <w:bCs/>
          <w:sz w:val="22"/>
          <w:szCs w:val="22"/>
        </w:rPr>
        <w:t xml:space="preserve">Table 4.11: </w:t>
      </w:r>
      <w:r>
        <w:rPr>
          <w:rFonts w:ascii="Times New Roman" w:cs="Times New Roman" w:eastAsia="Times New Roman" w:hAnsi="Times New Roman"/>
          <w:sz w:val="22"/>
          <w:szCs w:val="22"/>
        </w:rPr>
        <w:t xml:space="preserve">Koyambedu WAPE (%) by series and model (lowest in bold)</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1664"/>
        <w:gridCol w:w="1024"/>
        <w:gridCol w:w="1280"/>
        <w:gridCol w:w="1024"/>
        <w:gridCol w:w="1024"/>
        <w:gridCol w:w="1280"/>
        <w:gridCol w:w="1152"/>
      </w:tblGrid>
      <w:tr>
        <w:trPr>
          <w:cantSplit/>
          <w:tblHeader/>
        </w:trPr>
        <w:tc>
          <w:tcPr>
            <w:tcW w:type="dxa" w:w="166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Series</w:t>
            </w:r>
          </w:p>
        </w:tc>
        <w:tc>
          <w:tcPr>
            <w:tcW w:type="dxa" w:w="102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Naive</w:t>
            </w:r>
          </w:p>
        </w:tc>
        <w:tc>
          <w:tcPr>
            <w:tcW w:type="dxa" w:w="128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Seasonal naive</w:t>
            </w:r>
          </w:p>
        </w:tc>
        <w:tc>
          <w:tcPr>
            <w:tcW w:type="dxa" w:w="102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SARIMA</w:t>
            </w:r>
          </w:p>
        </w:tc>
        <w:tc>
          <w:tcPr>
            <w:tcW w:type="dxa" w:w="102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Prophet</w:t>
            </w:r>
          </w:p>
        </w:tc>
        <w:tc>
          <w:tcPr>
            <w:tcW w:type="dxa" w:w="128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Random Forest</w:t>
            </w:r>
          </w:p>
        </w:tc>
        <w:tc>
          <w:tcPr>
            <w:tcW w:type="dxa" w:w="115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XGBoost</w:t>
            </w:r>
          </w:p>
        </w:tc>
      </w:tr>
      <w:tr>
        <w:trPr>
          <w:cantSplit/>
        </w:trPr>
        <w:tc>
          <w:tcPr>
            <w:tcW w:type="dxa" w:w="16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Brinjal</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5.69</w:t>
            </w:r>
          </w:p>
        </w:tc>
        <w:tc>
          <w:tcPr>
            <w:tcW w:type="dxa" w:w="12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6.10</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6.10</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8.24</w:t>
            </w:r>
          </w:p>
        </w:tc>
        <w:tc>
          <w:tcPr>
            <w:tcW w:type="dxa" w:w="12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4.30</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5.11</w:t>
            </w:r>
          </w:p>
        </w:tc>
      </w:tr>
      <w:tr>
        <w:trPr>
          <w:cantSplit/>
        </w:trPr>
        <w:tc>
          <w:tcPr>
            <w:tcW w:type="dxa" w:w="16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Cabbage</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11.02</w:t>
            </w:r>
          </w:p>
        </w:tc>
        <w:tc>
          <w:tcPr>
            <w:tcW w:type="dxa" w:w="12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13.78</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12.90</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17.07</w:t>
            </w:r>
          </w:p>
        </w:tc>
        <w:tc>
          <w:tcPr>
            <w:tcW w:type="dxa" w:w="12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12.81</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11.62</w:t>
            </w:r>
          </w:p>
        </w:tc>
      </w:tr>
      <w:tr>
        <w:trPr>
          <w:cantSplit/>
        </w:trPr>
        <w:tc>
          <w:tcPr>
            <w:tcW w:type="dxa" w:w="16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Carrot</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9.07</w:t>
            </w:r>
          </w:p>
        </w:tc>
        <w:tc>
          <w:tcPr>
            <w:tcW w:type="dxa" w:w="12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9.62</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10.01</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14.79</w:t>
            </w:r>
          </w:p>
        </w:tc>
        <w:tc>
          <w:tcPr>
            <w:tcW w:type="dxa" w:w="12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8.49</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8.42</w:t>
            </w:r>
          </w:p>
        </w:tc>
      </w:tr>
      <w:tr>
        <w:trPr>
          <w:cantSplit/>
        </w:trPr>
        <w:tc>
          <w:tcPr>
            <w:tcW w:type="dxa" w:w="16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Drumsticks</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17.13</w:t>
            </w:r>
          </w:p>
        </w:tc>
        <w:tc>
          <w:tcPr>
            <w:tcW w:type="dxa" w:w="12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17.13</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16.61</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30.75</w:t>
            </w:r>
          </w:p>
        </w:tc>
        <w:tc>
          <w:tcPr>
            <w:tcW w:type="dxa" w:w="12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25.97</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22.74</w:t>
            </w:r>
          </w:p>
        </w:tc>
      </w:tr>
      <w:tr>
        <w:trPr>
          <w:cantSplit/>
        </w:trPr>
        <w:tc>
          <w:tcPr>
            <w:tcW w:type="dxa" w:w="16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French Beans</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9.89</w:t>
            </w:r>
          </w:p>
        </w:tc>
        <w:tc>
          <w:tcPr>
            <w:tcW w:type="dxa" w:w="12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9.40</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9.85</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22.25</w:t>
            </w:r>
          </w:p>
        </w:tc>
        <w:tc>
          <w:tcPr>
            <w:tcW w:type="dxa" w:w="12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16.41</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15.98</w:t>
            </w:r>
          </w:p>
        </w:tc>
      </w:tr>
      <w:tr>
        <w:trPr>
          <w:cantSplit/>
        </w:trPr>
        <w:tc>
          <w:tcPr>
            <w:tcW w:type="dxa" w:w="16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Onion Big</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6.77</w:t>
            </w:r>
          </w:p>
        </w:tc>
        <w:tc>
          <w:tcPr>
            <w:tcW w:type="dxa" w:w="12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11.77</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8.85</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27.37</w:t>
            </w:r>
          </w:p>
        </w:tc>
        <w:tc>
          <w:tcPr>
            <w:tcW w:type="dxa" w:w="12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11.06</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8.82</w:t>
            </w:r>
          </w:p>
        </w:tc>
      </w:tr>
      <w:tr>
        <w:trPr>
          <w:cantSplit/>
        </w:trPr>
        <w:tc>
          <w:tcPr>
            <w:tcW w:type="dxa" w:w="16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Potato</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9.36</w:t>
            </w:r>
          </w:p>
        </w:tc>
        <w:tc>
          <w:tcPr>
            <w:tcW w:type="dxa" w:w="12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11.48</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10.17</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9.92</w:t>
            </w:r>
          </w:p>
        </w:tc>
        <w:tc>
          <w:tcPr>
            <w:tcW w:type="dxa" w:w="12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15.00</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12.72</w:t>
            </w:r>
          </w:p>
        </w:tc>
      </w:tr>
      <w:tr>
        <w:trPr>
          <w:cantSplit/>
        </w:trPr>
        <w:tc>
          <w:tcPr>
            <w:tcW w:type="dxa" w:w="166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Tomato</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20.98</w:t>
            </w:r>
          </w:p>
        </w:tc>
        <w:tc>
          <w:tcPr>
            <w:tcW w:type="dxa" w:w="12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21.34</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20.81</w:t>
            </w:r>
          </w:p>
        </w:tc>
        <w:tc>
          <w:tcPr>
            <w:tcW w:type="dxa" w:w="102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56.57</w:t>
            </w:r>
          </w:p>
        </w:tc>
        <w:tc>
          <w:tcPr>
            <w:tcW w:type="dxa" w:w="12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27.78</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28.29</w:t>
            </w:r>
          </w:p>
        </w:tc>
      </w:tr>
    </w:tbl>
    <w:p>
      <w:pPr>
        <w:spacing w:after="200" w:before="60" w:line="240"/>
      </w:pPr>
      <w:r>
        <w:rPr>
          <w:rFonts w:ascii="Times New Roman" w:cs="Times New Roman" w:eastAsia="Times New Roman" w:hAnsi="Times New Roman"/>
          <w:i/>
          <w:iCs/>
          <w:sz w:val="18"/>
          <w:szCs w:val="18"/>
        </w:rPr>
        <w:t xml:space="preserve">Source: Author’s analysis.</w:t>
      </w:r>
    </w:p>
    <w:p>
      <w:pPr>
        <w:spacing w:after="120" w:before="0" w:line="360"/>
        <w:jc w:val="both"/>
      </w:pPr>
      <w:r>
        <w:rPr>
          <w:rFonts w:ascii="Times New Roman" w:cs="Times New Roman" w:eastAsia="Times New Roman" w:hAnsi="Times New Roman"/>
          <w:b/>
          <w:bCs/>
        </w:rPr>
        <w:t xml:space="preserve">Interpretation.</w:t>
      </w:r>
      <w:r>
        <w:rPr>
          <w:rFonts w:ascii="Times New Roman" w:cs="Times New Roman" w:eastAsia="Times New Roman" w:hAnsi="Times New Roman"/>
        </w:rPr>
        <w:t xml:space="preserve"> At procurement-relevant horizons the </w:t>
      </w:r>
      <w:r>
        <w:rPr>
          <w:rFonts w:ascii="Times New Roman" w:cs="Times New Roman" w:eastAsia="Times New Roman" w:hAnsi="Times New Roman"/>
          <w:b/>
          <w:bCs/>
        </w:rPr>
        <w:t xml:space="preserve">last observed price is the best single forecast</w:t>
      </w:r>
      <w:r>
        <w:rPr>
          <w:rFonts w:ascii="Times New Roman" w:cs="Times New Roman" w:eastAsia="Times New Roman" w:hAnsi="Times New Roman"/>
        </w:rPr>
        <w:t xml:space="preserve"> (11.88% WAPE), with SARIMA a close second (12.28%). Both tree models and Prophet are worse at every horizon. The ranking is stable across horizons: at 7 days the naive, seasonal-naive and SARIMA forecasts are all near 8%, and by 30 days all methods converge at 18–25%. The tree models win only for Brinjal (Random Forest, 4.30%) and Carrot (XGBoost, 8.42%), both low-volatility series. The naive forecast or SARIMA wins for the volatile ones (Tomato, Drumsticks, Onion, French Beans). The seasonal naive equals the naive forecast at 7 and 14 days by construction (Table 3.3), so its separate contribution appears only at 30 days, where it is worse. These results are consistent with the M-competition evidence that complex methods frequently fail to beat simple ones (Makridakis et al., 2018a).</w:t>
      </w:r>
    </w:p>
    <w:p>
      <w:pPr>
        <w:pStyle w:val="Heading2"/>
        <w:keepNext/>
        <w:spacing w:after="120" w:before="280"/>
      </w:pPr>
      <w:r>
        <w:rPr>
          <w:rFonts w:ascii="Times New Roman" w:cs="Times New Roman" w:eastAsia="Times New Roman" w:hAnsi="Times New Roman"/>
          <w:b/>
          <w:bCs/>
          <w:sz w:val="26"/>
          <w:szCs w:val="26"/>
        </w:rPr>
        <w:t xml:space="preserve">4.10 Matched-Horizon Robustness Check (Protocol B2)</w:t>
      </w:r>
    </w:p>
    <w:p>
      <w:pPr>
        <w:pStyle w:val="TableCaption"/>
        <w:keepNext/>
        <w:spacing w:after="80" w:before="200" w:line="276"/>
        <w:jc w:val="center"/>
      </w:pPr>
      <w:r>
        <w:rPr>
          <w:rFonts w:ascii="Times New Roman" w:cs="Times New Roman" w:eastAsia="Times New Roman" w:hAnsi="Times New Roman"/>
          <w:b/>
          <w:bCs/>
          <w:sz w:val="22"/>
          <w:szCs w:val="22"/>
        </w:rPr>
        <w:t xml:space="preserve">Table 4.12: </w:t>
      </w:r>
      <w:r>
        <w:rPr>
          <w:rFonts w:ascii="Times New Roman" w:cs="Times New Roman" w:eastAsia="Times New Roman" w:hAnsi="Times New Roman"/>
          <w:sz w:val="22"/>
          <w:szCs w:val="22"/>
        </w:rPr>
        <w:t xml:space="preserve">Koyambedu matched-horizon evaluation, 4 origins: mean MAPE (%) and MAE (₹/kg)</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2112"/>
        <w:gridCol w:w="1056"/>
        <w:gridCol w:w="1056"/>
        <w:gridCol w:w="1056"/>
        <w:gridCol w:w="1056"/>
        <w:gridCol w:w="1056"/>
        <w:gridCol w:w="1056"/>
      </w:tblGrid>
      <w:tr>
        <w:trPr>
          <w:cantSplit/>
          <w:tblHeader/>
        </w:trPr>
        <w:tc>
          <w:tcPr>
            <w:tcW w:type="dxa" w:w="211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Model</w:t>
            </w:r>
          </w:p>
        </w:tc>
        <w:tc>
          <w:tcPr>
            <w:tcW w:type="dxa" w:w="105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MAPE 7d</w:t>
            </w:r>
          </w:p>
        </w:tc>
        <w:tc>
          <w:tcPr>
            <w:tcW w:type="dxa" w:w="105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MAPE 14d</w:t>
            </w:r>
          </w:p>
        </w:tc>
        <w:tc>
          <w:tcPr>
            <w:tcW w:type="dxa" w:w="105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MAPE 30d</w:t>
            </w:r>
          </w:p>
        </w:tc>
        <w:tc>
          <w:tcPr>
            <w:tcW w:type="dxa" w:w="105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MAE 7d</w:t>
            </w:r>
          </w:p>
        </w:tc>
        <w:tc>
          <w:tcPr>
            <w:tcW w:type="dxa" w:w="105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MAE 14d</w:t>
            </w:r>
          </w:p>
        </w:tc>
        <w:tc>
          <w:tcPr>
            <w:tcW w:type="dxa" w:w="105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MAE 30d</w:t>
            </w:r>
          </w:p>
        </w:tc>
      </w:tr>
      <w:tr>
        <w:trPr>
          <w:cantSplit/>
        </w:trPr>
        <w:tc>
          <w:tcPr>
            <w:tcW w:type="dxa" w:w="211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Naive (last value)</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8.58</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12.94</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17.31</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3.44</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5.78</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6.72</w:t>
            </w:r>
          </w:p>
        </w:tc>
      </w:tr>
      <w:tr>
        <w:trPr>
          <w:cantSplit/>
        </w:trPr>
        <w:tc>
          <w:tcPr>
            <w:tcW w:type="dxa" w:w="211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SARIMA</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8.65</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13.93</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17.80</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3.91</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6.65</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7.48</w:t>
            </w:r>
          </w:p>
        </w:tc>
      </w:tr>
      <w:tr>
        <w:trPr>
          <w:cantSplit/>
        </w:trPr>
        <w:tc>
          <w:tcPr>
            <w:tcW w:type="dxa" w:w="211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Random Forest</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9.85</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15.45</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17.97</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4.62</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7.13</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7.22</w:t>
            </w:r>
          </w:p>
        </w:tc>
      </w:tr>
      <w:tr>
        <w:trPr>
          <w:cantSplit/>
        </w:trPr>
        <w:tc>
          <w:tcPr>
            <w:tcW w:type="dxa" w:w="211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XGBoost</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9.06</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16.19</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18.38</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4.26</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7.07</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7.60</w:t>
            </w:r>
          </w:p>
        </w:tc>
      </w:tr>
      <w:tr>
        <w:trPr>
          <w:cantSplit/>
        </w:trPr>
        <w:tc>
          <w:tcPr>
            <w:tcW w:type="dxa" w:w="211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Prophet</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17.27</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22.54</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25.99</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8.35</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11.16</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12.85</w:t>
            </w:r>
          </w:p>
        </w:tc>
      </w:tr>
    </w:tbl>
    <w:p>
      <w:pPr>
        <w:spacing w:after="200" w:before="60" w:line="240"/>
      </w:pPr>
      <w:r>
        <w:rPr>
          <w:rFonts w:ascii="Times New Roman" w:cs="Times New Roman" w:eastAsia="Times New Roman" w:hAnsi="Times New Roman"/>
          <w:i/>
          <w:iCs/>
          <w:sz w:val="18"/>
          <w:szCs w:val="18"/>
        </w:rPr>
        <w:t xml:space="preserve">Source: Author’s analysis (protocol B2).</w:t>
      </w:r>
    </w:p>
    <w:p>
      <w:pPr>
        <w:spacing w:after="120" w:before="0" w:line="360"/>
        <w:jc w:val="both"/>
      </w:pPr>
      <w:r>
        <w:rPr>
          <w:rFonts w:ascii="Times New Roman" w:cs="Times New Roman" w:eastAsia="Times New Roman" w:hAnsi="Times New Roman"/>
          <w:b/>
          <w:bCs/>
        </w:rPr>
        <w:t xml:space="preserve">Interpretation.</w:t>
      </w:r>
      <w:r>
        <w:rPr>
          <w:rFonts w:ascii="Times New Roman" w:cs="Times New Roman" w:eastAsia="Times New Roman" w:hAnsi="Times New Roman"/>
        </w:rPr>
        <w:t xml:space="preserve"> A second, independent set of four origins (23 August 2025 to 18 August 2026) gives the same ordering: the naive forecast is lowest at all three horizons (8.58%, 12.94% and 17.31% MAPE), SARIMA is close behind, and Prophet is worst. With only four origins the differences between the naive forecast, SARIMA and the tree models at 30 days are small and would not pass a formal significance test. The consistent conclusion across B1 and B2 is that </w:t>
      </w:r>
      <w:r>
        <w:rPr>
          <w:rFonts w:ascii="Times New Roman" w:cs="Times New Roman" w:eastAsia="Times New Roman" w:hAnsi="Times New Roman"/>
          <w:b/>
          <w:bCs/>
        </w:rPr>
        <w:t xml:space="preserve">no model reliably beats the naive benchmark</w:t>
      </w:r>
      <w:r>
        <w:rPr>
          <w:rFonts w:ascii="Times New Roman" w:cs="Times New Roman" w:eastAsia="Times New Roman" w:hAnsi="Times New Roman"/>
        </w:rPr>
        <w:t xml:space="preserve">, which answers research question 2 and leaves benchmark hypothesis H0 unrejected.</w:t>
      </w:r>
    </w:p>
    <w:p>
      <w:pPr>
        <w:pStyle w:val="Heading2"/>
        <w:keepNext/>
        <w:spacing w:after="120" w:before="280"/>
      </w:pPr>
      <w:r>
        <w:rPr>
          <w:rFonts w:ascii="Times New Roman" w:cs="Times New Roman" w:eastAsia="Times New Roman" w:hAnsi="Times New Roman"/>
          <w:b/>
          <w:bCs/>
          <w:sz w:val="26"/>
          <w:szCs w:val="26"/>
        </w:rPr>
        <w:t xml:space="preserve">4.11 Northeast Monsoon and Weather Context</w:t>
      </w:r>
    </w:p>
    <w:p>
      <w:pPr>
        <w:pStyle w:val="Heading3"/>
        <w:keepNext/>
        <w:spacing w:after="100" w:before="200"/>
      </w:pPr>
      <w:r>
        <w:rPr>
          <w:rFonts w:ascii="Times New Roman" w:cs="Times New Roman" w:eastAsia="Times New Roman" w:hAnsi="Times New Roman"/>
          <w:b/>
          <w:bCs/>
          <w:i/>
          <w:iCs/>
          <w:sz w:val="24"/>
          <w:szCs w:val="24"/>
        </w:rPr>
        <w:t xml:space="preserve">4.11.1 Regression test of the monsoon effect</w:t>
      </w:r>
    </w:p>
    <w:p>
      <w:pPr>
        <w:spacing w:after="120" w:before="0" w:line="360"/>
        <w:jc w:val="both"/>
      </w:pPr>
      <w:r>
        <w:rPr>
          <w:rFonts w:ascii="Times New Roman" w:cs="Times New Roman" w:eastAsia="Times New Roman" w:hAnsi="Times New Roman"/>
        </w:rPr>
        <w:t xml:space="preserve">Observed Chennai rainfall during the October–December Northeast Monsoon was 846.7 mm in 2024 and 965.5 mm in 2025, the only two complete seasons in the weather file. The HAC regression of Section 3.7 was estimated for each Koyambedu series on 1,000 overlapping daily observations.</w:t>
      </w:r>
    </w:p>
    <w:p>
      <w:pPr>
        <w:pStyle w:val="TableCaption"/>
        <w:keepNext/>
        <w:spacing w:after="80" w:before="200" w:line="276"/>
        <w:jc w:val="center"/>
      </w:pPr>
      <w:r>
        <w:rPr>
          <w:rFonts w:ascii="Times New Roman" w:cs="Times New Roman" w:eastAsia="Times New Roman" w:hAnsi="Times New Roman"/>
          <w:b/>
          <w:bCs/>
          <w:sz w:val="22"/>
          <w:szCs w:val="22"/>
        </w:rPr>
        <w:t xml:space="preserve">Table 4.13: </w:t>
      </w:r>
      <w:r>
        <w:rPr>
          <w:rFonts w:ascii="Times New Roman" w:cs="Times New Roman" w:eastAsia="Times New Roman" w:hAnsi="Times New Roman"/>
          <w:sz w:val="22"/>
          <w:szCs w:val="22"/>
        </w:rPr>
        <w:t xml:space="preserve">HAC regression of forward 7-day price return on rainfall anomaly and prior momentum</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1475"/>
        <w:gridCol w:w="805"/>
        <w:gridCol w:w="1073"/>
        <w:gridCol w:w="1073"/>
        <w:gridCol w:w="939"/>
        <w:gridCol w:w="1341"/>
        <w:gridCol w:w="939"/>
        <w:gridCol w:w="803"/>
      </w:tblGrid>
      <w:tr>
        <w:trPr>
          <w:cantSplit/>
          <w:tblHeader/>
        </w:trPr>
        <w:tc>
          <w:tcPr>
            <w:tcW w:type="dxa" w:w="147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Commodity</w:t>
            </w:r>
          </w:p>
        </w:tc>
        <w:tc>
          <w:tcPr>
            <w:tcW w:type="dxa" w:w="80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n</w:t>
            </w:r>
          </w:p>
        </w:tc>
        <w:tc>
          <w:tcPr>
            <w:tcW w:type="dxa" w:w="107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β₁ rain</w:t>
            </w:r>
          </w:p>
        </w:tc>
        <w:tc>
          <w:tcPr>
            <w:tcW w:type="dxa" w:w="107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HAC s.e.</w:t>
            </w:r>
          </w:p>
        </w:tc>
        <w:tc>
          <w:tcPr>
            <w:tcW w:type="dxa" w:w="93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p (β₁)</w:t>
            </w:r>
          </w:p>
        </w:tc>
        <w:tc>
          <w:tcPr>
            <w:tcW w:type="dxa" w:w="1341"/>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β₂ momentum</w:t>
            </w:r>
          </w:p>
        </w:tc>
        <w:tc>
          <w:tcPr>
            <w:tcW w:type="dxa" w:w="93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p (β₂)</w:t>
            </w:r>
          </w:p>
        </w:tc>
        <w:tc>
          <w:tcPr>
            <w:tcW w:type="dxa" w:w="80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R²</w:t>
            </w:r>
          </w:p>
        </w:tc>
      </w:tr>
      <w:tr>
        <w:trPr>
          <w:cantSplit/>
        </w:trPr>
        <w:tc>
          <w:tcPr>
            <w:tcW w:type="dxa" w:w="14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Tomato</w:t>
            </w:r>
          </w:p>
        </w:tc>
        <w:tc>
          <w:tcPr>
            <w:tcW w:type="dxa" w:w="80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1000</w:t>
            </w:r>
          </w:p>
        </w:tc>
        <w:tc>
          <w:tcPr>
            <w:tcW w:type="dxa" w:w="10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2.73</w:t>
            </w:r>
          </w:p>
        </w:tc>
        <w:tc>
          <w:tcPr>
            <w:tcW w:type="dxa" w:w="10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2.43</w:t>
            </w:r>
          </w:p>
        </w:tc>
        <w:tc>
          <w:tcPr>
            <w:tcW w:type="dxa" w:w="9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0.262</w:t>
            </w:r>
          </w:p>
        </w:tc>
        <w:tc>
          <w:tcPr>
            <w:tcW w:type="dxa" w:w="134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-0.086</w:t>
            </w:r>
          </w:p>
        </w:tc>
        <w:tc>
          <w:tcPr>
            <w:tcW w:type="dxa" w:w="9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0.021</w:t>
            </w:r>
          </w:p>
        </w:tc>
        <w:tc>
          <w:tcPr>
            <w:tcW w:type="dxa" w:w="80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0.013</w:t>
            </w:r>
          </w:p>
        </w:tc>
      </w:tr>
      <w:tr>
        <w:trPr>
          <w:cantSplit/>
        </w:trPr>
        <w:tc>
          <w:tcPr>
            <w:tcW w:type="dxa" w:w="14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Onion</w:t>
            </w:r>
          </w:p>
        </w:tc>
        <w:tc>
          <w:tcPr>
            <w:tcW w:type="dxa" w:w="80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1000</w:t>
            </w:r>
          </w:p>
        </w:tc>
        <w:tc>
          <w:tcPr>
            <w:tcW w:type="dxa" w:w="10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-0.41</w:t>
            </w:r>
          </w:p>
        </w:tc>
        <w:tc>
          <w:tcPr>
            <w:tcW w:type="dxa" w:w="10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1.74</w:t>
            </w:r>
          </w:p>
        </w:tc>
        <w:tc>
          <w:tcPr>
            <w:tcW w:type="dxa" w:w="9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0.815</w:t>
            </w:r>
          </w:p>
        </w:tc>
        <w:tc>
          <w:tcPr>
            <w:tcW w:type="dxa" w:w="134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-0.148</w:t>
            </w:r>
          </w:p>
        </w:tc>
        <w:tc>
          <w:tcPr>
            <w:tcW w:type="dxa" w:w="9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0.020</w:t>
            </w:r>
          </w:p>
        </w:tc>
        <w:tc>
          <w:tcPr>
            <w:tcW w:type="dxa" w:w="80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0.022</w:t>
            </w:r>
          </w:p>
        </w:tc>
      </w:tr>
      <w:tr>
        <w:trPr>
          <w:cantSplit/>
        </w:trPr>
        <w:tc>
          <w:tcPr>
            <w:tcW w:type="dxa" w:w="14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Potato</w:t>
            </w:r>
          </w:p>
        </w:tc>
        <w:tc>
          <w:tcPr>
            <w:tcW w:type="dxa" w:w="80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1000</w:t>
            </w:r>
          </w:p>
        </w:tc>
        <w:tc>
          <w:tcPr>
            <w:tcW w:type="dxa" w:w="10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-0.10</w:t>
            </w:r>
          </w:p>
        </w:tc>
        <w:tc>
          <w:tcPr>
            <w:tcW w:type="dxa" w:w="10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0.98</w:t>
            </w:r>
          </w:p>
        </w:tc>
        <w:tc>
          <w:tcPr>
            <w:tcW w:type="dxa" w:w="9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0.921</w:t>
            </w:r>
          </w:p>
        </w:tc>
        <w:tc>
          <w:tcPr>
            <w:tcW w:type="dxa" w:w="134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-0.270</w:t>
            </w:r>
          </w:p>
        </w:tc>
        <w:tc>
          <w:tcPr>
            <w:tcW w:type="dxa" w:w="9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&lt;0.001</w:t>
            </w:r>
          </w:p>
        </w:tc>
        <w:tc>
          <w:tcPr>
            <w:tcW w:type="dxa" w:w="80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0.073</w:t>
            </w:r>
          </w:p>
        </w:tc>
      </w:tr>
      <w:tr>
        <w:trPr>
          <w:cantSplit/>
        </w:trPr>
        <w:tc>
          <w:tcPr>
            <w:tcW w:type="dxa" w:w="14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Cabbage</w:t>
            </w:r>
          </w:p>
        </w:tc>
        <w:tc>
          <w:tcPr>
            <w:tcW w:type="dxa" w:w="80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1000</w:t>
            </w:r>
          </w:p>
        </w:tc>
        <w:tc>
          <w:tcPr>
            <w:tcW w:type="dxa" w:w="10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-0.56</w:t>
            </w:r>
          </w:p>
        </w:tc>
        <w:tc>
          <w:tcPr>
            <w:tcW w:type="dxa" w:w="10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1.15</w:t>
            </w:r>
          </w:p>
        </w:tc>
        <w:tc>
          <w:tcPr>
            <w:tcW w:type="dxa" w:w="9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0.622</w:t>
            </w:r>
          </w:p>
        </w:tc>
        <w:tc>
          <w:tcPr>
            <w:tcW w:type="dxa" w:w="134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-0.317</w:t>
            </w:r>
          </w:p>
        </w:tc>
        <w:tc>
          <w:tcPr>
            <w:tcW w:type="dxa" w:w="9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&lt;0.001</w:t>
            </w:r>
          </w:p>
        </w:tc>
        <w:tc>
          <w:tcPr>
            <w:tcW w:type="dxa" w:w="80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0.101</w:t>
            </w:r>
          </w:p>
        </w:tc>
      </w:tr>
      <w:tr>
        <w:trPr>
          <w:cantSplit/>
        </w:trPr>
        <w:tc>
          <w:tcPr>
            <w:tcW w:type="dxa" w:w="14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Carrot</w:t>
            </w:r>
          </w:p>
        </w:tc>
        <w:tc>
          <w:tcPr>
            <w:tcW w:type="dxa" w:w="80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1000</w:t>
            </w:r>
          </w:p>
        </w:tc>
        <w:tc>
          <w:tcPr>
            <w:tcW w:type="dxa" w:w="10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-0.79</w:t>
            </w:r>
          </w:p>
        </w:tc>
        <w:tc>
          <w:tcPr>
            <w:tcW w:type="dxa" w:w="10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0.88</w:t>
            </w:r>
          </w:p>
        </w:tc>
        <w:tc>
          <w:tcPr>
            <w:tcW w:type="dxa" w:w="9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0.371</w:t>
            </w:r>
          </w:p>
        </w:tc>
        <w:tc>
          <w:tcPr>
            <w:tcW w:type="dxa" w:w="134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-0.171</w:t>
            </w:r>
          </w:p>
        </w:tc>
        <w:tc>
          <w:tcPr>
            <w:tcW w:type="dxa" w:w="9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&lt;0.001</w:t>
            </w:r>
          </w:p>
        </w:tc>
        <w:tc>
          <w:tcPr>
            <w:tcW w:type="dxa" w:w="80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0.030</w:t>
            </w:r>
          </w:p>
        </w:tc>
      </w:tr>
      <w:tr>
        <w:trPr>
          <w:cantSplit/>
        </w:trPr>
        <w:tc>
          <w:tcPr>
            <w:tcW w:type="dxa" w:w="14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Beans</w:t>
            </w:r>
          </w:p>
        </w:tc>
        <w:tc>
          <w:tcPr>
            <w:tcW w:type="dxa" w:w="80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1000</w:t>
            </w:r>
          </w:p>
        </w:tc>
        <w:tc>
          <w:tcPr>
            <w:tcW w:type="dxa" w:w="10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0.86</w:t>
            </w:r>
          </w:p>
        </w:tc>
        <w:tc>
          <w:tcPr>
            <w:tcW w:type="dxa" w:w="10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1.55</w:t>
            </w:r>
          </w:p>
        </w:tc>
        <w:tc>
          <w:tcPr>
            <w:tcW w:type="dxa" w:w="9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0.577</w:t>
            </w:r>
          </w:p>
        </w:tc>
        <w:tc>
          <w:tcPr>
            <w:tcW w:type="dxa" w:w="134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-0.248</w:t>
            </w:r>
          </w:p>
        </w:tc>
        <w:tc>
          <w:tcPr>
            <w:tcW w:type="dxa" w:w="9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0.002</w:t>
            </w:r>
          </w:p>
        </w:tc>
        <w:tc>
          <w:tcPr>
            <w:tcW w:type="dxa" w:w="80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0.063</w:t>
            </w:r>
          </w:p>
        </w:tc>
      </w:tr>
      <w:tr>
        <w:trPr>
          <w:cantSplit/>
        </w:trPr>
        <w:tc>
          <w:tcPr>
            <w:tcW w:type="dxa" w:w="14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Brinjal</w:t>
            </w:r>
          </w:p>
        </w:tc>
        <w:tc>
          <w:tcPr>
            <w:tcW w:type="dxa" w:w="80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1000</w:t>
            </w:r>
          </w:p>
        </w:tc>
        <w:tc>
          <w:tcPr>
            <w:tcW w:type="dxa" w:w="10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0.55</w:t>
            </w:r>
          </w:p>
        </w:tc>
        <w:tc>
          <w:tcPr>
            <w:tcW w:type="dxa" w:w="10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0.91</w:t>
            </w:r>
          </w:p>
        </w:tc>
        <w:tc>
          <w:tcPr>
            <w:tcW w:type="dxa" w:w="9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0.543</w:t>
            </w:r>
          </w:p>
        </w:tc>
        <w:tc>
          <w:tcPr>
            <w:tcW w:type="dxa" w:w="134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-0.387</w:t>
            </w:r>
          </w:p>
        </w:tc>
        <w:tc>
          <w:tcPr>
            <w:tcW w:type="dxa" w:w="9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&lt;0.001</w:t>
            </w:r>
          </w:p>
        </w:tc>
        <w:tc>
          <w:tcPr>
            <w:tcW w:type="dxa" w:w="80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0.149</w:t>
            </w:r>
          </w:p>
        </w:tc>
      </w:tr>
      <w:tr>
        <w:trPr>
          <w:cantSplit/>
        </w:trPr>
        <w:tc>
          <w:tcPr>
            <w:tcW w:type="dxa" w:w="14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Drumstick</w:t>
            </w:r>
          </w:p>
        </w:tc>
        <w:tc>
          <w:tcPr>
            <w:tcW w:type="dxa" w:w="80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1000</w:t>
            </w:r>
          </w:p>
        </w:tc>
        <w:tc>
          <w:tcPr>
            <w:tcW w:type="dxa" w:w="10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-1.73</w:t>
            </w:r>
          </w:p>
        </w:tc>
        <w:tc>
          <w:tcPr>
            <w:tcW w:type="dxa" w:w="10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2.55</w:t>
            </w:r>
          </w:p>
        </w:tc>
        <w:tc>
          <w:tcPr>
            <w:tcW w:type="dxa" w:w="9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0.496</w:t>
            </w:r>
          </w:p>
        </w:tc>
        <w:tc>
          <w:tcPr>
            <w:tcW w:type="dxa" w:w="134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-0.176</w:t>
            </w:r>
          </w:p>
        </w:tc>
        <w:tc>
          <w:tcPr>
            <w:tcW w:type="dxa" w:w="9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&lt;0.001</w:t>
            </w:r>
          </w:p>
        </w:tc>
        <w:tc>
          <w:tcPr>
            <w:tcW w:type="dxa" w:w="80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0.031</w:t>
            </w:r>
          </w:p>
        </w:tc>
      </w:tr>
    </w:tbl>
    <w:p>
      <w:pPr>
        <w:spacing w:after="200" w:before="60" w:line="240"/>
      </w:pPr>
      <w:r>
        <w:rPr>
          <w:rFonts w:ascii="Times New Roman" w:cs="Times New Roman" w:eastAsia="Times New Roman" w:hAnsi="Times New Roman"/>
          <w:i/>
          <w:iCs/>
          <w:sz w:val="18"/>
          <w:szCs w:val="18"/>
        </w:rPr>
        <w:t xml:space="preserve">Source: Author’s analysis; Newey–West standard errors with 7 lags.</w:t>
      </w:r>
    </w:p>
    <w:p>
      <w:pPr>
        <w:keepNext/>
        <w:spacing w:after="60" w:before="160"/>
        <w:jc w:val="center"/>
      </w:pPr>
      <w:r>
        <w:drawing>
          <wp:inline distT="0" distB="0" distL="0" distR="0">
            <wp:extent cx="5334000" cy="2219325"/>
            <wp:effectExtent t="0" r="0" b="0" l="0"/>
            <wp:docPr id="1" name="Figure 4.12" descr="Rainfall-anomaly coefficients with 95% HAC intervals, and price-momentum coefficients" title="Rainfall-anomaly coefficients with 95% HAC intervals, and price-momentum coeffic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219325"/>
                    </a:xfrm>
                    <a:prstGeom prst="rect">
                      <a:avLst/>
                    </a:prstGeom>
                  </pic:spPr>
                </pic:pic>
              </a:graphicData>
            </a:graphic>
          </wp:inline>
        </w:drawing>
      </w:r>
    </w:p>
    <w:p>
      <w:pPr>
        <w:pStyle w:val="FigureCaption"/>
        <w:spacing w:after="40" w:line="276"/>
        <w:jc w:val="center"/>
      </w:pPr>
      <w:r>
        <w:rPr>
          <w:rFonts w:ascii="Times New Roman" w:cs="Times New Roman" w:eastAsia="Times New Roman" w:hAnsi="Times New Roman"/>
          <w:b/>
          <w:bCs/>
          <w:sz w:val="22"/>
          <w:szCs w:val="22"/>
        </w:rPr>
        <w:t xml:space="preserve">Figure 4.12: </w:t>
      </w:r>
      <w:r>
        <w:rPr>
          <w:rFonts w:ascii="Times New Roman" w:cs="Times New Roman" w:eastAsia="Times New Roman" w:hAnsi="Times New Roman"/>
          <w:sz w:val="22"/>
          <w:szCs w:val="22"/>
        </w:rPr>
        <w:t xml:space="preserve">Rainfall-anomaly coefficients with 95% HAC intervals, and price-momentum coefficients</w:t>
      </w:r>
    </w:p>
    <w:p>
      <w:pPr>
        <w:spacing w:after="220" w:line="240"/>
        <w:jc w:val="center"/>
      </w:pPr>
      <w:r>
        <w:rPr>
          <w:rFonts w:ascii="Times New Roman" w:cs="Times New Roman" w:eastAsia="Times New Roman" w:hAnsi="Times New Roman"/>
          <w:i/>
          <w:iCs/>
          <w:sz w:val="18"/>
          <w:szCs w:val="18"/>
        </w:rPr>
        <w:t xml:space="preserve">Source: Author’s analysis.</w:t>
      </w:r>
    </w:p>
    <w:p>
      <w:pPr>
        <w:spacing w:after="120" w:before="0" w:line="360"/>
        <w:jc w:val="both"/>
      </w:pPr>
      <w:r>
        <w:rPr>
          <w:rFonts w:ascii="Times New Roman" w:cs="Times New Roman" w:eastAsia="Times New Roman" w:hAnsi="Times New Roman"/>
          <w:b/>
          <w:bCs/>
        </w:rPr>
        <w:t xml:space="preserve">Interpretation.</w:t>
      </w:r>
      <w:r>
        <w:rPr>
          <w:rFonts w:ascii="Times New Roman" w:cs="Times New Roman" w:eastAsia="Times New Roman" w:hAnsi="Times New Roman"/>
        </w:rPr>
        <w:t xml:space="preserve"> No rainfall-anomaly coefficient is significant: p-values range from 0.262 (Tomato) to 0.921 (Potato), and every 95% interval spans zero. </w:t>
      </w:r>
      <w:r>
        <w:rPr>
          <w:rFonts w:ascii="Times New Roman" w:cs="Times New Roman" w:eastAsia="Times New Roman" w:hAnsi="Times New Roman"/>
          <w:b/>
          <w:bCs/>
        </w:rPr>
        <w:t xml:space="preserve">H2 is not supported.</w:t>
      </w:r>
      <w:r>
        <w:rPr>
          <w:rFonts w:ascii="Times New Roman" w:cs="Times New Roman" w:eastAsia="Times New Roman" w:hAnsi="Times New Roman"/>
        </w:rPr>
        <w:t xml:space="preserve"> This is not evidence that weather does not matter. The weather record covers only two monsoon seasons, rainfall is measured in Chennai rather than in the producing districts that supply Koyambedu, and arrival volumes, the channel through which weather would act according to Roy et al. (2024), were unavailable.</w:t>
      </w:r>
    </w:p>
    <w:p>
      <w:pPr>
        <w:spacing w:after="120" w:before="0" w:line="360"/>
        <w:jc w:val="both"/>
      </w:pPr>
      <w:r>
        <w:rPr>
          <w:rFonts w:ascii="Times New Roman" w:cs="Times New Roman" w:eastAsia="Times New Roman" w:hAnsi="Times New Roman"/>
        </w:rPr>
        <w:t xml:space="preserve">By contrast, </w:t>
      </w:r>
      <w:r>
        <w:rPr>
          <w:rFonts w:ascii="Times New Roman" w:cs="Times New Roman" w:eastAsia="Times New Roman" w:hAnsi="Times New Roman"/>
          <w:b/>
          <w:bCs/>
        </w:rPr>
        <w:t xml:space="preserve">prior seven-day momentum is negative and significant for all eight series</w:t>
      </w:r>
      <w:r>
        <w:rPr>
          <w:rFonts w:ascii="Times New Roman" w:cs="Times New Roman" w:eastAsia="Times New Roman" w:hAnsi="Times New Roman"/>
        </w:rPr>
        <w:t xml:space="preserve"> (coefficients −0.09 to −0.39, all p &lt; 0.03): a price that has risen over the past week tends to fall back over the next week, and vice versa. This short-run mean reversion is the same property detected by the ADF tests in Section 4.4. It is a genuine and usable finding for buyers: after a sharp weekly rise, waiting has on average been rewarded, except during sustained supply shocks of the kind examined in Section 4.14. The low R² values (0.01–0.15) show that most weekly variation remains unexplained.</w:t>
      </w:r>
    </w:p>
    <w:p>
      <w:pPr>
        <w:pStyle w:val="Heading3"/>
        <w:keepNext/>
        <w:spacing w:after="100" w:before="200"/>
      </w:pPr>
      <w:r>
        <w:rPr>
          <w:rFonts w:ascii="Times New Roman" w:cs="Times New Roman" w:eastAsia="Times New Roman" w:hAnsi="Times New Roman"/>
          <w:b/>
          <w:bCs/>
          <w:i/>
          <w:iCs/>
          <w:sz w:val="24"/>
          <w:szCs w:val="24"/>
        </w:rPr>
        <w:t xml:space="preserve">4.11.2 SHAP ranking of the Northeast Monsoon deviation index</w:t>
      </w:r>
    </w:p>
    <w:p>
      <w:pPr>
        <w:spacing w:after="120" w:before="0" w:line="360"/>
        <w:jc w:val="both"/>
      </w:pPr>
      <w:r>
        <w:rPr>
          <w:rFonts w:ascii="Times New Roman" w:cs="Times New Roman" w:eastAsia="Times New Roman" w:hAnsi="Times New Roman"/>
        </w:rPr>
        <w:t xml:space="preserve">As the proposal specified, a seven-day XGBoost model was fitted to each Koyambedu series with sixteen features: ten price features (prices at the origin and earlier, rolling means and spread, momentum and season of the target date) and six weather features (7- and 30-day rainfall, maximum temperature, a seven-day rainfall anomaly, the Northeast Monsoon deviation index and a season flag), using January 2024 to September 2026, the period covered by the weather record. Market arrival volume could not be included. Table 4.14 ranks the features by share of mean absolute SHAP value.</w:t>
      </w:r>
    </w:p>
    <w:p>
      <w:pPr>
        <w:pStyle w:val="TableCaption"/>
        <w:keepNext/>
        <w:spacing w:after="80" w:before="200" w:line="276"/>
        <w:jc w:val="center"/>
      </w:pPr>
      <w:r>
        <w:rPr>
          <w:rFonts w:ascii="Times New Roman" w:cs="Times New Roman" w:eastAsia="Times New Roman" w:hAnsi="Times New Roman"/>
          <w:b/>
          <w:bCs/>
          <w:sz w:val="22"/>
          <w:szCs w:val="22"/>
        </w:rPr>
        <w:t xml:space="preserve">Table 4.14: </w:t>
      </w:r>
      <w:r>
        <w:rPr>
          <w:rFonts w:ascii="Times New Roman" w:cs="Times New Roman" w:eastAsia="Times New Roman" w:hAnsi="Times New Roman"/>
          <w:sz w:val="22"/>
          <w:szCs w:val="22"/>
        </w:rPr>
        <w:t xml:space="preserve">SHAP ranking of the Northeast Monsoon deviation index against price features (Koyambedu, 7-day XGBoost)</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1320"/>
        <w:gridCol w:w="1320"/>
        <w:gridCol w:w="1452"/>
        <w:gridCol w:w="1452"/>
        <w:gridCol w:w="1320"/>
        <w:gridCol w:w="1584"/>
      </w:tblGrid>
      <w:tr>
        <w:trPr>
          <w:cantSplit/>
          <w:tblHeader/>
        </w:trPr>
        <w:tc>
          <w:tcPr>
            <w:tcW w:type="dxa" w:w="132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Series</w:t>
            </w:r>
          </w:p>
        </w:tc>
        <w:tc>
          <w:tcPr>
            <w:tcW w:type="dxa" w:w="132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Price at origin: share</w:t>
            </w:r>
          </w:p>
        </w:tc>
        <w:tc>
          <w:tcPr>
            <w:tcW w:type="dxa" w:w="145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NE Monsoon deviation: rank</w:t>
            </w:r>
          </w:p>
        </w:tc>
        <w:tc>
          <w:tcPr>
            <w:tcW w:type="dxa" w:w="145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NE Monsoon deviation: share</w:t>
            </w:r>
          </w:p>
        </w:tc>
        <w:tc>
          <w:tcPr>
            <w:tcW w:type="dxa" w:w="132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Rainfall anomaly: rank</w:t>
            </w:r>
          </w:p>
        </w:tc>
        <w:tc>
          <w:tcPr>
            <w:tcW w:type="dxa" w:w="158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All six weather features: share</w:t>
            </w:r>
          </w:p>
        </w:tc>
      </w:tr>
      <w:tr>
        <w:trPr>
          <w:cantSplit/>
        </w:trPr>
        <w:tc>
          <w:tcPr>
            <w:tcW w:type="dxa" w:w="13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Tomato</w:t>
            </w:r>
          </w:p>
        </w:tc>
        <w:tc>
          <w:tcPr>
            <w:tcW w:type="dxa" w:w="13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42.10%</w:t>
            </w:r>
          </w:p>
        </w:tc>
        <w:tc>
          <w:tcPr>
            <w:tcW w:type="dxa" w:w="14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13 of 16</w:t>
            </w:r>
          </w:p>
        </w:tc>
        <w:tc>
          <w:tcPr>
            <w:tcW w:type="dxa" w:w="14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1.63%</w:t>
            </w:r>
          </w:p>
        </w:tc>
        <w:tc>
          <w:tcPr>
            <w:tcW w:type="dxa" w:w="13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7 of 16</w:t>
            </w:r>
          </w:p>
        </w:tc>
        <w:tc>
          <w:tcPr>
            <w:tcW w:type="dxa" w:w="158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11.20%</w:t>
            </w:r>
          </w:p>
        </w:tc>
      </w:tr>
      <w:tr>
        <w:trPr>
          <w:cantSplit/>
        </w:trPr>
        <w:tc>
          <w:tcPr>
            <w:tcW w:type="dxa" w:w="13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Onion</w:t>
            </w:r>
          </w:p>
        </w:tc>
        <w:tc>
          <w:tcPr>
            <w:tcW w:type="dxa" w:w="13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36.70%</w:t>
            </w:r>
          </w:p>
        </w:tc>
        <w:tc>
          <w:tcPr>
            <w:tcW w:type="dxa" w:w="14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14 of 16</w:t>
            </w:r>
          </w:p>
        </w:tc>
        <w:tc>
          <w:tcPr>
            <w:tcW w:type="dxa" w:w="14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0.90%</w:t>
            </w:r>
          </w:p>
        </w:tc>
        <w:tc>
          <w:tcPr>
            <w:tcW w:type="dxa" w:w="13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9 of 16</w:t>
            </w:r>
          </w:p>
        </w:tc>
        <w:tc>
          <w:tcPr>
            <w:tcW w:type="dxa" w:w="158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10.50%</w:t>
            </w:r>
          </w:p>
        </w:tc>
      </w:tr>
      <w:tr>
        <w:trPr>
          <w:cantSplit/>
        </w:trPr>
        <w:tc>
          <w:tcPr>
            <w:tcW w:type="dxa" w:w="13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Potato</w:t>
            </w:r>
          </w:p>
        </w:tc>
        <w:tc>
          <w:tcPr>
            <w:tcW w:type="dxa" w:w="13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27.00%</w:t>
            </w:r>
          </w:p>
        </w:tc>
        <w:tc>
          <w:tcPr>
            <w:tcW w:type="dxa" w:w="14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15 of 16</w:t>
            </w:r>
          </w:p>
        </w:tc>
        <w:tc>
          <w:tcPr>
            <w:tcW w:type="dxa" w:w="14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0.32%</w:t>
            </w:r>
          </w:p>
        </w:tc>
        <w:tc>
          <w:tcPr>
            <w:tcW w:type="dxa" w:w="13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10 of 16</w:t>
            </w:r>
          </w:p>
        </w:tc>
        <w:tc>
          <w:tcPr>
            <w:tcW w:type="dxa" w:w="158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5.80%</w:t>
            </w:r>
          </w:p>
        </w:tc>
      </w:tr>
      <w:tr>
        <w:trPr>
          <w:cantSplit/>
        </w:trPr>
        <w:tc>
          <w:tcPr>
            <w:tcW w:type="dxa" w:w="13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Cabbage</w:t>
            </w:r>
          </w:p>
        </w:tc>
        <w:tc>
          <w:tcPr>
            <w:tcW w:type="dxa" w:w="13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37.90%</w:t>
            </w:r>
          </w:p>
        </w:tc>
        <w:tc>
          <w:tcPr>
            <w:tcW w:type="dxa" w:w="14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12 of 16</w:t>
            </w:r>
          </w:p>
        </w:tc>
        <w:tc>
          <w:tcPr>
            <w:tcW w:type="dxa" w:w="14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1.67%</w:t>
            </w:r>
          </w:p>
        </w:tc>
        <w:tc>
          <w:tcPr>
            <w:tcW w:type="dxa" w:w="13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15 of 16</w:t>
            </w:r>
          </w:p>
        </w:tc>
        <w:tc>
          <w:tcPr>
            <w:tcW w:type="dxa" w:w="158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9.70%</w:t>
            </w:r>
          </w:p>
        </w:tc>
      </w:tr>
      <w:tr>
        <w:trPr>
          <w:cantSplit/>
        </w:trPr>
        <w:tc>
          <w:tcPr>
            <w:tcW w:type="dxa" w:w="13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Carrot</w:t>
            </w:r>
          </w:p>
        </w:tc>
        <w:tc>
          <w:tcPr>
            <w:tcW w:type="dxa" w:w="13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25.40%</w:t>
            </w:r>
          </w:p>
        </w:tc>
        <w:tc>
          <w:tcPr>
            <w:tcW w:type="dxa" w:w="14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12 of 16</w:t>
            </w:r>
          </w:p>
        </w:tc>
        <w:tc>
          <w:tcPr>
            <w:tcW w:type="dxa" w:w="14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1.29%</w:t>
            </w:r>
          </w:p>
        </w:tc>
        <w:tc>
          <w:tcPr>
            <w:tcW w:type="dxa" w:w="13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10 of 16</w:t>
            </w:r>
          </w:p>
        </w:tc>
        <w:tc>
          <w:tcPr>
            <w:tcW w:type="dxa" w:w="158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11.50%</w:t>
            </w:r>
          </w:p>
        </w:tc>
      </w:tr>
      <w:tr>
        <w:trPr>
          <w:cantSplit/>
        </w:trPr>
        <w:tc>
          <w:tcPr>
            <w:tcW w:type="dxa" w:w="13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Beans</w:t>
            </w:r>
          </w:p>
        </w:tc>
        <w:tc>
          <w:tcPr>
            <w:tcW w:type="dxa" w:w="13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22.60%</w:t>
            </w:r>
          </w:p>
        </w:tc>
        <w:tc>
          <w:tcPr>
            <w:tcW w:type="dxa" w:w="14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15 of 16</w:t>
            </w:r>
          </w:p>
        </w:tc>
        <w:tc>
          <w:tcPr>
            <w:tcW w:type="dxa" w:w="14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0.18%</w:t>
            </w:r>
          </w:p>
        </w:tc>
        <w:tc>
          <w:tcPr>
            <w:tcW w:type="dxa" w:w="13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14 of 16</w:t>
            </w:r>
          </w:p>
        </w:tc>
        <w:tc>
          <w:tcPr>
            <w:tcW w:type="dxa" w:w="158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20.00%</w:t>
            </w:r>
          </w:p>
        </w:tc>
      </w:tr>
      <w:tr>
        <w:trPr>
          <w:cantSplit/>
        </w:trPr>
        <w:tc>
          <w:tcPr>
            <w:tcW w:type="dxa" w:w="13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Brinjal</w:t>
            </w:r>
          </w:p>
        </w:tc>
        <w:tc>
          <w:tcPr>
            <w:tcW w:type="dxa" w:w="13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43.20%</w:t>
            </w:r>
          </w:p>
        </w:tc>
        <w:tc>
          <w:tcPr>
            <w:tcW w:type="dxa" w:w="14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13 of 16</w:t>
            </w:r>
          </w:p>
        </w:tc>
        <w:tc>
          <w:tcPr>
            <w:tcW w:type="dxa" w:w="14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1.19%</w:t>
            </w:r>
          </w:p>
        </w:tc>
        <w:tc>
          <w:tcPr>
            <w:tcW w:type="dxa" w:w="13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11 of 16</w:t>
            </w:r>
          </w:p>
        </w:tc>
        <w:tc>
          <w:tcPr>
            <w:tcW w:type="dxa" w:w="158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13.60%</w:t>
            </w:r>
          </w:p>
        </w:tc>
      </w:tr>
      <w:tr>
        <w:trPr>
          <w:cantSplit/>
        </w:trPr>
        <w:tc>
          <w:tcPr>
            <w:tcW w:type="dxa" w:w="13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Drumstick</w:t>
            </w:r>
          </w:p>
        </w:tc>
        <w:tc>
          <w:tcPr>
            <w:tcW w:type="dxa" w:w="13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50.90%</w:t>
            </w:r>
          </w:p>
        </w:tc>
        <w:tc>
          <w:tcPr>
            <w:tcW w:type="dxa" w:w="14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15 of 16</w:t>
            </w:r>
          </w:p>
        </w:tc>
        <w:tc>
          <w:tcPr>
            <w:tcW w:type="dxa" w:w="14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0.09%</w:t>
            </w:r>
          </w:p>
        </w:tc>
        <w:tc>
          <w:tcPr>
            <w:tcW w:type="dxa" w:w="13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10 of 16</w:t>
            </w:r>
          </w:p>
        </w:tc>
        <w:tc>
          <w:tcPr>
            <w:tcW w:type="dxa" w:w="158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12.40%</w:t>
            </w:r>
          </w:p>
        </w:tc>
      </w:tr>
    </w:tbl>
    <w:p>
      <w:pPr>
        <w:spacing w:after="200" w:before="60" w:line="240"/>
      </w:pPr>
      <w:r>
        <w:rPr>
          <w:rFonts w:ascii="Times New Roman" w:cs="Times New Roman" w:eastAsia="Times New Roman" w:hAnsi="Times New Roman"/>
          <w:i/>
          <w:iCs/>
          <w:sz w:val="18"/>
          <w:szCs w:val="18"/>
        </w:rPr>
        <w:t xml:space="preserve">Source: Author’s analysis; 975 daily observations per series.</w:t>
      </w:r>
    </w:p>
    <w:p>
      <w:pPr>
        <w:keepNext/>
        <w:spacing w:after="60" w:before="160"/>
        <w:jc w:val="center"/>
      </w:pPr>
      <w:r>
        <w:drawing>
          <wp:inline distT="0" distB="0" distL="0" distR="0">
            <wp:extent cx="5334000" cy="2743200"/>
            <wp:effectExtent t="0" r="0" b="0" l="0"/>
            <wp:docPr id="1" name="Figure 4.13" descr="Tomato: SHAP beeswarm for the Koyambedu 7-day XGBoost model" title="Tomato: SHAP beeswarm for the Koyambedu 7-day XGBoost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743200"/>
                    </a:xfrm>
                    <a:prstGeom prst="rect">
                      <a:avLst/>
                    </a:prstGeom>
                  </pic:spPr>
                </pic:pic>
              </a:graphicData>
            </a:graphic>
          </wp:inline>
        </w:drawing>
      </w:r>
    </w:p>
    <w:p>
      <w:pPr>
        <w:pStyle w:val="FigureCaption"/>
        <w:spacing w:after="40" w:line="276"/>
        <w:jc w:val="center"/>
      </w:pPr>
      <w:r>
        <w:rPr>
          <w:rFonts w:ascii="Times New Roman" w:cs="Times New Roman" w:eastAsia="Times New Roman" w:hAnsi="Times New Roman"/>
          <w:b/>
          <w:bCs/>
          <w:sz w:val="22"/>
          <w:szCs w:val="22"/>
        </w:rPr>
        <w:t xml:space="preserve">Figure 4.13: </w:t>
      </w:r>
      <w:r>
        <w:rPr>
          <w:rFonts w:ascii="Times New Roman" w:cs="Times New Roman" w:eastAsia="Times New Roman" w:hAnsi="Times New Roman"/>
          <w:sz w:val="22"/>
          <w:szCs w:val="22"/>
        </w:rPr>
        <w:t xml:space="preserve">Tomato: SHAP beeswarm for the Koyambedu 7-day XGBoost model</w:t>
      </w:r>
    </w:p>
    <w:p>
      <w:pPr>
        <w:spacing w:after="220" w:line="240"/>
        <w:jc w:val="center"/>
      </w:pPr>
      <w:r>
        <w:rPr>
          <w:rFonts w:ascii="Times New Roman" w:cs="Times New Roman" w:eastAsia="Times New Roman" w:hAnsi="Times New Roman"/>
          <w:i/>
          <w:iCs/>
          <w:sz w:val="18"/>
          <w:szCs w:val="18"/>
        </w:rPr>
        <w:t xml:space="preserve">Source: Author’s analysis.</w:t>
      </w:r>
    </w:p>
    <w:p>
      <w:pPr>
        <w:keepNext/>
        <w:spacing w:after="60" w:before="160"/>
        <w:jc w:val="center"/>
      </w:pPr>
      <w:r>
        <w:drawing>
          <wp:inline distT="0" distB="0" distL="0" distR="0">
            <wp:extent cx="5334000" cy="1866900"/>
            <wp:effectExtent t="0" r="0" b="0" l="0"/>
            <wp:docPr id="1" name="Figure 4.14" descr="Tomato: SHAP dependence plots for the top three features" title="Tomato: SHAP dependence plots for the top three fea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1866900"/>
                    </a:xfrm>
                    <a:prstGeom prst="rect">
                      <a:avLst/>
                    </a:prstGeom>
                  </pic:spPr>
                </pic:pic>
              </a:graphicData>
            </a:graphic>
          </wp:inline>
        </w:drawing>
      </w:r>
    </w:p>
    <w:p>
      <w:pPr>
        <w:pStyle w:val="FigureCaption"/>
        <w:spacing w:after="40" w:line="276"/>
        <w:jc w:val="center"/>
      </w:pPr>
      <w:r>
        <w:rPr>
          <w:rFonts w:ascii="Times New Roman" w:cs="Times New Roman" w:eastAsia="Times New Roman" w:hAnsi="Times New Roman"/>
          <w:b/>
          <w:bCs/>
          <w:sz w:val="22"/>
          <w:szCs w:val="22"/>
        </w:rPr>
        <w:t xml:space="preserve">Figure 4.14: </w:t>
      </w:r>
      <w:r>
        <w:rPr>
          <w:rFonts w:ascii="Times New Roman" w:cs="Times New Roman" w:eastAsia="Times New Roman" w:hAnsi="Times New Roman"/>
          <w:sz w:val="22"/>
          <w:szCs w:val="22"/>
        </w:rPr>
        <w:t xml:space="preserve">Tomato: SHAP dependence plots for the top three features</w:t>
      </w:r>
    </w:p>
    <w:p>
      <w:pPr>
        <w:spacing w:after="220" w:line="240"/>
        <w:jc w:val="center"/>
      </w:pPr>
      <w:r>
        <w:rPr>
          <w:rFonts w:ascii="Times New Roman" w:cs="Times New Roman" w:eastAsia="Times New Roman" w:hAnsi="Times New Roman"/>
          <w:i/>
          <w:iCs/>
          <w:sz w:val="18"/>
          <w:szCs w:val="18"/>
        </w:rPr>
        <w:t xml:space="preserve">Source: Author’s analysis.</w:t>
      </w:r>
    </w:p>
    <w:p>
      <w:pPr>
        <w:spacing w:after="120" w:before="0" w:line="360"/>
        <w:jc w:val="both"/>
      </w:pPr>
      <w:r>
        <w:rPr>
          <w:rFonts w:ascii="Times New Roman" w:cs="Times New Roman" w:eastAsia="Times New Roman" w:hAnsi="Times New Roman"/>
          <w:b/>
          <w:bCs/>
        </w:rPr>
        <w:t xml:space="preserve">Interpretation.</w:t>
      </w:r>
      <w:r>
        <w:rPr>
          <w:rFonts w:ascii="Times New Roman" w:cs="Times New Roman" w:eastAsia="Times New Roman" w:hAnsi="Times New Roman"/>
        </w:rPr>
        <w:t xml:space="preserve"> The price at the forecast origin is the strongest feature for </w:t>
      </w:r>
      <w:r>
        <w:rPr>
          <w:rFonts w:ascii="Times New Roman" w:cs="Times New Roman" w:eastAsia="Times New Roman" w:hAnsi="Times New Roman"/>
          <w:b/>
          <w:bCs/>
        </w:rPr>
        <w:t xml:space="preserve">all eight</w:t>
      </w:r>
      <w:r>
        <w:rPr>
          <w:rFonts w:ascii="Times New Roman" w:cs="Times New Roman" w:eastAsia="Times New Roman" w:hAnsi="Times New Roman"/>
        </w:rPr>
        <w:t xml:space="preserve"> vegetables, accounting for 23–51% of attribution. The Northeast Monsoon deviation index ranks between 12th and 15th of 16 features and contributes at most 1.7%; all six weather features together contribute 6–20%. For Tomato (Figures 4.13 and 4.14) the top three features are the price at the origin (42.1%), the seven-day mean price (13.8%) and the season of the target date (11.3%), and their dependence plots show a near-linear persistence effect and a seasonal step. Consistent with the regression test, the SHAP ranking places monsoon deviation well behind price history, answering the proposal’s question of which predictor is strongest.</w:t>
      </w:r>
    </w:p>
    <w:p>
      <w:pPr>
        <w:pStyle w:val="Heading3"/>
        <w:keepNext/>
        <w:spacing w:after="100" w:before="200"/>
      </w:pPr>
      <w:r>
        <w:rPr>
          <w:rFonts w:ascii="Times New Roman" w:cs="Times New Roman" w:eastAsia="Times New Roman" w:hAnsi="Times New Roman"/>
          <w:b/>
          <w:bCs/>
          <w:i/>
          <w:iCs/>
          <w:sz w:val="24"/>
          <w:szCs w:val="24"/>
        </w:rPr>
        <w:t xml:space="preserve">4.11.3 Delta-accuracy test: does weather context improve the forecast?</w:t>
      </w:r>
    </w:p>
    <w:p>
      <w:pPr>
        <w:spacing w:after="120" w:before="0" w:line="360"/>
        <w:jc w:val="both"/>
      </w:pPr>
      <w:r>
        <w:rPr>
          <w:rFonts w:ascii="Times New Roman" w:cs="Times New Roman" w:eastAsia="Times New Roman" w:hAnsi="Times New Roman"/>
        </w:rPr>
        <w:t xml:space="preserve">The proposal’s AgriSight evaluation asked whether adding real-time context to XGBoost measurably improves accuracy on a six-month held-out period. Historical policy news is not archived, so the context tested is the weather information that the live pipeline supplies, observed up to each forecast date. At 27 weekly origins from April to September 2026, two XGBoost models were trained on data available at each origin, one with the ten price features and one with the six weather features added, and scored at 7, 14 and 30 days (protocol C1).</w:t>
      </w:r>
    </w:p>
    <w:p>
      <w:pPr>
        <w:pStyle w:val="TableCaption"/>
        <w:keepNext/>
        <w:spacing w:after="80" w:before="200" w:line="276"/>
        <w:jc w:val="center"/>
      </w:pPr>
      <w:r>
        <w:rPr>
          <w:rFonts w:ascii="Times New Roman" w:cs="Times New Roman" w:eastAsia="Times New Roman" w:hAnsi="Times New Roman"/>
          <w:b/>
          <w:bCs/>
          <w:sz w:val="22"/>
          <w:szCs w:val="22"/>
        </w:rPr>
        <w:t xml:space="preserve">Table 4.15: </w:t>
      </w:r>
      <w:r>
        <w:rPr>
          <w:rFonts w:ascii="Times New Roman" w:cs="Times New Roman" w:eastAsia="Times New Roman" w:hAnsi="Times New Roman"/>
          <w:sz w:val="22"/>
          <w:szCs w:val="22"/>
        </w:rPr>
        <w:t xml:space="preserve">Delta-accuracy test: WAPE (%) on the six-month holdout, Koyambedu, 8 series</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994"/>
        <w:gridCol w:w="994"/>
        <w:gridCol w:w="870"/>
        <w:gridCol w:w="1118"/>
        <w:gridCol w:w="1118"/>
        <w:gridCol w:w="1118"/>
        <w:gridCol w:w="1118"/>
        <w:gridCol w:w="1118"/>
      </w:tblGrid>
      <w:tr>
        <w:trPr>
          <w:cantSplit/>
          <w:tblHeader/>
        </w:trPr>
        <w:tc>
          <w:tcPr>
            <w:tcW w:type="dxa" w:w="99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6"/>
                <w:szCs w:val="16"/>
              </w:rPr>
              <w:t xml:space="preserve">Horizon</w:t>
            </w:r>
          </w:p>
        </w:tc>
        <w:tc>
          <w:tcPr>
            <w:tcW w:type="dxa" w:w="99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6"/>
                <w:szCs w:val="16"/>
              </w:rPr>
              <w:t xml:space="preserve">Forecasts</w:t>
            </w:r>
          </w:p>
        </w:tc>
        <w:tc>
          <w:tcPr>
            <w:tcW w:type="dxa" w:w="87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6"/>
                <w:szCs w:val="16"/>
              </w:rPr>
              <w:t xml:space="preserve">Naive</w:t>
            </w:r>
          </w:p>
        </w:tc>
        <w:tc>
          <w:tcPr>
            <w:tcW w:type="dxa" w:w="111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6"/>
                <w:szCs w:val="16"/>
              </w:rPr>
              <w:t xml:space="preserve">XGBoost (prices)</w:t>
            </w:r>
          </w:p>
        </w:tc>
        <w:tc>
          <w:tcPr>
            <w:tcW w:type="dxa" w:w="111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6"/>
                <w:szCs w:val="16"/>
              </w:rPr>
              <w:t xml:space="preserve">XGBoost + weather</w:t>
            </w:r>
          </w:p>
        </w:tc>
        <w:tc>
          <w:tcPr>
            <w:tcW w:type="dxa" w:w="111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6"/>
                <w:szCs w:val="16"/>
              </w:rPr>
              <w:t xml:space="preserve">Gain from weather (pts)</w:t>
            </w:r>
          </w:p>
        </w:tc>
        <w:tc>
          <w:tcPr>
            <w:tcW w:type="dxa" w:w="111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6"/>
                <w:szCs w:val="16"/>
              </w:rPr>
              <w:t xml:space="preserve">DM p: weather vs prices</w:t>
            </w:r>
          </w:p>
        </w:tc>
        <w:tc>
          <w:tcPr>
            <w:tcW w:type="dxa" w:w="111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6"/>
                <w:szCs w:val="16"/>
              </w:rPr>
              <w:t xml:space="preserve">DM p: weather vs naive</w:t>
            </w:r>
          </w:p>
        </w:tc>
      </w:tr>
      <w:tr>
        <w:trPr>
          <w:cantSplit/>
        </w:trPr>
        <w:tc>
          <w:tcPr>
            <w:tcW w:type="dxa" w:w="99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7 days</w:t>
            </w:r>
          </w:p>
        </w:tc>
        <w:tc>
          <w:tcPr>
            <w:tcW w:type="dxa" w:w="99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216</w:t>
            </w:r>
          </w:p>
        </w:tc>
        <w:tc>
          <w:tcPr>
            <w:tcW w:type="dxa" w:w="87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8.43</w:t>
            </w:r>
          </w:p>
        </w:tc>
        <w:tc>
          <w:tcPr>
            <w:tcW w:type="dxa" w:w="111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10.60</w:t>
            </w:r>
          </w:p>
        </w:tc>
        <w:tc>
          <w:tcPr>
            <w:tcW w:type="dxa" w:w="111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10.93</w:t>
            </w:r>
          </w:p>
        </w:tc>
        <w:tc>
          <w:tcPr>
            <w:tcW w:type="dxa" w:w="111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-0.33</w:t>
            </w:r>
          </w:p>
        </w:tc>
        <w:tc>
          <w:tcPr>
            <w:tcW w:type="dxa" w:w="111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0.166</w:t>
            </w:r>
          </w:p>
        </w:tc>
        <w:tc>
          <w:tcPr>
            <w:tcW w:type="dxa" w:w="111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0.011</w:t>
            </w:r>
          </w:p>
        </w:tc>
      </w:tr>
      <w:tr>
        <w:trPr>
          <w:cantSplit/>
        </w:trPr>
        <w:tc>
          <w:tcPr>
            <w:tcW w:type="dxa" w:w="99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14 days</w:t>
            </w:r>
          </w:p>
        </w:tc>
        <w:tc>
          <w:tcPr>
            <w:tcW w:type="dxa" w:w="99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216</w:t>
            </w:r>
          </w:p>
        </w:tc>
        <w:tc>
          <w:tcPr>
            <w:tcW w:type="dxa" w:w="87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11.06</w:t>
            </w:r>
          </w:p>
        </w:tc>
        <w:tc>
          <w:tcPr>
            <w:tcW w:type="dxa" w:w="111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14.37</w:t>
            </w:r>
          </w:p>
        </w:tc>
        <w:tc>
          <w:tcPr>
            <w:tcW w:type="dxa" w:w="111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14.36</w:t>
            </w:r>
          </w:p>
        </w:tc>
        <w:tc>
          <w:tcPr>
            <w:tcW w:type="dxa" w:w="111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+0.01</w:t>
            </w:r>
          </w:p>
        </w:tc>
        <w:tc>
          <w:tcPr>
            <w:tcW w:type="dxa" w:w="111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0.981</w:t>
            </w:r>
          </w:p>
        </w:tc>
        <w:tc>
          <w:tcPr>
            <w:tcW w:type="dxa" w:w="111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0.026</w:t>
            </w:r>
          </w:p>
        </w:tc>
      </w:tr>
      <w:tr>
        <w:trPr>
          <w:cantSplit/>
        </w:trPr>
        <w:tc>
          <w:tcPr>
            <w:tcW w:type="dxa" w:w="99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30 days</w:t>
            </w:r>
          </w:p>
        </w:tc>
        <w:tc>
          <w:tcPr>
            <w:tcW w:type="dxa" w:w="99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200</w:t>
            </w:r>
          </w:p>
        </w:tc>
        <w:tc>
          <w:tcPr>
            <w:tcW w:type="dxa" w:w="87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16.18</w:t>
            </w:r>
          </w:p>
        </w:tc>
        <w:tc>
          <w:tcPr>
            <w:tcW w:type="dxa" w:w="111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20.49</w:t>
            </w:r>
          </w:p>
        </w:tc>
        <w:tc>
          <w:tcPr>
            <w:tcW w:type="dxa" w:w="111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18.72</w:t>
            </w:r>
          </w:p>
        </w:tc>
        <w:tc>
          <w:tcPr>
            <w:tcW w:type="dxa" w:w="111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+1.77</w:t>
            </w:r>
          </w:p>
        </w:tc>
        <w:tc>
          <w:tcPr>
            <w:tcW w:type="dxa" w:w="111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0.101</w:t>
            </w:r>
          </w:p>
        </w:tc>
        <w:tc>
          <w:tcPr>
            <w:tcW w:type="dxa" w:w="111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0.325</w:t>
            </w:r>
          </w:p>
        </w:tc>
      </w:tr>
    </w:tbl>
    <w:p>
      <w:pPr>
        <w:spacing w:after="200" w:before="60" w:line="240"/>
      </w:pPr>
      <w:r>
        <w:rPr>
          <w:rFonts w:ascii="Times New Roman" w:cs="Times New Roman" w:eastAsia="Times New Roman" w:hAnsi="Times New Roman"/>
          <w:i/>
          <w:iCs/>
          <w:sz w:val="18"/>
          <w:szCs w:val="18"/>
        </w:rPr>
        <w:t xml:space="preserve">Source: Author’s analysis (protocol C1). DM = Diebold–Mariano test on absolute errors with HAC standard errors.</w:t>
      </w:r>
    </w:p>
    <w:p>
      <w:pPr>
        <w:keepNext/>
        <w:spacing w:after="60" w:before="160"/>
        <w:jc w:val="center"/>
      </w:pPr>
      <w:r>
        <w:drawing>
          <wp:inline distT="0" distB="0" distL="0" distR="0">
            <wp:extent cx="5334000" cy="2886075"/>
            <wp:effectExtent t="0" r="0" b="0" l="0"/>
            <wp:docPr id="1" name="Figure 4.15" descr="Delta-accuracy test: naive, XGBoost on prices, and XGBoost with weather context" title="Delta-accuracy test: naive, XGBoost on prices, and XGBoost with weather 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886075"/>
                    </a:xfrm>
                    <a:prstGeom prst="rect">
                      <a:avLst/>
                    </a:prstGeom>
                  </pic:spPr>
                </pic:pic>
              </a:graphicData>
            </a:graphic>
          </wp:inline>
        </w:drawing>
      </w:r>
    </w:p>
    <w:p>
      <w:pPr>
        <w:pStyle w:val="FigureCaption"/>
        <w:spacing w:after="40" w:line="276"/>
        <w:jc w:val="center"/>
      </w:pPr>
      <w:r>
        <w:rPr>
          <w:rFonts w:ascii="Times New Roman" w:cs="Times New Roman" w:eastAsia="Times New Roman" w:hAnsi="Times New Roman"/>
          <w:b/>
          <w:bCs/>
          <w:sz w:val="22"/>
          <w:szCs w:val="22"/>
        </w:rPr>
        <w:t xml:space="preserve">Figure 4.15: </w:t>
      </w:r>
      <w:r>
        <w:rPr>
          <w:rFonts w:ascii="Times New Roman" w:cs="Times New Roman" w:eastAsia="Times New Roman" w:hAnsi="Times New Roman"/>
          <w:sz w:val="22"/>
          <w:szCs w:val="22"/>
        </w:rPr>
        <w:t xml:space="preserve">Delta-accuracy test: naive, XGBoost on prices, and XGBoost with weather context</w:t>
      </w:r>
    </w:p>
    <w:p>
      <w:pPr>
        <w:spacing w:after="220" w:line="240"/>
        <w:jc w:val="center"/>
      </w:pPr>
      <w:r>
        <w:rPr>
          <w:rFonts w:ascii="Times New Roman" w:cs="Times New Roman" w:eastAsia="Times New Roman" w:hAnsi="Times New Roman"/>
          <w:i/>
          <w:iCs/>
          <w:sz w:val="18"/>
          <w:szCs w:val="18"/>
        </w:rPr>
        <w:t xml:space="preserve">Source: Author’s analysis.</w:t>
      </w:r>
    </w:p>
    <w:p>
      <w:pPr>
        <w:spacing w:after="120" w:before="0" w:line="360"/>
        <w:jc w:val="both"/>
      </w:pPr>
      <w:r>
        <w:rPr>
          <w:rFonts w:ascii="Times New Roman" w:cs="Times New Roman" w:eastAsia="Times New Roman" w:hAnsi="Times New Roman"/>
          <w:b/>
          <w:bCs/>
        </w:rPr>
        <w:t xml:space="preserve">Interpretation.</w:t>
      </w:r>
      <w:r>
        <w:rPr>
          <w:rFonts w:ascii="Times New Roman" w:cs="Times New Roman" w:eastAsia="Times New Roman" w:hAnsi="Times New Roman"/>
        </w:rPr>
        <w:t xml:space="preserve"> Weather context made no significant difference at any horizon. At 7 and 14 days the two XGBoost models are practically identical (DM p = 0.166 and 0.981). At 30 days weather lowers WAPE by 1.77 points, from 20.49% to 18.72%, but the difference is not significant (p = 0.101). The naive forecast remains the most accurate at every horizon and is significantly better than the context-enriched model at 7 and 14 days (p = 0.011 and 0.026). The proposal’s question therefore receives a clear answer: on this evidence, real-time weather context does not add measurable forecast value, although the 30-day result suggests a possible small benefit that a longer weather record could confirm or rule out.</w:t>
      </w:r>
    </w:p>
    <w:p>
      <w:pPr>
        <w:pStyle w:val="Heading2"/>
        <w:keepNext/>
        <w:spacing w:after="120" w:before="280"/>
      </w:pPr>
      <w:r>
        <w:rPr>
          <w:rFonts w:ascii="Times New Roman" w:cs="Times New Roman" w:eastAsia="Times New Roman" w:hAnsi="Times New Roman"/>
          <w:b/>
          <w:bCs/>
          <w:sz w:val="26"/>
          <w:szCs w:val="26"/>
        </w:rPr>
        <w:t xml:space="preserve">4.12 Multi-Agent Decision Layer Outputs</w:t>
      </w:r>
    </w:p>
    <w:p>
      <w:pPr>
        <w:pStyle w:val="Heading3"/>
        <w:keepNext/>
        <w:spacing w:after="100" w:before="200"/>
      </w:pPr>
      <w:r>
        <w:rPr>
          <w:rFonts w:ascii="Times New Roman" w:cs="Times New Roman" w:eastAsia="Times New Roman" w:hAnsi="Times New Roman"/>
          <w:b/>
          <w:bCs/>
          <w:i/>
          <w:iCs/>
          <w:sz w:val="24"/>
          <w:szCs w:val="24"/>
        </w:rPr>
        <w:t xml:space="preserve">4.12.1 Deterministic agent pipeline</w:t>
      </w:r>
    </w:p>
    <w:p>
      <w:pPr>
        <w:pStyle w:val="TableCaption"/>
        <w:keepNext/>
        <w:spacing w:after="80" w:before="200" w:line="276"/>
        <w:jc w:val="center"/>
      </w:pPr>
      <w:r>
        <w:rPr>
          <w:rFonts w:ascii="Times New Roman" w:cs="Times New Roman" w:eastAsia="Times New Roman" w:hAnsi="Times New Roman"/>
          <w:b/>
          <w:bCs/>
          <w:sz w:val="22"/>
          <w:szCs w:val="22"/>
        </w:rPr>
        <w:t xml:space="preserve">Table 4.16: </w:t>
      </w:r>
      <w:r>
        <w:rPr>
          <w:rFonts w:ascii="Times New Roman" w:cs="Times New Roman" w:eastAsia="Times New Roman" w:hAnsi="Times New Roman"/>
          <w:sz w:val="22"/>
          <w:szCs w:val="22"/>
        </w:rPr>
        <w:t xml:space="preserve">AgriSight agent recommendations at the last statewide date (20 April 2026, ₹/quintal)</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1069"/>
        <w:gridCol w:w="855"/>
        <w:gridCol w:w="855"/>
        <w:gridCol w:w="855"/>
        <w:gridCol w:w="855"/>
        <w:gridCol w:w="749"/>
        <w:gridCol w:w="855"/>
        <w:gridCol w:w="1604"/>
        <w:gridCol w:w="751"/>
      </w:tblGrid>
      <w:tr>
        <w:trPr>
          <w:cantSplit/>
          <w:tblHeader/>
        </w:trPr>
        <w:tc>
          <w:tcPr>
            <w:tcW w:type="dxa" w:w="106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6"/>
                <w:szCs w:val="16"/>
              </w:rPr>
              <w:t xml:space="preserve">Commodity</w:t>
            </w:r>
          </w:p>
        </w:tc>
        <w:tc>
          <w:tcPr>
            <w:tcW w:type="dxa" w:w="85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6"/>
                <w:szCs w:val="16"/>
              </w:rPr>
              <w:t xml:space="preserve">Current</w:t>
            </w:r>
          </w:p>
        </w:tc>
        <w:tc>
          <w:tcPr>
            <w:tcW w:type="dxa" w:w="85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6"/>
                <w:szCs w:val="16"/>
              </w:rPr>
              <w:t xml:space="preserve">7-day</w:t>
            </w:r>
          </w:p>
        </w:tc>
        <w:tc>
          <w:tcPr>
            <w:tcW w:type="dxa" w:w="85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6"/>
                <w:szCs w:val="16"/>
              </w:rPr>
              <w:t xml:space="preserve">14-day</w:t>
            </w:r>
          </w:p>
        </w:tc>
        <w:tc>
          <w:tcPr>
            <w:tcW w:type="dxa" w:w="85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6"/>
                <w:szCs w:val="16"/>
              </w:rPr>
              <w:t xml:space="preserve">Change</w:t>
            </w:r>
          </w:p>
        </w:tc>
        <w:tc>
          <w:tcPr>
            <w:tcW w:type="dxa" w:w="74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6"/>
                <w:szCs w:val="16"/>
              </w:rPr>
              <w:t xml:space="preserve">Risk score</w:t>
            </w:r>
          </w:p>
        </w:tc>
        <w:tc>
          <w:tcPr>
            <w:tcW w:type="dxa" w:w="85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6"/>
                <w:szCs w:val="16"/>
              </w:rPr>
              <w:t xml:space="preserve">Risk</w:t>
            </w:r>
          </w:p>
        </w:tc>
        <w:tc>
          <w:tcPr>
            <w:tcW w:type="dxa" w:w="160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6"/>
                <w:szCs w:val="16"/>
              </w:rPr>
              <w:t xml:space="preserve">Action</w:t>
            </w:r>
          </w:p>
        </w:tc>
        <w:tc>
          <w:tcPr>
            <w:tcW w:type="dxa" w:w="751"/>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6"/>
                <w:szCs w:val="16"/>
              </w:rPr>
              <w:t xml:space="preserve">Signal</w:t>
            </w:r>
          </w:p>
        </w:tc>
      </w:tr>
      <w:tr>
        <w:trPr>
          <w:cantSplit/>
        </w:trPr>
        <w:tc>
          <w:tcPr>
            <w:tcW w:type="dxa" w:w="106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Beans</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7,600</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7,420</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7,420</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-2.4%</w:t>
            </w:r>
          </w:p>
        </w:tc>
        <w:tc>
          <w:tcPr>
            <w:tcW w:type="dxa" w:w="74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28.5</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MEDIUM</w:t>
            </w:r>
          </w:p>
        </w:tc>
        <w:tc>
          <w:tcPr>
            <w:tcW w:type="dxa" w:w="16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HOLD</w:t>
            </w:r>
          </w:p>
        </w:tc>
        <w:tc>
          <w:tcPr>
            <w:tcW w:type="dxa" w:w="75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HOLD</w:t>
            </w:r>
          </w:p>
        </w:tc>
      </w:tr>
      <w:tr>
        <w:trPr>
          <w:cantSplit/>
        </w:trPr>
        <w:tc>
          <w:tcPr>
            <w:tcW w:type="dxa" w:w="106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Brinjal</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3,500</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3,398</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3,398</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-2.9%</w:t>
            </w:r>
          </w:p>
        </w:tc>
        <w:tc>
          <w:tcPr>
            <w:tcW w:type="dxa" w:w="74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25.8</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LOW</w:t>
            </w:r>
          </w:p>
        </w:tc>
        <w:tc>
          <w:tcPr>
            <w:tcW w:type="dxa" w:w="16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HOLD</w:t>
            </w:r>
          </w:p>
        </w:tc>
        <w:tc>
          <w:tcPr>
            <w:tcW w:type="dxa" w:w="75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HOLD</w:t>
            </w:r>
          </w:p>
        </w:tc>
      </w:tr>
      <w:tr>
        <w:trPr>
          <w:cantSplit/>
        </w:trPr>
        <w:tc>
          <w:tcPr>
            <w:tcW w:type="dxa" w:w="106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Cabbage</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2,250</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2,252</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2,252</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+0.1%</w:t>
            </w:r>
          </w:p>
        </w:tc>
        <w:tc>
          <w:tcPr>
            <w:tcW w:type="dxa" w:w="74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7.9</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LOW</w:t>
            </w:r>
          </w:p>
        </w:tc>
        <w:tc>
          <w:tcPr>
            <w:tcW w:type="dxa" w:w="16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HOLD</w:t>
            </w:r>
          </w:p>
        </w:tc>
        <w:tc>
          <w:tcPr>
            <w:tcW w:type="dxa" w:w="75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HOLD</w:t>
            </w:r>
          </w:p>
        </w:tc>
      </w:tr>
      <w:tr>
        <w:trPr>
          <w:cantSplit/>
        </w:trPr>
        <w:tc>
          <w:tcPr>
            <w:tcW w:type="dxa" w:w="106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Carrot</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3,750</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3,758</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3,758</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+0.2%</w:t>
            </w:r>
          </w:p>
        </w:tc>
        <w:tc>
          <w:tcPr>
            <w:tcW w:type="dxa" w:w="74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13.6</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LOW</w:t>
            </w:r>
          </w:p>
        </w:tc>
        <w:tc>
          <w:tcPr>
            <w:tcW w:type="dxa" w:w="16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HOLD</w:t>
            </w:r>
          </w:p>
        </w:tc>
        <w:tc>
          <w:tcPr>
            <w:tcW w:type="dxa" w:w="75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HOLD</w:t>
            </w:r>
          </w:p>
        </w:tc>
      </w:tr>
      <w:tr>
        <w:trPr>
          <w:cantSplit/>
        </w:trPr>
        <w:tc>
          <w:tcPr>
            <w:tcW w:type="dxa" w:w="106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Drumstick</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3,750</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3,831</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3,831</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+2.2%</w:t>
            </w:r>
          </w:p>
        </w:tc>
        <w:tc>
          <w:tcPr>
            <w:tcW w:type="dxa" w:w="74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13.4</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LOW</w:t>
            </w:r>
          </w:p>
        </w:tc>
        <w:tc>
          <w:tcPr>
            <w:tcW w:type="dxa" w:w="16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HOLD</w:t>
            </w:r>
          </w:p>
        </w:tc>
        <w:tc>
          <w:tcPr>
            <w:tcW w:type="dxa" w:w="75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HOLD</w:t>
            </w:r>
          </w:p>
        </w:tc>
      </w:tr>
      <w:tr>
        <w:trPr>
          <w:cantSplit/>
        </w:trPr>
        <w:tc>
          <w:tcPr>
            <w:tcW w:type="dxa" w:w="106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Onion</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2,500</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2,486</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2,486</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-0.6%</w:t>
            </w:r>
          </w:p>
        </w:tc>
        <w:tc>
          <w:tcPr>
            <w:tcW w:type="dxa" w:w="74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11.8</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LOW</w:t>
            </w:r>
          </w:p>
        </w:tc>
        <w:tc>
          <w:tcPr>
            <w:tcW w:type="dxa" w:w="16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HOLD</w:t>
            </w:r>
          </w:p>
        </w:tc>
        <w:tc>
          <w:tcPr>
            <w:tcW w:type="dxa" w:w="75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HOLD</w:t>
            </w:r>
          </w:p>
        </w:tc>
      </w:tr>
      <w:tr>
        <w:trPr>
          <w:cantSplit/>
        </w:trPr>
        <w:tc>
          <w:tcPr>
            <w:tcW w:type="dxa" w:w="106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Potato</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2,800</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2,855</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2,855</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+2.0%</w:t>
            </w:r>
          </w:p>
        </w:tc>
        <w:tc>
          <w:tcPr>
            <w:tcW w:type="dxa" w:w="74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20.8</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LOW</w:t>
            </w:r>
          </w:p>
        </w:tc>
        <w:tc>
          <w:tcPr>
            <w:tcW w:type="dxa" w:w="16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HOLD</w:t>
            </w:r>
          </w:p>
        </w:tc>
        <w:tc>
          <w:tcPr>
            <w:tcW w:type="dxa" w:w="75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HOLD</w:t>
            </w:r>
          </w:p>
        </w:tc>
      </w:tr>
      <w:tr>
        <w:trPr>
          <w:cantSplit/>
        </w:trPr>
        <w:tc>
          <w:tcPr>
            <w:tcW w:type="dxa" w:w="106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Tomato</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2,750</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2,597</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2,597</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-5.6%</w:t>
            </w:r>
          </w:p>
        </w:tc>
        <w:tc>
          <w:tcPr>
            <w:tcW w:type="dxa" w:w="74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56.1</w:t>
            </w:r>
          </w:p>
        </w:tc>
        <w:tc>
          <w:tcPr>
            <w:tcW w:type="dxa" w:w="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HIGH</w:t>
            </w:r>
          </w:p>
        </w:tc>
        <w:tc>
          <w:tcPr>
            <w:tcW w:type="dxa" w:w="16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DELAY PROCUREMENT</w:t>
            </w:r>
          </w:p>
        </w:tc>
        <w:tc>
          <w:tcPr>
            <w:tcW w:type="dxa" w:w="75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BUY</w:t>
            </w:r>
          </w:p>
        </w:tc>
      </w:tr>
    </w:tbl>
    <w:p>
      <w:pPr>
        <w:spacing w:after="200" w:before="60" w:line="240"/>
      </w:pPr>
      <w:r>
        <w:rPr>
          <w:rFonts w:ascii="Times New Roman" w:cs="Times New Roman" w:eastAsia="Times New Roman" w:hAnsi="Times New Roman"/>
          <w:i/>
          <w:iCs/>
          <w:sz w:val="18"/>
          <w:szCs w:val="18"/>
        </w:rPr>
        <w:t xml:space="preserve">Source: Author’s analysis.</w:t>
      </w:r>
    </w:p>
    <w:p>
      <w:pPr>
        <w:spacing w:after="120" w:before="0" w:line="360"/>
        <w:jc w:val="both"/>
      </w:pPr>
      <w:r>
        <w:rPr>
          <w:rFonts w:ascii="Times New Roman" w:cs="Times New Roman" w:eastAsia="Times New Roman" w:hAnsi="Times New Roman"/>
          <w:b/>
          <w:bCs/>
        </w:rPr>
        <w:t xml:space="preserve">Interpretation.</w:t>
      </w:r>
      <w:r>
        <w:rPr>
          <w:rFonts w:ascii="Times New Roman" w:cs="Times New Roman" w:eastAsia="Times New Roman" w:hAnsi="Times New Roman"/>
        </w:rPr>
        <w:t xml:space="preserve"> Seven commodities receive HOLD and Tomato receives DELAY PROCUREMENT with a HIGH risk score of 56.1. The run also exposes three design weaknesses in this pipeline that matter for interpreting its advice. (i) </w:t>
      </w:r>
      <w:r>
        <w:rPr>
          <w:rFonts w:ascii="Times New Roman" w:cs="Times New Roman" w:eastAsia="Times New Roman" w:hAnsi="Times New Roman"/>
          <w:b/>
          <w:bCs/>
        </w:rPr>
        <w:t xml:space="preserve">The 7-day and 14-day forecasts are identical for every commodity</w:t>
      </w:r>
      <w:r>
        <w:rPr>
          <w:rFonts w:ascii="Times New Roman" w:cs="Times New Roman" w:eastAsia="Times New Roman" w:hAnsi="Times New Roman"/>
        </w:rPr>
        <w:t xml:space="preserve">, because the pipeline reuses the latest row’s price features and changes only calendar fields, so the “14-day forecast” is not a 14-day forecast. (ii) </w:t>
      </w:r>
      <w:r>
        <w:rPr>
          <w:rFonts w:ascii="Times New Roman" w:cs="Times New Roman" w:eastAsia="Times New Roman" w:hAnsi="Times New Roman"/>
          <w:b/>
          <w:bCs/>
        </w:rPr>
        <w:t xml:space="preserve">The action and signal disagree for Tomato</w:t>
      </w:r>
      <w:r>
        <w:rPr>
          <w:rFonts w:ascii="Times New Roman" w:cs="Times New Roman" w:eastAsia="Times New Roman" w:hAnsi="Times New Roman"/>
        </w:rPr>
        <w:t xml:space="preserve">: the action says DELAY while the signal field says BUY, because the signal is defined from the buyer’s viewpoint of a falling price while the action uses procurement wording; a single vocabulary is needed. (iii) The field labelled “estimated savings per quintal” is |forecast change| × current price, which is not a saving.</w:t>
      </w:r>
    </w:p>
    <w:p>
      <w:pPr>
        <w:keepNext/>
        <w:spacing w:after="60" w:before="160"/>
        <w:jc w:val="center"/>
      </w:pPr>
      <w:r>
        <w:drawing>
          <wp:inline distT="0" distB="0" distL="0" distR="0">
            <wp:extent cx="4533900" cy="2933700"/>
            <wp:effectExtent t="0" r="0" b="0" l="0"/>
            <wp:docPr id="1" name="Figure 4.16" descr="Market Intelligence agent risk matrix (colour = risk level; size = forecast change)" title="Market Intelligence agent risk matrix (colour = risk level; size = forecast 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33900" cy="2933700"/>
                    </a:xfrm>
                    <a:prstGeom prst="rect">
                      <a:avLst/>
                    </a:prstGeom>
                  </pic:spPr>
                </pic:pic>
              </a:graphicData>
            </a:graphic>
          </wp:inline>
        </w:drawing>
      </w:r>
    </w:p>
    <w:p>
      <w:pPr>
        <w:pStyle w:val="FigureCaption"/>
        <w:spacing w:after="40" w:line="276"/>
        <w:jc w:val="center"/>
      </w:pPr>
      <w:r>
        <w:rPr>
          <w:rFonts w:ascii="Times New Roman" w:cs="Times New Roman" w:eastAsia="Times New Roman" w:hAnsi="Times New Roman"/>
          <w:b/>
          <w:bCs/>
          <w:sz w:val="22"/>
          <w:szCs w:val="22"/>
        </w:rPr>
        <w:t xml:space="preserve">Figure 4.16: </w:t>
      </w:r>
      <w:r>
        <w:rPr>
          <w:rFonts w:ascii="Times New Roman" w:cs="Times New Roman" w:eastAsia="Times New Roman" w:hAnsi="Times New Roman"/>
          <w:sz w:val="22"/>
          <w:szCs w:val="22"/>
        </w:rPr>
        <w:t xml:space="preserve">Market Intelligence agent risk matrix (colour = risk level; size = forecast change)</w:t>
      </w:r>
    </w:p>
    <w:p>
      <w:pPr>
        <w:spacing w:after="220" w:line="240"/>
        <w:jc w:val="center"/>
      </w:pPr>
      <w:r>
        <w:rPr>
          <w:rFonts w:ascii="Times New Roman" w:cs="Times New Roman" w:eastAsia="Times New Roman" w:hAnsi="Times New Roman"/>
          <w:i/>
          <w:iCs/>
          <w:sz w:val="18"/>
          <w:szCs w:val="18"/>
        </w:rPr>
        <w:t xml:space="preserve">Source: Author’s analysis.</w:t>
      </w:r>
    </w:p>
    <w:p>
      <w:pPr>
        <w:pStyle w:val="Heading3"/>
        <w:keepNext/>
        <w:spacing w:after="100" w:before="200"/>
      </w:pPr>
      <w:r>
        <w:rPr>
          <w:rFonts w:ascii="Times New Roman" w:cs="Times New Roman" w:eastAsia="Times New Roman" w:hAnsi="Times New Roman"/>
          <w:b/>
          <w:bCs/>
          <w:i/>
          <w:iCs/>
          <w:sz w:val="24"/>
          <w:szCs w:val="24"/>
        </w:rPr>
        <w:t xml:space="preserve">4.12.2 Four-role pipeline with freshness gate</w:t>
      </w:r>
    </w:p>
    <w:p>
      <w:pPr>
        <w:pStyle w:val="TableCaption"/>
        <w:keepNext/>
        <w:spacing w:after="80" w:before="200" w:line="276"/>
        <w:jc w:val="center"/>
      </w:pPr>
      <w:r>
        <w:rPr>
          <w:rFonts w:ascii="Times New Roman" w:cs="Times New Roman" w:eastAsia="Times New Roman" w:hAnsi="Times New Roman"/>
          <w:b/>
          <w:bCs/>
          <w:sz w:val="22"/>
          <w:szCs w:val="22"/>
        </w:rPr>
        <w:t xml:space="preserve">Table 4.17: </w:t>
      </w:r>
      <w:r>
        <w:rPr>
          <w:rFonts w:ascii="Times New Roman" w:cs="Times New Roman" w:eastAsia="Times New Roman" w:hAnsi="Times New Roman"/>
          <w:sz w:val="22"/>
          <w:szCs w:val="22"/>
        </w:rPr>
        <w:t xml:space="preserve">AgriSight four-role brief, offline run (₹/quintal)</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1408"/>
        <w:gridCol w:w="1152"/>
        <w:gridCol w:w="1152"/>
        <w:gridCol w:w="1152"/>
        <w:gridCol w:w="1152"/>
        <w:gridCol w:w="2432"/>
      </w:tblGrid>
      <w:tr>
        <w:trPr>
          <w:cantSplit/>
          <w:tblHeader/>
        </w:trPr>
        <w:tc>
          <w:tcPr>
            <w:tcW w:type="dxa" w:w="140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Commodity</w:t>
            </w:r>
          </w:p>
        </w:tc>
        <w:tc>
          <w:tcPr>
            <w:tcW w:type="dxa" w:w="115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Current</w:t>
            </w:r>
          </w:p>
        </w:tc>
        <w:tc>
          <w:tcPr>
            <w:tcW w:type="dxa" w:w="115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7-day</w:t>
            </w:r>
          </w:p>
        </w:tc>
        <w:tc>
          <w:tcPr>
            <w:tcW w:type="dxa" w:w="115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14-day</w:t>
            </w:r>
          </w:p>
        </w:tc>
        <w:tc>
          <w:tcPr>
            <w:tcW w:type="dxa" w:w="115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Change</w:t>
            </w:r>
          </w:p>
        </w:tc>
        <w:tc>
          <w:tcPr>
            <w:tcW w:type="dxa" w:w="243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Signal</w:t>
            </w:r>
          </w:p>
        </w:tc>
      </w:tr>
      <w:tr>
        <w:trPr>
          <w:cantSplit/>
        </w:trPr>
        <w:tc>
          <w:tcPr>
            <w:tcW w:type="dxa" w:w="14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Beans</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7,600</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7,333</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7,336</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-3.5%</w:t>
            </w:r>
          </w:p>
        </w:tc>
        <w:tc>
          <w:tcPr>
            <w:tcW w:type="dxa" w:w="243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ABSTAIN_STALE_DATA</w:t>
            </w:r>
          </w:p>
        </w:tc>
      </w:tr>
      <w:tr>
        <w:trPr>
          <w:cantSplit/>
        </w:trPr>
        <w:tc>
          <w:tcPr>
            <w:tcW w:type="dxa" w:w="14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Brinjal</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3,500</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3,374</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3,373</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-3.6%</w:t>
            </w:r>
          </w:p>
        </w:tc>
        <w:tc>
          <w:tcPr>
            <w:tcW w:type="dxa" w:w="243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ABSTAIN_STALE_DATA</w:t>
            </w:r>
          </w:p>
        </w:tc>
      </w:tr>
      <w:tr>
        <w:trPr>
          <w:cantSplit/>
        </w:trPr>
        <w:tc>
          <w:tcPr>
            <w:tcW w:type="dxa" w:w="14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Cabbage</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2,250</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2,235</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2,236</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-0.6%</w:t>
            </w:r>
          </w:p>
        </w:tc>
        <w:tc>
          <w:tcPr>
            <w:tcW w:type="dxa" w:w="243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ABSTAIN_STALE_DATA</w:t>
            </w:r>
          </w:p>
        </w:tc>
      </w:tr>
      <w:tr>
        <w:trPr>
          <w:cantSplit/>
        </w:trPr>
        <w:tc>
          <w:tcPr>
            <w:tcW w:type="dxa" w:w="14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Carrot</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3,750</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3,882</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3,951</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+5.4%</w:t>
            </w:r>
          </w:p>
        </w:tc>
        <w:tc>
          <w:tcPr>
            <w:tcW w:type="dxa" w:w="243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ABSTAIN_STALE_DATA</w:t>
            </w:r>
          </w:p>
        </w:tc>
      </w:tr>
      <w:tr>
        <w:trPr>
          <w:cantSplit/>
        </w:trPr>
        <w:tc>
          <w:tcPr>
            <w:tcW w:type="dxa" w:w="14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Drumstick</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3,750</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3,835</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3,818</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+1.8%</w:t>
            </w:r>
          </w:p>
        </w:tc>
        <w:tc>
          <w:tcPr>
            <w:tcW w:type="dxa" w:w="243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ABSTAIN_STALE_DATA</w:t>
            </w:r>
          </w:p>
        </w:tc>
      </w:tr>
      <w:tr>
        <w:trPr>
          <w:cantSplit/>
        </w:trPr>
        <w:tc>
          <w:tcPr>
            <w:tcW w:type="dxa" w:w="14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Onion</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2,500</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2,492</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2,486</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-0.5%</w:t>
            </w:r>
          </w:p>
        </w:tc>
        <w:tc>
          <w:tcPr>
            <w:tcW w:type="dxa" w:w="243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ABSTAIN_STALE_DATA</w:t>
            </w:r>
          </w:p>
        </w:tc>
      </w:tr>
      <w:tr>
        <w:trPr>
          <w:cantSplit/>
        </w:trPr>
        <w:tc>
          <w:tcPr>
            <w:tcW w:type="dxa" w:w="14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Potato</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2,800</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2,862</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2,854</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+1.9%</w:t>
            </w:r>
          </w:p>
        </w:tc>
        <w:tc>
          <w:tcPr>
            <w:tcW w:type="dxa" w:w="243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ABSTAIN_STALE_DATA</w:t>
            </w:r>
          </w:p>
        </w:tc>
      </w:tr>
      <w:tr>
        <w:trPr>
          <w:cantSplit/>
        </w:trPr>
        <w:tc>
          <w:tcPr>
            <w:tcW w:type="dxa" w:w="14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Tomato</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2,750</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2,602</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2,467</w:t>
            </w:r>
          </w:p>
        </w:tc>
        <w:tc>
          <w:tcPr>
            <w:tcW w:type="dxa" w:w="115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-10.3%</w:t>
            </w:r>
          </w:p>
        </w:tc>
        <w:tc>
          <w:tcPr>
            <w:tcW w:type="dxa" w:w="243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8"/>
                <w:szCs w:val="18"/>
              </w:rPr>
              <w:t xml:space="preserve">ABSTAIN_STALE_DATA</w:t>
            </w:r>
          </w:p>
        </w:tc>
      </w:tr>
    </w:tbl>
    <w:p>
      <w:pPr>
        <w:spacing w:after="200" w:before="60" w:line="240"/>
      </w:pPr>
      <w:r>
        <w:rPr>
          <w:rFonts w:ascii="Times New Roman" w:cs="Times New Roman" w:eastAsia="Times New Roman" w:hAnsi="Times New Roman"/>
          <w:i/>
          <w:iCs/>
          <w:sz w:val="18"/>
          <w:szCs w:val="18"/>
        </w:rPr>
        <w:t xml:space="preserve">Source: Author’s analysis.</w:t>
      </w:r>
    </w:p>
    <w:p>
      <w:pPr>
        <w:spacing w:after="120" w:before="0" w:line="360"/>
        <w:jc w:val="both"/>
      </w:pPr>
      <w:r>
        <w:rPr>
          <w:rFonts w:ascii="Times New Roman" w:cs="Times New Roman" w:eastAsia="Times New Roman" w:hAnsi="Times New Roman"/>
        </w:rPr>
        <w:t xml:space="preserve">The four-role pipeline corrects the first weakness by forecasting recursively day by day, so its 7- and 14-day values differ (for example, Tomato falls from ₹2,750 to ₹2,602 at 7 days and ₹2,467 at 14 days). Because the latest statewide price is from 20 April 2026, 181 days before the run, the freshness gate correctly marks </w:t>
      </w:r>
      <w:r>
        <w:rPr>
          <w:rFonts w:ascii="Times New Roman" w:cs="Times New Roman" w:eastAsia="Times New Roman" w:hAnsi="Times New Roman"/>
          <w:b/>
          <w:bCs/>
        </w:rPr>
        <w:t xml:space="preserve">every</w:t>
      </w:r>
      <w:r>
        <w:rPr>
          <w:rFonts w:ascii="Times New Roman" w:cs="Times New Roman" w:eastAsia="Times New Roman" w:hAnsi="Times New Roman"/>
        </w:rPr>
        <w:t xml:space="preserve"> commodity ABSTAIN_STALE_DATA instead of issuing advice on stale data.</w:t>
      </w:r>
    </w:p>
    <w:p>
      <w:pPr>
        <w:pStyle w:val="Heading3"/>
        <w:keepNext/>
        <w:spacing w:after="100" w:before="200"/>
      </w:pPr>
      <w:r>
        <w:rPr>
          <w:rFonts w:ascii="Times New Roman" w:cs="Times New Roman" w:eastAsia="Times New Roman" w:hAnsi="Times New Roman"/>
          <w:b/>
          <w:bCs/>
          <w:i/>
          <w:iCs/>
          <w:sz w:val="24"/>
          <w:szCs w:val="24"/>
        </w:rPr>
        <w:t xml:space="preserve">4.12.3 Live context and local language-model writer</w:t>
      </w:r>
    </w:p>
    <w:p>
      <w:pPr>
        <w:spacing w:after="120" w:before="0" w:line="360"/>
        <w:jc w:val="both"/>
      </w:pPr>
      <w:r>
        <w:rPr>
          <w:rFonts w:ascii="Times New Roman" w:cs="Times New Roman" w:eastAsia="Times New Roman" w:hAnsi="Times New Roman"/>
        </w:rPr>
        <w:t xml:space="preserve">The four-role pipeline has two optional components. A </w:t>
      </w:r>
      <w:r>
        <w:rPr>
          <w:rFonts w:ascii="Times New Roman" w:cs="Times New Roman" w:eastAsia="Times New Roman" w:hAnsi="Times New Roman"/>
          <w:b/>
          <w:bCs/>
        </w:rPr>
        <w:t xml:space="preserve">live mode</w:t>
      </w:r>
      <w:r>
        <w:rPr>
          <w:rFonts w:ascii="Times New Roman" w:cs="Times New Roman" w:eastAsia="Times New Roman" w:hAnsi="Times New Roman"/>
        </w:rPr>
        <w:t xml:space="preserve"> adds a seven-day Chennai weather forecast (Open-Meteo) and official agriculture news from the Press Information Bureau RSS feed to the buyer brief; the forecast is summarised as total rainfall, wettest day, number of rainy days and maximum temperature, and news items are filtered for agriculture and price relevance. A </w:t>
      </w:r>
      <w:r>
        <w:rPr>
          <w:rFonts w:ascii="Times New Roman" w:cs="Times New Roman" w:eastAsia="Times New Roman" w:hAnsi="Times New Roman"/>
          <w:b/>
          <w:bCs/>
        </w:rPr>
        <w:t xml:space="preserve">language-model writer</w:t>
      </w:r>
      <w:r>
        <w:rPr>
          <w:rFonts w:ascii="Times New Roman" w:cs="Times New Roman" w:eastAsia="Times New Roman" w:hAnsi="Times New Roman"/>
        </w:rPr>
        <w:t xml:space="preserve"> rewrites the brief in plain prose using a model running on the buyer’s own computer. Two safeguards are built into the writer: it may only use a model on the buyer’s own computer, never an external service, and its rewrite is accepted only if every price, forecast, percentage change and weather figure in the original brief is reproduced exactly and no new figure appears; otherwise the unedited brief is used. If a weather or news service is unavailable, the pipeline records this in the brief and still delivers the price forecasts. Both components are implemented; their run against the live services is pending and is listed as a limitation in Section 5.5. Even when they are run, all signals will remain ABSTAIN_STALE_DATA until the statewide price data are refreshed, because weather and news do not update prices.</w:t>
      </w:r>
    </w:p>
    <w:p>
      <w:pPr>
        <w:pStyle w:val="Heading3"/>
        <w:keepNext/>
        <w:spacing w:after="100" w:before="200"/>
      </w:pPr>
      <w:r>
        <w:rPr>
          <w:rFonts w:ascii="Times New Roman" w:cs="Times New Roman" w:eastAsia="Times New Roman" w:hAnsi="Times New Roman"/>
          <w:b/>
          <w:bCs/>
          <w:i/>
          <w:iCs/>
          <w:sz w:val="24"/>
          <w:szCs w:val="24"/>
        </w:rPr>
        <w:t xml:space="preserve">4.12.4 Dashboard</w:t>
      </w:r>
    </w:p>
    <w:p>
      <w:pPr>
        <w:spacing w:after="120" w:before="0" w:line="360"/>
        <w:jc w:val="both"/>
      </w:pPr>
      <w:r>
        <w:rPr>
          <w:rFonts w:ascii="Times New Roman" w:cs="Times New Roman" w:eastAsia="Times New Roman" w:hAnsi="Times New Roman"/>
        </w:rPr>
        <w:t xml:space="preserve">The Streamlit dashboard presents the outputs on nine pages: Agent Recommendations, Price Forecast, Model Trust, Price Movers, Market Trends and Seasonality, SHAP Explainability, Research and Scenario Validation, Dataset Snapshot and Data Quality. All nine pages were tested automatically and render without errors. Figures 4.17 and 4.18 show two pages; further screenshots are in Appendix E.</w:t>
      </w:r>
    </w:p>
    <w:p>
      <w:pPr>
        <w:keepNext/>
        <w:spacing w:after="60" w:before="160"/>
        <w:jc w:val="center"/>
      </w:pPr>
      <w:r>
        <w:drawing>
          <wp:inline distT="0" distB="0" distL="0" distR="0">
            <wp:extent cx="5067300" cy="3619500"/>
            <wp:effectExtent t="0" r="0" b="0" l="0"/>
            <wp:docPr id="1" name="Figure 4.17" descr="Dashboard: Agent Recommendations page" title="Dashboard: Agent Recommendation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067300" cy="3619500"/>
                    </a:xfrm>
                    <a:prstGeom prst="rect">
                      <a:avLst/>
                    </a:prstGeom>
                  </pic:spPr>
                </pic:pic>
              </a:graphicData>
            </a:graphic>
          </wp:inline>
        </w:drawing>
      </w:r>
    </w:p>
    <w:p>
      <w:pPr>
        <w:pStyle w:val="FigureCaption"/>
        <w:spacing w:after="40" w:line="276"/>
        <w:jc w:val="center"/>
      </w:pPr>
      <w:r>
        <w:rPr>
          <w:rFonts w:ascii="Times New Roman" w:cs="Times New Roman" w:eastAsia="Times New Roman" w:hAnsi="Times New Roman"/>
          <w:b/>
          <w:bCs/>
          <w:sz w:val="22"/>
          <w:szCs w:val="22"/>
        </w:rPr>
        <w:t xml:space="preserve">Figure 4.17: </w:t>
      </w:r>
      <w:r>
        <w:rPr>
          <w:rFonts w:ascii="Times New Roman" w:cs="Times New Roman" w:eastAsia="Times New Roman" w:hAnsi="Times New Roman"/>
          <w:sz w:val="22"/>
          <w:szCs w:val="22"/>
        </w:rPr>
        <w:t xml:space="preserve">Dashboard: Agent Recommendations page</w:t>
      </w:r>
    </w:p>
    <w:p>
      <w:pPr>
        <w:spacing w:after="220" w:line="240"/>
        <w:jc w:val="center"/>
      </w:pPr>
      <w:r>
        <w:rPr>
          <w:rFonts w:ascii="Times New Roman" w:cs="Times New Roman" w:eastAsia="Times New Roman" w:hAnsi="Times New Roman"/>
          <w:i/>
          <w:iCs/>
          <w:sz w:val="18"/>
          <w:szCs w:val="18"/>
        </w:rPr>
        <w:t xml:space="preserve">Source: Screenshot of the AgriSight dashboard.</w:t>
      </w:r>
    </w:p>
    <w:p>
      <w:pPr>
        <w:keepNext/>
        <w:spacing w:after="60" w:before="160"/>
        <w:jc w:val="center"/>
      </w:pPr>
      <w:r>
        <w:drawing>
          <wp:inline distT="0" distB="0" distL="0" distR="0">
            <wp:extent cx="5067300" cy="3619500"/>
            <wp:effectExtent t="0" r="0" b="0" l="0"/>
            <wp:docPr id="1" name="Figure 4.18" descr="Dashboard: Koyambedu Research and Procurement Backtest page" title="Dashboard: Koyambedu Research and Procurement Backte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067300" cy="3619500"/>
                    </a:xfrm>
                    <a:prstGeom prst="rect">
                      <a:avLst/>
                    </a:prstGeom>
                  </pic:spPr>
                </pic:pic>
              </a:graphicData>
            </a:graphic>
          </wp:inline>
        </w:drawing>
      </w:r>
    </w:p>
    <w:p>
      <w:pPr>
        <w:pStyle w:val="FigureCaption"/>
        <w:spacing w:after="40" w:line="276"/>
        <w:jc w:val="center"/>
      </w:pPr>
      <w:r>
        <w:rPr>
          <w:rFonts w:ascii="Times New Roman" w:cs="Times New Roman" w:eastAsia="Times New Roman" w:hAnsi="Times New Roman"/>
          <w:b/>
          <w:bCs/>
          <w:sz w:val="22"/>
          <w:szCs w:val="22"/>
        </w:rPr>
        <w:t xml:space="preserve">Figure 4.18: </w:t>
      </w:r>
      <w:r>
        <w:rPr>
          <w:rFonts w:ascii="Times New Roman" w:cs="Times New Roman" w:eastAsia="Times New Roman" w:hAnsi="Times New Roman"/>
          <w:sz w:val="22"/>
          <w:szCs w:val="22"/>
        </w:rPr>
        <w:t xml:space="preserve">Dashboard: Koyambedu Research and Procurement Backtest page</w:t>
      </w:r>
    </w:p>
    <w:p>
      <w:pPr>
        <w:spacing w:after="220" w:line="240"/>
        <w:jc w:val="center"/>
      </w:pPr>
      <w:r>
        <w:rPr>
          <w:rFonts w:ascii="Times New Roman" w:cs="Times New Roman" w:eastAsia="Times New Roman" w:hAnsi="Times New Roman"/>
          <w:i/>
          <w:iCs/>
          <w:sz w:val="18"/>
          <w:szCs w:val="18"/>
        </w:rPr>
        <w:t xml:space="preserve">Source: Screenshot of the AgriSight dashboard.</w:t>
      </w:r>
    </w:p>
    <w:p>
      <w:pPr>
        <w:pStyle w:val="Heading2"/>
        <w:keepNext/>
        <w:spacing w:after="120" w:before="280"/>
      </w:pPr>
      <w:r>
        <w:rPr>
          <w:rFonts w:ascii="Times New Roman" w:cs="Times New Roman" w:eastAsia="Times New Roman" w:hAnsi="Times New Roman"/>
          <w:b/>
          <w:bCs/>
          <w:sz w:val="26"/>
          <w:szCs w:val="26"/>
        </w:rPr>
        <w:t xml:space="preserve">4.13 Procurement Advice Backtest</w:t>
      </w:r>
    </w:p>
    <w:p>
      <w:pPr>
        <w:pStyle w:val="TableCaption"/>
        <w:keepNext/>
        <w:spacing w:after="80" w:before="200" w:line="276"/>
        <w:jc w:val="center"/>
      </w:pPr>
      <w:r>
        <w:rPr>
          <w:rFonts w:ascii="Times New Roman" w:cs="Times New Roman" w:eastAsia="Times New Roman" w:hAnsi="Times New Roman"/>
          <w:b/>
          <w:bCs/>
          <w:sz w:val="22"/>
          <w:szCs w:val="22"/>
        </w:rPr>
        <w:t xml:space="preserve">Table 4.18: </w:t>
      </w:r>
      <w:r>
        <w:rPr>
          <w:rFonts w:ascii="Times New Roman" w:cs="Times New Roman" w:eastAsia="Times New Roman" w:hAnsi="Times New Roman"/>
          <w:sz w:val="22"/>
          <w:szCs w:val="22"/>
        </w:rPr>
        <w:t xml:space="preserve">Procurement backtest: counterfactual result versus buying immediately (₹ per 100 kg lot)</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3204"/>
        <w:gridCol w:w="1165"/>
        <w:gridCol w:w="2039"/>
        <w:gridCol w:w="2040"/>
      </w:tblGrid>
      <w:tr>
        <w:trPr>
          <w:cantSplit/>
          <w:tblHeader/>
        </w:trPr>
        <w:tc>
          <w:tcPr>
            <w:tcW w:type="dxa" w:w="320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Advice action</w:t>
            </w:r>
          </w:p>
        </w:tc>
        <w:tc>
          <w:tcPr>
            <w:tcW w:type="dxa" w:w="116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Cases</w:t>
            </w:r>
          </w:p>
        </w:tc>
        <w:tc>
          <w:tcPr>
            <w:tcW w:type="dxa" w:w="203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Mean difference</w:t>
            </w:r>
          </w:p>
        </w:tc>
        <w:tc>
          <w:tcPr>
            <w:tcW w:type="dxa" w:w="204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Median difference</w:t>
            </w:r>
          </w:p>
        </w:tc>
      </w:tr>
      <w:tr>
        <w:trPr>
          <w:cantSplit/>
        </w:trPr>
        <w:tc>
          <w:tcPr>
            <w:tcW w:type="dxa" w:w="32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DELAY PROCUREMENT</w:t>
            </w:r>
          </w:p>
        </w:tc>
        <w:tc>
          <w:tcPr>
            <w:tcW w:type="dxa" w:w="116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14</w:t>
            </w:r>
          </w:p>
        </w:tc>
        <w:tc>
          <w:tcPr>
            <w:tcW w:type="dxa" w:w="20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₹278.57</w:t>
            </w:r>
          </w:p>
        </w:tc>
        <w:tc>
          <w:tcPr>
            <w:tcW w:type="dxa" w:w="204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₹100.00</w:t>
            </w:r>
          </w:p>
        </w:tc>
      </w:tr>
      <w:tr>
        <w:trPr>
          <w:cantSplit/>
        </w:trPr>
        <w:tc>
          <w:tcPr>
            <w:tcW w:type="dxa" w:w="32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HEDGE</w:t>
            </w:r>
          </w:p>
        </w:tc>
        <w:tc>
          <w:tcPr>
            <w:tcW w:type="dxa" w:w="116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10</w:t>
            </w:r>
          </w:p>
        </w:tc>
        <w:tc>
          <w:tcPr>
            <w:tcW w:type="dxa" w:w="20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−₹5.00</w:t>
            </w:r>
          </w:p>
        </w:tc>
        <w:tc>
          <w:tcPr>
            <w:tcW w:type="dxa" w:w="204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₹25.00</w:t>
            </w:r>
          </w:p>
        </w:tc>
      </w:tr>
      <w:tr>
        <w:trPr>
          <w:cantSplit/>
        </w:trPr>
        <w:tc>
          <w:tcPr>
            <w:tcW w:type="dxa" w:w="32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HOLD</w:t>
            </w:r>
          </w:p>
        </w:tc>
        <w:tc>
          <w:tcPr>
            <w:tcW w:type="dxa" w:w="116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9</w:t>
            </w:r>
          </w:p>
        </w:tc>
        <w:tc>
          <w:tcPr>
            <w:tcW w:type="dxa" w:w="20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₹0.00</w:t>
            </w:r>
          </w:p>
        </w:tc>
        <w:tc>
          <w:tcPr>
            <w:tcW w:type="dxa" w:w="204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₹0.00</w:t>
            </w:r>
          </w:p>
        </w:tc>
      </w:tr>
      <w:tr>
        <w:trPr>
          <w:cantSplit/>
        </w:trPr>
        <w:tc>
          <w:tcPr>
            <w:tcW w:type="dxa" w:w="32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PARTIAL PROCUREMENT</w:t>
            </w:r>
          </w:p>
        </w:tc>
        <w:tc>
          <w:tcPr>
            <w:tcW w:type="dxa" w:w="116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9</w:t>
            </w:r>
          </w:p>
        </w:tc>
        <w:tc>
          <w:tcPr>
            <w:tcW w:type="dxa" w:w="20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−₹16.67</w:t>
            </w:r>
          </w:p>
        </w:tc>
        <w:tc>
          <w:tcPr>
            <w:tcW w:type="dxa" w:w="204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₹0.00</w:t>
            </w:r>
          </w:p>
        </w:tc>
      </w:tr>
      <w:tr>
        <w:trPr>
          <w:cantSplit/>
        </w:trPr>
        <w:tc>
          <w:tcPr>
            <w:tcW w:type="dxa" w:w="320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PROCURE NOW</w:t>
            </w:r>
          </w:p>
        </w:tc>
        <w:tc>
          <w:tcPr>
            <w:tcW w:type="dxa" w:w="116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14</w:t>
            </w:r>
          </w:p>
        </w:tc>
        <w:tc>
          <w:tcPr>
            <w:tcW w:type="dxa" w:w="20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₹0.00</w:t>
            </w:r>
          </w:p>
        </w:tc>
        <w:tc>
          <w:tcPr>
            <w:tcW w:type="dxa" w:w="204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₹0.00</w:t>
            </w:r>
          </w:p>
        </w:tc>
      </w:tr>
    </w:tbl>
    <w:p>
      <w:pPr>
        <w:spacing w:after="200" w:before="60" w:line="240"/>
      </w:pPr>
      <w:r>
        <w:rPr>
          <w:rFonts w:ascii="Times New Roman" w:cs="Times New Roman" w:eastAsia="Times New Roman" w:hAnsi="Times New Roman"/>
          <w:i/>
          <w:iCs/>
          <w:sz w:val="18"/>
          <w:szCs w:val="18"/>
        </w:rPr>
        <w:t xml:space="preserve">Source: Author’s analysis. Positive = advice cheaper than buying at the origin.</w:t>
      </w:r>
    </w:p>
    <w:p>
      <w:pPr>
        <w:keepNext/>
        <w:spacing w:after="60" w:before="160"/>
        <w:jc w:val="center"/>
      </w:pPr>
      <w:r>
        <w:drawing>
          <wp:inline distT="0" distB="0" distL="0" distR="0">
            <wp:extent cx="5334000" cy="2590800"/>
            <wp:effectExtent t="0" r="0" b="0" l="0"/>
            <wp:docPr id="1" name="Figure 4.19" descr="Mean counterfactual result by advice action" title="Mean counterfactual result by advice 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590800"/>
                    </a:xfrm>
                    <a:prstGeom prst="rect">
                      <a:avLst/>
                    </a:prstGeom>
                  </pic:spPr>
                </pic:pic>
              </a:graphicData>
            </a:graphic>
          </wp:inline>
        </w:drawing>
      </w:r>
    </w:p>
    <w:p>
      <w:pPr>
        <w:pStyle w:val="FigureCaption"/>
        <w:spacing w:after="40" w:line="276"/>
        <w:jc w:val="center"/>
      </w:pPr>
      <w:r>
        <w:rPr>
          <w:rFonts w:ascii="Times New Roman" w:cs="Times New Roman" w:eastAsia="Times New Roman" w:hAnsi="Times New Roman"/>
          <w:b/>
          <w:bCs/>
          <w:sz w:val="22"/>
          <w:szCs w:val="22"/>
        </w:rPr>
        <w:t xml:space="preserve">Figure 4.19: </w:t>
      </w:r>
      <w:r>
        <w:rPr>
          <w:rFonts w:ascii="Times New Roman" w:cs="Times New Roman" w:eastAsia="Times New Roman" w:hAnsi="Times New Roman"/>
          <w:sz w:val="22"/>
          <w:szCs w:val="22"/>
        </w:rPr>
        <w:t xml:space="preserve">Mean counterfactual result by advice action</w:t>
      </w:r>
    </w:p>
    <w:p>
      <w:pPr>
        <w:spacing w:after="220" w:line="240"/>
        <w:jc w:val="center"/>
      </w:pPr>
      <w:r>
        <w:rPr>
          <w:rFonts w:ascii="Times New Roman" w:cs="Times New Roman" w:eastAsia="Times New Roman" w:hAnsi="Times New Roman"/>
          <w:i/>
          <w:iCs/>
          <w:sz w:val="18"/>
          <w:szCs w:val="18"/>
        </w:rPr>
        <w:t xml:space="preserve">Source: Author’s analysis.</w:t>
      </w:r>
    </w:p>
    <w:p>
      <w:pPr>
        <w:spacing w:after="120" w:before="0" w:line="360"/>
        <w:jc w:val="both"/>
      </w:pPr>
      <w:r>
        <w:rPr>
          <w:rFonts w:ascii="Times New Roman" w:cs="Times New Roman" w:eastAsia="Times New Roman" w:hAnsi="Times New Roman"/>
          <w:b/>
          <w:bCs/>
        </w:rPr>
        <w:t xml:space="preserve">Interpretation.</w:t>
      </w:r>
      <w:r>
        <w:rPr>
          <w:rFonts w:ascii="Times New Roman" w:cs="Times New Roman" w:eastAsia="Times New Roman" w:hAnsi="Times New Roman"/>
        </w:rPr>
        <w:t xml:space="preserve"> Across 56 cases the advice was cheaper than buying immediately in </w:t>
      </w:r>
      <w:r>
        <w:rPr>
          <w:rFonts w:ascii="Times New Roman" w:cs="Times New Roman" w:eastAsia="Times New Roman" w:hAnsi="Times New Roman"/>
          <w:b/>
          <w:bCs/>
        </w:rPr>
        <w:t xml:space="preserve">30.4%</w:t>
      </w:r>
      <w:r>
        <w:rPr>
          <w:rFonts w:ascii="Times New Roman" w:cs="Times New Roman" w:eastAsia="Times New Roman" w:hAnsi="Times New Roman"/>
        </w:rPr>
        <w:t xml:space="preserve"> of cases, more expensive in 19.6%, and identical in the remaining 50% (PROCURE NOW and HOLD buy at the origin by definition). The mean result is ₹66.07 per 100 kg lot. Almost all of the gain comes from 14 DELAY decisions (mean ₹278.57, median ₹100), while HEDGE and PARTIAL PROCUREMENT were slightly loss-making. This is consistent with the mean reversion found in Section 4.11: delaying after a forecast fall has usually paid. However, the cases are not independent (they share origins), the lot convention evaluates DELAY at day 14 although the advice text says “reassess in 7 days”, and handling costs are excluded.</w:t>
      </w:r>
    </w:p>
    <w:p>
      <w:pPr>
        <w:spacing w:after="120" w:before="0" w:line="360"/>
        <w:jc w:val="both"/>
      </w:pPr>
      <w:r>
        <w:rPr>
          <w:rFonts w:ascii="Times New Roman" w:cs="Times New Roman" w:eastAsia="Times New Roman" w:hAnsi="Times New Roman"/>
        </w:rPr>
        <w:t xml:space="preserve">A robustness check exposed a further weakness. Rerunning the identical pipeline with different library versions changed the stored XGBoost forecasts slightly, and </w:t>
      </w:r>
      <w:r>
        <w:rPr>
          <w:rFonts w:ascii="Times New Roman" w:cs="Times New Roman" w:eastAsia="Times New Roman" w:hAnsi="Times New Roman"/>
          <w:b/>
          <w:bCs/>
        </w:rPr>
        <w:t xml:space="preserve">8 of the 56 actions (14%) changed category</w:t>
      </w:r>
      <w:r>
        <w:rPr>
          <w:rFonts w:ascii="Times New Roman" w:cs="Times New Roman" w:eastAsia="Times New Roman" w:hAnsi="Times New Roman"/>
        </w:rPr>
        <w:t xml:space="preserve">: for example, Cabbage on 1 October 2025 moved from DELAY (−5.05% forecast change) to HEDGE (−3.66%). The headline rate moved from 28.6% to 30.4%. Hard ±3% and ±5% thresholds applied to forecasts whose typical error is 10–15% make the advice unstable. Thresholds should be expressed relative to forecast uncertainty.</w:t>
      </w:r>
    </w:p>
    <w:p>
      <w:pPr>
        <w:pStyle w:val="Heading2"/>
        <w:keepNext/>
        <w:spacing w:after="120" w:before="280"/>
      </w:pPr>
      <w:r>
        <w:rPr>
          <w:rFonts w:ascii="Times New Roman" w:cs="Times New Roman" w:eastAsia="Times New Roman" w:hAnsi="Times New Roman"/>
          <w:b/>
          <w:bCs/>
          <w:sz w:val="26"/>
          <w:szCs w:val="26"/>
        </w:rPr>
        <w:t xml:space="preserve">4.14 Case Study: The 2023 Tomato Price Episode (Objective S04)</w:t>
      </w:r>
    </w:p>
    <w:p>
      <w:pPr>
        <w:spacing w:after="120" w:before="0" w:line="360"/>
        <w:jc w:val="both"/>
      </w:pPr>
      <w:r>
        <w:rPr>
          <w:rFonts w:ascii="Times New Roman" w:cs="Times New Roman" w:eastAsia="Times New Roman" w:hAnsi="Times New Roman"/>
        </w:rPr>
        <w:t xml:space="preserve">The rules were applied at 13 weekly origins from 1 April to 24 June 2023, before and at the start of the episode, with a 14-day XGBoost model retrained at each origin on data up to that date.</w:t>
      </w:r>
    </w:p>
    <w:p>
      <w:pPr>
        <w:pStyle w:val="TableCaption"/>
        <w:keepNext/>
        <w:spacing w:after="80" w:before="200" w:line="276"/>
        <w:jc w:val="center"/>
      </w:pPr>
      <w:r>
        <w:rPr>
          <w:rFonts w:ascii="Times New Roman" w:cs="Times New Roman" w:eastAsia="Times New Roman" w:hAnsi="Times New Roman"/>
          <w:b/>
          <w:bCs/>
          <w:sz w:val="22"/>
          <w:szCs w:val="22"/>
        </w:rPr>
        <w:t xml:space="preserve">Table 4.19: </w:t>
      </w:r>
      <w:r>
        <w:rPr>
          <w:rFonts w:ascii="Times New Roman" w:cs="Times New Roman" w:eastAsia="Times New Roman" w:hAnsi="Times New Roman"/>
          <w:sz w:val="22"/>
          <w:szCs w:val="22"/>
        </w:rPr>
        <w:t xml:space="preserve">Tomato 2023 retrospective scenario: advice at weekly origins (₹/kg; one-unit purchase)</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1273"/>
        <w:gridCol w:w="1042"/>
        <w:gridCol w:w="1042"/>
        <w:gridCol w:w="1042"/>
        <w:gridCol w:w="1967"/>
        <w:gridCol w:w="926"/>
        <w:gridCol w:w="1156"/>
      </w:tblGrid>
      <w:tr>
        <w:trPr>
          <w:cantSplit/>
          <w:tblHeader/>
        </w:trPr>
        <w:tc>
          <w:tcPr>
            <w:tcW w:type="dxa" w:w="127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Origin</w:t>
            </w:r>
          </w:p>
        </w:tc>
        <w:tc>
          <w:tcPr>
            <w:tcW w:type="dxa" w:w="104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Price at origin</w:t>
            </w:r>
          </w:p>
        </w:tc>
        <w:tc>
          <w:tcPr>
            <w:tcW w:type="dxa" w:w="104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Forecast day 14</w:t>
            </w:r>
          </w:p>
        </w:tc>
        <w:tc>
          <w:tcPr>
            <w:tcW w:type="dxa" w:w="104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Actual day 14</w:t>
            </w:r>
          </w:p>
        </w:tc>
        <w:tc>
          <w:tcPr>
            <w:tcW w:type="dxa" w:w="196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Action</w:t>
            </w:r>
          </w:p>
        </w:tc>
        <w:tc>
          <w:tcPr>
            <w:tcW w:type="dxa" w:w="92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Risk</w:t>
            </w:r>
          </w:p>
        </w:tc>
        <w:tc>
          <w:tcPr>
            <w:tcW w:type="dxa" w:w="115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Result vs buy-now</w:t>
            </w:r>
          </w:p>
        </w:tc>
      </w:tr>
      <w:tr>
        <w:trPr>
          <w:cantSplit/>
        </w:trPr>
        <w:tc>
          <w:tcPr>
            <w:tcW w:type="dxa" w:w="12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2023-04-01</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27.00</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19.52</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16.00</w:t>
            </w:r>
          </w:p>
        </w:tc>
        <w:tc>
          <w:tcPr>
            <w:tcW w:type="dxa" w:w="19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DELAY PROCUREMENT</w:t>
            </w:r>
          </w:p>
        </w:tc>
        <w:tc>
          <w:tcPr>
            <w:tcW w:type="dxa" w:w="9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MEDIUM</w:t>
            </w:r>
          </w:p>
        </w:tc>
        <w:tc>
          <w:tcPr>
            <w:tcW w:type="dxa" w:w="11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11.00</w:t>
            </w:r>
          </w:p>
        </w:tc>
      </w:tr>
      <w:tr>
        <w:trPr>
          <w:cantSplit/>
        </w:trPr>
        <w:tc>
          <w:tcPr>
            <w:tcW w:type="dxa" w:w="12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2023-04-08</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18.00</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20.41</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18.00</w:t>
            </w:r>
          </w:p>
        </w:tc>
        <w:tc>
          <w:tcPr>
            <w:tcW w:type="dxa" w:w="19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PARTIAL PROCUREMENT</w:t>
            </w:r>
          </w:p>
        </w:tc>
        <w:tc>
          <w:tcPr>
            <w:tcW w:type="dxa" w:w="9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HIGH</w:t>
            </w:r>
          </w:p>
        </w:tc>
        <w:tc>
          <w:tcPr>
            <w:tcW w:type="dxa" w:w="11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0.00</w:t>
            </w:r>
          </w:p>
        </w:tc>
      </w:tr>
      <w:tr>
        <w:trPr>
          <w:cantSplit/>
        </w:trPr>
        <w:tc>
          <w:tcPr>
            <w:tcW w:type="dxa" w:w="12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2023-04-15</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16.00</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18.00</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13.00</w:t>
            </w:r>
          </w:p>
        </w:tc>
        <w:tc>
          <w:tcPr>
            <w:tcW w:type="dxa" w:w="19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PROCURE NOW</w:t>
            </w:r>
          </w:p>
        </w:tc>
        <w:tc>
          <w:tcPr>
            <w:tcW w:type="dxa" w:w="9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MEDIUM</w:t>
            </w:r>
          </w:p>
        </w:tc>
        <w:tc>
          <w:tcPr>
            <w:tcW w:type="dxa" w:w="11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0.00</w:t>
            </w:r>
          </w:p>
        </w:tc>
      </w:tr>
      <w:tr>
        <w:trPr>
          <w:cantSplit/>
        </w:trPr>
        <w:tc>
          <w:tcPr>
            <w:tcW w:type="dxa" w:w="12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2023-04-22</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18.00</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20.71</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14.00</w:t>
            </w:r>
          </w:p>
        </w:tc>
        <w:tc>
          <w:tcPr>
            <w:tcW w:type="dxa" w:w="19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PROCURE NOW</w:t>
            </w:r>
          </w:p>
        </w:tc>
        <w:tc>
          <w:tcPr>
            <w:tcW w:type="dxa" w:w="9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MEDIUM</w:t>
            </w:r>
          </w:p>
        </w:tc>
        <w:tc>
          <w:tcPr>
            <w:tcW w:type="dxa" w:w="11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0.00</w:t>
            </w:r>
          </w:p>
        </w:tc>
      </w:tr>
      <w:tr>
        <w:trPr>
          <w:cantSplit/>
        </w:trPr>
        <w:tc>
          <w:tcPr>
            <w:tcW w:type="dxa" w:w="12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2023-04-29</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13.00</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21.50</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16.00</w:t>
            </w:r>
          </w:p>
        </w:tc>
        <w:tc>
          <w:tcPr>
            <w:tcW w:type="dxa" w:w="19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PARTIAL PROCUREMENT</w:t>
            </w:r>
          </w:p>
        </w:tc>
        <w:tc>
          <w:tcPr>
            <w:tcW w:type="dxa" w:w="9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HIGH</w:t>
            </w:r>
          </w:p>
        </w:tc>
        <w:tc>
          <w:tcPr>
            <w:tcW w:type="dxa" w:w="11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-1.50</w:t>
            </w:r>
          </w:p>
        </w:tc>
      </w:tr>
      <w:tr>
        <w:trPr>
          <w:cantSplit/>
        </w:trPr>
        <w:tc>
          <w:tcPr>
            <w:tcW w:type="dxa" w:w="12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2023-05-06</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14.00</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26.71</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17.00</w:t>
            </w:r>
          </w:p>
        </w:tc>
        <w:tc>
          <w:tcPr>
            <w:tcW w:type="dxa" w:w="19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PARTIAL PROCUREMENT</w:t>
            </w:r>
          </w:p>
        </w:tc>
        <w:tc>
          <w:tcPr>
            <w:tcW w:type="dxa" w:w="9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HIGH</w:t>
            </w:r>
          </w:p>
        </w:tc>
        <w:tc>
          <w:tcPr>
            <w:tcW w:type="dxa" w:w="11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-1.50</w:t>
            </w:r>
          </w:p>
        </w:tc>
      </w:tr>
      <w:tr>
        <w:trPr>
          <w:cantSplit/>
        </w:trPr>
        <w:tc>
          <w:tcPr>
            <w:tcW w:type="dxa" w:w="12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2023-05-13</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16.00</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49.01</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13.00</w:t>
            </w:r>
          </w:p>
        </w:tc>
        <w:tc>
          <w:tcPr>
            <w:tcW w:type="dxa" w:w="19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PARTIAL PROCUREMENT</w:t>
            </w:r>
          </w:p>
        </w:tc>
        <w:tc>
          <w:tcPr>
            <w:tcW w:type="dxa" w:w="9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HIGH</w:t>
            </w:r>
          </w:p>
        </w:tc>
        <w:tc>
          <w:tcPr>
            <w:tcW w:type="dxa" w:w="11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1.50</w:t>
            </w:r>
          </w:p>
        </w:tc>
      </w:tr>
      <w:tr>
        <w:trPr>
          <w:cantSplit/>
        </w:trPr>
        <w:tc>
          <w:tcPr>
            <w:tcW w:type="dxa" w:w="12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2023-05-20</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17.00</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43.42</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20.00</w:t>
            </w:r>
          </w:p>
        </w:tc>
        <w:tc>
          <w:tcPr>
            <w:tcW w:type="dxa" w:w="19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PARTIAL PROCUREMENT</w:t>
            </w:r>
          </w:p>
        </w:tc>
        <w:tc>
          <w:tcPr>
            <w:tcW w:type="dxa" w:w="9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HIGH</w:t>
            </w:r>
          </w:p>
        </w:tc>
        <w:tc>
          <w:tcPr>
            <w:tcW w:type="dxa" w:w="11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-1.50</w:t>
            </w:r>
          </w:p>
        </w:tc>
      </w:tr>
      <w:tr>
        <w:trPr>
          <w:cantSplit/>
        </w:trPr>
        <w:tc>
          <w:tcPr>
            <w:tcW w:type="dxa" w:w="12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2023-05-27</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13.00</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20.16</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27.00</w:t>
            </w:r>
          </w:p>
        </w:tc>
        <w:tc>
          <w:tcPr>
            <w:tcW w:type="dxa" w:w="19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PARTIAL PROCUREMENT</w:t>
            </w:r>
          </w:p>
        </w:tc>
        <w:tc>
          <w:tcPr>
            <w:tcW w:type="dxa" w:w="9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HIGH</w:t>
            </w:r>
          </w:p>
        </w:tc>
        <w:tc>
          <w:tcPr>
            <w:tcW w:type="dxa" w:w="11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-7.00</w:t>
            </w:r>
          </w:p>
        </w:tc>
      </w:tr>
      <w:tr>
        <w:trPr>
          <w:cantSplit/>
        </w:trPr>
        <w:tc>
          <w:tcPr>
            <w:tcW w:type="dxa" w:w="12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2023-06-03</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20.00</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20.97</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38.00</w:t>
            </w:r>
          </w:p>
        </w:tc>
        <w:tc>
          <w:tcPr>
            <w:tcW w:type="dxa" w:w="19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HEDGE</w:t>
            </w:r>
          </w:p>
        </w:tc>
        <w:tc>
          <w:tcPr>
            <w:tcW w:type="dxa" w:w="9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MEDIUM</w:t>
            </w:r>
          </w:p>
        </w:tc>
        <w:tc>
          <w:tcPr>
            <w:tcW w:type="dxa" w:w="11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-9.00</w:t>
            </w:r>
          </w:p>
        </w:tc>
      </w:tr>
      <w:tr>
        <w:trPr>
          <w:cantSplit/>
        </w:trPr>
        <w:tc>
          <w:tcPr>
            <w:tcW w:type="dxa" w:w="12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2023-06-10</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27.00</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24.59</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70.00</w:t>
            </w:r>
          </w:p>
        </w:tc>
        <w:tc>
          <w:tcPr>
            <w:tcW w:type="dxa" w:w="19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DELAY PROCUREMENT</w:t>
            </w:r>
          </w:p>
        </w:tc>
        <w:tc>
          <w:tcPr>
            <w:tcW w:type="dxa" w:w="9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HIGH</w:t>
            </w:r>
          </w:p>
        </w:tc>
        <w:tc>
          <w:tcPr>
            <w:tcW w:type="dxa" w:w="11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-43.00</w:t>
            </w:r>
          </w:p>
        </w:tc>
      </w:tr>
      <w:tr>
        <w:trPr>
          <w:cantSplit/>
        </w:trPr>
        <w:tc>
          <w:tcPr>
            <w:tcW w:type="dxa" w:w="12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2023-06-17</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38.00</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29.85</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80.00</w:t>
            </w:r>
          </w:p>
        </w:tc>
        <w:tc>
          <w:tcPr>
            <w:tcW w:type="dxa" w:w="19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DELAY PROCUREMENT</w:t>
            </w:r>
          </w:p>
        </w:tc>
        <w:tc>
          <w:tcPr>
            <w:tcW w:type="dxa" w:w="9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HIGH</w:t>
            </w:r>
          </w:p>
        </w:tc>
        <w:tc>
          <w:tcPr>
            <w:tcW w:type="dxa" w:w="11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-42.00</w:t>
            </w:r>
          </w:p>
        </w:tc>
      </w:tr>
      <w:tr>
        <w:trPr>
          <w:cantSplit/>
        </w:trPr>
        <w:tc>
          <w:tcPr>
            <w:tcW w:type="dxa" w:w="12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2023-06-24</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70.00</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43.84</w:t>
            </w:r>
          </w:p>
        </w:tc>
        <w:tc>
          <w:tcPr>
            <w:tcW w:type="dxa" w:w="10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97.00</w:t>
            </w:r>
          </w:p>
        </w:tc>
        <w:tc>
          <w:tcPr>
            <w:tcW w:type="dxa" w:w="196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DELAY PROCUREMENT</w:t>
            </w:r>
          </w:p>
        </w:tc>
        <w:tc>
          <w:tcPr>
            <w:tcW w:type="dxa" w:w="92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HIGH</w:t>
            </w:r>
          </w:p>
        </w:tc>
        <w:tc>
          <w:tcPr>
            <w:tcW w:type="dxa" w:w="11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-27.00</w:t>
            </w:r>
          </w:p>
        </w:tc>
      </w:tr>
    </w:tbl>
    <w:p>
      <w:pPr>
        <w:spacing w:after="200" w:before="60" w:line="240"/>
      </w:pPr>
      <w:r>
        <w:rPr>
          <w:rFonts w:ascii="Times New Roman" w:cs="Times New Roman" w:eastAsia="Times New Roman" w:hAnsi="Times New Roman"/>
          <w:i/>
          <w:iCs/>
          <w:sz w:val="18"/>
          <w:szCs w:val="18"/>
        </w:rPr>
        <w:t xml:space="preserve">Source: Author’s analysis. Negative = advice more expensive than buying at the origin.</w:t>
      </w:r>
    </w:p>
    <w:p>
      <w:pPr>
        <w:keepNext/>
        <w:spacing w:after="60" w:before="160"/>
        <w:jc w:val="center"/>
      </w:pPr>
      <w:r>
        <w:drawing>
          <wp:inline distT="0" distB="0" distL="0" distR="0">
            <wp:extent cx="5334000" cy="2628900"/>
            <wp:effectExtent t="0" r="0" b="0" l="0"/>
            <wp:docPr id="1" name="Figure 4.20" descr="Tomato 2023: rule-based advice at weekly origins against observed Koyambedu prices" title="Tomato 2023: rule-based advice at weekly origins against observed Koyambedu pr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628900"/>
                    </a:xfrm>
                    <a:prstGeom prst="rect">
                      <a:avLst/>
                    </a:prstGeom>
                  </pic:spPr>
                </pic:pic>
              </a:graphicData>
            </a:graphic>
          </wp:inline>
        </w:drawing>
      </w:r>
    </w:p>
    <w:p>
      <w:pPr>
        <w:pStyle w:val="FigureCaption"/>
        <w:spacing w:after="40" w:line="276"/>
        <w:jc w:val="center"/>
      </w:pPr>
      <w:r>
        <w:rPr>
          <w:rFonts w:ascii="Times New Roman" w:cs="Times New Roman" w:eastAsia="Times New Roman" w:hAnsi="Times New Roman"/>
          <w:b/>
          <w:bCs/>
          <w:sz w:val="22"/>
          <w:szCs w:val="22"/>
        </w:rPr>
        <w:t xml:space="preserve">Figure 4.20: </w:t>
      </w:r>
      <w:r>
        <w:rPr>
          <w:rFonts w:ascii="Times New Roman" w:cs="Times New Roman" w:eastAsia="Times New Roman" w:hAnsi="Times New Roman"/>
          <w:sz w:val="22"/>
          <w:szCs w:val="22"/>
        </w:rPr>
        <w:t xml:space="preserve">Tomato 2023: rule-based advice at weekly origins against observed Koyambedu prices</w:t>
      </w:r>
    </w:p>
    <w:p>
      <w:pPr>
        <w:spacing w:after="220" w:line="240"/>
        <w:jc w:val="center"/>
      </w:pPr>
      <w:r>
        <w:rPr>
          <w:rFonts w:ascii="Times New Roman" w:cs="Times New Roman" w:eastAsia="Times New Roman" w:hAnsi="Times New Roman"/>
          <w:i/>
          <w:iCs/>
          <w:sz w:val="18"/>
          <w:szCs w:val="18"/>
        </w:rPr>
        <w:t xml:space="preserve">Source: Author’s analysis.</w:t>
      </w:r>
    </w:p>
    <w:p>
      <w:pPr>
        <w:spacing w:after="120" w:before="0" w:line="360"/>
        <w:jc w:val="both"/>
      </w:pPr>
      <w:r>
        <w:rPr>
          <w:rFonts w:ascii="Times New Roman" w:cs="Times New Roman" w:eastAsia="Times New Roman" w:hAnsi="Times New Roman"/>
          <w:b/>
          <w:bCs/>
        </w:rPr>
        <w:t xml:space="preserve">Interpretation.</w:t>
      </w:r>
      <w:r>
        <w:rPr>
          <w:rFonts w:ascii="Times New Roman" w:cs="Times New Roman" w:eastAsia="Times New Roman" w:hAnsi="Times New Roman"/>
        </w:rPr>
        <w:t xml:space="preserve"> This is the most consequential finding for procurement. From April to May, when prices were low, the advice made only small differences (between −₹7 and +₹11/kg per decision, mostly ±₹1.50). As the shock began, the model forecast </w:t>
      </w:r>
      <w:r>
        <w:rPr>
          <w:rFonts w:ascii="Times New Roman" w:cs="Times New Roman" w:eastAsia="Times New Roman" w:hAnsi="Times New Roman"/>
          <w:b/>
          <w:bCs/>
        </w:rPr>
        <w:t xml:space="preserve">falling</w:t>
      </w:r>
      <w:r>
        <w:rPr>
          <w:rFonts w:ascii="Times New Roman" w:cs="Times New Roman" w:eastAsia="Times New Roman" w:hAnsi="Times New Roman"/>
        </w:rPr>
        <w:t xml:space="preserve"> prices on 10, 17 and 24 June 2023 (₹24.59, ₹29.85 and ₹43.84 against origin prices of ₹27, ₹38 and ₹70) and advised DELAY three weeks in a row. Actual day-14 prices were ₹70, ₹80 and ₹97/kg, so the delays cost ₹43, ₹42 and ₹27/kg relative to buying immediately. Over the 13 origins the cumulative result is </w:t>
      </w:r>
      <w:r>
        <w:rPr>
          <w:rFonts w:ascii="Times New Roman" w:cs="Times New Roman" w:eastAsia="Times New Roman" w:hAnsi="Times New Roman"/>
          <w:b/>
          <w:bCs/>
        </w:rPr>
        <w:t xml:space="preserve">−₹120/kg</w:t>
      </w:r>
      <w:r>
        <w:rPr>
          <w:rFonts w:ascii="Times New Roman" w:cs="Times New Roman" w:eastAsia="Times New Roman" w:hAnsi="Times New Roman"/>
        </w:rPr>
        <w:t xml:space="preserve"> for a one-kilogram-per-week buyer: the advice would have increased cost.</w:t>
      </w:r>
    </w:p>
    <w:p>
      <w:pPr>
        <w:spacing w:after="120" w:before="0" w:line="360"/>
        <w:jc w:val="both"/>
      </w:pPr>
      <w:r>
        <w:rPr>
          <w:rFonts w:ascii="Times New Roman" w:cs="Times New Roman" w:eastAsia="Times New Roman" w:hAnsi="Times New Roman"/>
        </w:rPr>
        <w:t xml:space="preserve">The mechanism is clear. Models trained on mean-reverting history forecast reversion after a rise, and that is usually correct (Section 4.11). In a sustained supply shock it is exactly wrong. The 14-day model did not anticipate the shock; Section 4.14.1 shows that the 30-day horizon specified in the proposal behaved differently.</w:t>
      </w:r>
    </w:p>
    <w:p>
      <w:pPr>
        <w:pStyle w:val="Heading3"/>
        <w:keepNext/>
        <w:spacing w:after="100" w:before="200"/>
      </w:pPr>
      <w:r>
        <w:rPr>
          <w:rFonts w:ascii="Times New Roman" w:cs="Times New Roman" w:eastAsia="Times New Roman" w:hAnsi="Times New Roman"/>
          <w:b/>
          <w:bCs/>
          <w:i/>
          <w:iCs/>
          <w:sz w:val="24"/>
          <w:szCs w:val="24"/>
        </w:rPr>
        <w:t xml:space="preserve">4.14.1 The 30-day forecast specified in the proposal</w:t>
      </w:r>
    </w:p>
    <w:p>
      <w:pPr>
        <w:spacing w:after="120" w:before="0" w:line="360"/>
        <w:jc w:val="both"/>
      </w:pPr>
      <w:r>
        <w:rPr>
          <w:rFonts w:ascii="Times New Roman" w:cs="Times New Roman" w:eastAsia="Times New Roman" w:hAnsi="Times New Roman"/>
        </w:rPr>
        <w:t xml:space="preserve">The proposal asked for the economic value of the </w:t>
      </w:r>
      <w:r>
        <w:rPr>
          <w:rFonts w:ascii="Times New Roman" w:cs="Times New Roman" w:eastAsia="Times New Roman" w:hAnsi="Times New Roman"/>
          <w:b/>
          <w:bCs/>
        </w:rPr>
        <w:t xml:space="preserve">30-day</w:t>
      </w:r>
      <w:r>
        <w:rPr>
          <w:rFonts w:ascii="Times New Roman" w:cs="Times New Roman" w:eastAsia="Times New Roman" w:hAnsi="Times New Roman"/>
        </w:rPr>
        <w:t xml:space="preserve"> forecast in the three months before July 2023. The scenario was therefore rerun with a 30-day direct XGBoost model at the same 13 weekly origins (protocol C2), together with a 14-day model on the same feature set for comparison.</w:t>
      </w:r>
    </w:p>
    <w:p>
      <w:pPr>
        <w:pStyle w:val="TableCaption"/>
        <w:keepNext/>
        <w:spacing w:after="80" w:before="200" w:line="276"/>
        <w:jc w:val="center"/>
      </w:pPr>
      <w:r>
        <w:rPr>
          <w:rFonts w:ascii="Times New Roman" w:cs="Times New Roman" w:eastAsia="Times New Roman" w:hAnsi="Times New Roman"/>
          <w:b/>
          <w:bCs/>
          <w:sz w:val="22"/>
          <w:szCs w:val="22"/>
        </w:rPr>
        <w:t xml:space="preserve">Table 4.20: </w:t>
      </w:r>
      <w:r>
        <w:rPr>
          <w:rFonts w:ascii="Times New Roman" w:cs="Times New Roman" w:eastAsia="Times New Roman" w:hAnsi="Times New Roman"/>
          <w:sz w:val="22"/>
          <w:szCs w:val="22"/>
        </w:rPr>
        <w:t xml:space="preserve">Tomato 2023: advice from 30-day forecasts at weekly origins (₹/kg)</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1097"/>
        <w:gridCol w:w="768"/>
        <w:gridCol w:w="987"/>
        <w:gridCol w:w="987"/>
        <w:gridCol w:w="987"/>
        <w:gridCol w:w="878"/>
        <w:gridCol w:w="1755"/>
        <w:gridCol w:w="989"/>
      </w:tblGrid>
      <w:tr>
        <w:trPr>
          <w:cantSplit/>
          <w:tblHeader/>
        </w:trPr>
        <w:tc>
          <w:tcPr>
            <w:tcW w:type="dxa" w:w="109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6"/>
                <w:szCs w:val="16"/>
              </w:rPr>
              <w:t xml:space="preserve">Origin</w:t>
            </w:r>
          </w:p>
        </w:tc>
        <w:tc>
          <w:tcPr>
            <w:tcW w:type="dxa" w:w="76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6"/>
                <w:szCs w:val="16"/>
              </w:rPr>
              <w:t xml:space="preserve">Price</w:t>
            </w:r>
          </w:p>
        </w:tc>
        <w:tc>
          <w:tcPr>
            <w:tcW w:type="dxa" w:w="98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6"/>
                <w:szCs w:val="16"/>
              </w:rPr>
              <w:t xml:space="preserve">Forecast day 30</w:t>
            </w:r>
          </w:p>
        </w:tc>
        <w:tc>
          <w:tcPr>
            <w:tcW w:type="dxa" w:w="98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6"/>
                <w:szCs w:val="16"/>
              </w:rPr>
              <w:t xml:space="preserve">Actual day 30</w:t>
            </w:r>
          </w:p>
        </w:tc>
        <w:tc>
          <w:tcPr>
            <w:tcW w:type="dxa" w:w="98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6"/>
                <w:szCs w:val="16"/>
              </w:rPr>
              <w:t xml:space="preserve">Forecast change</w:t>
            </w:r>
          </w:p>
        </w:tc>
        <w:tc>
          <w:tcPr>
            <w:tcW w:type="dxa" w:w="87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6"/>
                <w:szCs w:val="16"/>
              </w:rPr>
              <w:t xml:space="preserve">Risk</w:t>
            </w:r>
          </w:p>
        </w:tc>
        <w:tc>
          <w:tcPr>
            <w:tcW w:type="dxa" w:w="175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6"/>
                <w:szCs w:val="16"/>
              </w:rPr>
              <w:t xml:space="preserve">Action</w:t>
            </w:r>
          </w:p>
        </w:tc>
        <w:tc>
          <w:tcPr>
            <w:tcW w:type="dxa" w:w="98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6"/>
                <w:szCs w:val="16"/>
              </w:rPr>
              <w:t xml:space="preserve">Result vs buy-now</w:t>
            </w:r>
          </w:p>
        </w:tc>
      </w:tr>
      <w:tr>
        <w:trPr>
          <w:cantSplit/>
        </w:trPr>
        <w:tc>
          <w:tcPr>
            <w:tcW w:type="dxa" w:w="109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2023-04-01</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27.00</w:t>
            </w:r>
          </w:p>
        </w:tc>
        <w:tc>
          <w:tcPr>
            <w:tcW w:type="dxa" w:w="98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21.12</w:t>
            </w:r>
          </w:p>
        </w:tc>
        <w:tc>
          <w:tcPr>
            <w:tcW w:type="dxa" w:w="98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13.00</w:t>
            </w:r>
          </w:p>
        </w:tc>
        <w:tc>
          <w:tcPr>
            <w:tcW w:type="dxa" w:w="98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-22%</w:t>
            </w:r>
          </w:p>
        </w:tc>
        <w:tc>
          <w:tcPr>
            <w:tcW w:type="dxa" w:w="87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MEDIUM</w:t>
            </w:r>
          </w:p>
        </w:tc>
        <w:tc>
          <w:tcPr>
            <w:tcW w:type="dxa" w:w="17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DELAY PROCUREMENT</w:t>
            </w:r>
          </w:p>
        </w:tc>
        <w:tc>
          <w:tcPr>
            <w:tcW w:type="dxa" w:w="98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14.00</w:t>
            </w:r>
          </w:p>
        </w:tc>
      </w:tr>
      <w:tr>
        <w:trPr>
          <w:cantSplit/>
        </w:trPr>
        <w:tc>
          <w:tcPr>
            <w:tcW w:type="dxa" w:w="109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2023-04-08</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18.00</w:t>
            </w:r>
          </w:p>
        </w:tc>
        <w:tc>
          <w:tcPr>
            <w:tcW w:type="dxa" w:w="98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18.52</w:t>
            </w:r>
          </w:p>
        </w:tc>
        <w:tc>
          <w:tcPr>
            <w:tcW w:type="dxa" w:w="98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16.00</w:t>
            </w:r>
          </w:p>
        </w:tc>
        <w:tc>
          <w:tcPr>
            <w:tcW w:type="dxa" w:w="98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+3%</w:t>
            </w:r>
          </w:p>
        </w:tc>
        <w:tc>
          <w:tcPr>
            <w:tcW w:type="dxa" w:w="87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MEDIUM</w:t>
            </w:r>
          </w:p>
        </w:tc>
        <w:tc>
          <w:tcPr>
            <w:tcW w:type="dxa" w:w="17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HOLD</w:t>
            </w:r>
          </w:p>
        </w:tc>
        <w:tc>
          <w:tcPr>
            <w:tcW w:type="dxa" w:w="98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0.00</w:t>
            </w:r>
          </w:p>
        </w:tc>
      </w:tr>
      <w:tr>
        <w:trPr>
          <w:cantSplit/>
        </w:trPr>
        <w:tc>
          <w:tcPr>
            <w:tcW w:type="dxa" w:w="109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2023-04-15</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16.00</w:t>
            </w:r>
          </w:p>
        </w:tc>
        <w:tc>
          <w:tcPr>
            <w:tcW w:type="dxa" w:w="98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20.12</w:t>
            </w:r>
          </w:p>
        </w:tc>
        <w:tc>
          <w:tcPr>
            <w:tcW w:type="dxa" w:w="98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18.00</w:t>
            </w:r>
          </w:p>
        </w:tc>
        <w:tc>
          <w:tcPr>
            <w:tcW w:type="dxa" w:w="98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+26%</w:t>
            </w:r>
          </w:p>
        </w:tc>
        <w:tc>
          <w:tcPr>
            <w:tcW w:type="dxa" w:w="87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HIGH</w:t>
            </w:r>
          </w:p>
        </w:tc>
        <w:tc>
          <w:tcPr>
            <w:tcW w:type="dxa" w:w="17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PARTIAL PROCUREMENT</w:t>
            </w:r>
          </w:p>
        </w:tc>
        <w:tc>
          <w:tcPr>
            <w:tcW w:type="dxa" w:w="98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-1.00</w:t>
            </w:r>
          </w:p>
        </w:tc>
      </w:tr>
      <w:tr>
        <w:trPr>
          <w:cantSplit/>
        </w:trPr>
        <w:tc>
          <w:tcPr>
            <w:tcW w:type="dxa" w:w="109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2023-04-22</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18.00</w:t>
            </w:r>
          </w:p>
        </w:tc>
        <w:tc>
          <w:tcPr>
            <w:tcW w:type="dxa" w:w="98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19.60</w:t>
            </w:r>
          </w:p>
        </w:tc>
        <w:tc>
          <w:tcPr>
            <w:tcW w:type="dxa" w:w="98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17.00</w:t>
            </w:r>
          </w:p>
        </w:tc>
        <w:tc>
          <w:tcPr>
            <w:tcW w:type="dxa" w:w="98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+9%</w:t>
            </w:r>
          </w:p>
        </w:tc>
        <w:tc>
          <w:tcPr>
            <w:tcW w:type="dxa" w:w="87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MEDIUM</w:t>
            </w:r>
          </w:p>
        </w:tc>
        <w:tc>
          <w:tcPr>
            <w:tcW w:type="dxa" w:w="17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PROCURE NOW</w:t>
            </w:r>
          </w:p>
        </w:tc>
        <w:tc>
          <w:tcPr>
            <w:tcW w:type="dxa" w:w="98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0.00</w:t>
            </w:r>
          </w:p>
        </w:tc>
      </w:tr>
      <w:tr>
        <w:trPr>
          <w:cantSplit/>
        </w:trPr>
        <w:tc>
          <w:tcPr>
            <w:tcW w:type="dxa" w:w="109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2023-04-29</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13.00</w:t>
            </w:r>
          </w:p>
        </w:tc>
        <w:tc>
          <w:tcPr>
            <w:tcW w:type="dxa" w:w="98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27.02</w:t>
            </w:r>
          </w:p>
        </w:tc>
        <w:tc>
          <w:tcPr>
            <w:tcW w:type="dxa" w:w="98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13.00</w:t>
            </w:r>
          </w:p>
        </w:tc>
        <w:tc>
          <w:tcPr>
            <w:tcW w:type="dxa" w:w="98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+108%</w:t>
            </w:r>
          </w:p>
        </w:tc>
        <w:tc>
          <w:tcPr>
            <w:tcW w:type="dxa" w:w="87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HIGH</w:t>
            </w:r>
          </w:p>
        </w:tc>
        <w:tc>
          <w:tcPr>
            <w:tcW w:type="dxa" w:w="17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PARTIAL PROCUREMENT</w:t>
            </w:r>
          </w:p>
        </w:tc>
        <w:tc>
          <w:tcPr>
            <w:tcW w:type="dxa" w:w="98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0.00</w:t>
            </w:r>
          </w:p>
        </w:tc>
      </w:tr>
      <w:tr>
        <w:trPr>
          <w:cantSplit/>
        </w:trPr>
        <w:tc>
          <w:tcPr>
            <w:tcW w:type="dxa" w:w="109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2023-05-06</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14.00</w:t>
            </w:r>
          </w:p>
        </w:tc>
        <w:tc>
          <w:tcPr>
            <w:tcW w:type="dxa" w:w="98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60.57</w:t>
            </w:r>
          </w:p>
        </w:tc>
        <w:tc>
          <w:tcPr>
            <w:tcW w:type="dxa" w:w="98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34.00</w:t>
            </w:r>
          </w:p>
        </w:tc>
        <w:tc>
          <w:tcPr>
            <w:tcW w:type="dxa" w:w="98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+333%</w:t>
            </w:r>
          </w:p>
        </w:tc>
        <w:tc>
          <w:tcPr>
            <w:tcW w:type="dxa" w:w="87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HIGH</w:t>
            </w:r>
          </w:p>
        </w:tc>
        <w:tc>
          <w:tcPr>
            <w:tcW w:type="dxa" w:w="17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PARTIAL PROCUREMENT</w:t>
            </w:r>
          </w:p>
        </w:tc>
        <w:tc>
          <w:tcPr>
            <w:tcW w:type="dxa" w:w="98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-10.00</w:t>
            </w:r>
          </w:p>
        </w:tc>
      </w:tr>
      <w:tr>
        <w:trPr>
          <w:cantSplit/>
        </w:trPr>
        <w:tc>
          <w:tcPr>
            <w:tcW w:type="dxa" w:w="109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2023-05-13</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16.00</w:t>
            </w:r>
          </w:p>
        </w:tc>
        <w:tc>
          <w:tcPr>
            <w:tcW w:type="dxa" w:w="98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72.84</w:t>
            </w:r>
          </w:p>
        </w:tc>
        <w:tc>
          <w:tcPr>
            <w:tcW w:type="dxa" w:w="98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27.00</w:t>
            </w:r>
          </w:p>
        </w:tc>
        <w:tc>
          <w:tcPr>
            <w:tcW w:type="dxa" w:w="98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+355%</w:t>
            </w:r>
          </w:p>
        </w:tc>
        <w:tc>
          <w:tcPr>
            <w:tcW w:type="dxa" w:w="87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HIGH</w:t>
            </w:r>
          </w:p>
        </w:tc>
        <w:tc>
          <w:tcPr>
            <w:tcW w:type="dxa" w:w="17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PARTIAL PROCUREMENT</w:t>
            </w:r>
          </w:p>
        </w:tc>
        <w:tc>
          <w:tcPr>
            <w:tcW w:type="dxa" w:w="98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-5.50</w:t>
            </w:r>
          </w:p>
        </w:tc>
      </w:tr>
      <w:tr>
        <w:trPr>
          <w:cantSplit/>
        </w:trPr>
        <w:tc>
          <w:tcPr>
            <w:tcW w:type="dxa" w:w="109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2023-05-20</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17.00</w:t>
            </w:r>
          </w:p>
        </w:tc>
        <w:tc>
          <w:tcPr>
            <w:tcW w:type="dxa" w:w="98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40.52</w:t>
            </w:r>
          </w:p>
        </w:tc>
        <w:tc>
          <w:tcPr>
            <w:tcW w:type="dxa" w:w="98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37.00</w:t>
            </w:r>
          </w:p>
        </w:tc>
        <w:tc>
          <w:tcPr>
            <w:tcW w:type="dxa" w:w="98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+138%</w:t>
            </w:r>
          </w:p>
        </w:tc>
        <w:tc>
          <w:tcPr>
            <w:tcW w:type="dxa" w:w="87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HIGH</w:t>
            </w:r>
          </w:p>
        </w:tc>
        <w:tc>
          <w:tcPr>
            <w:tcW w:type="dxa" w:w="17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PARTIAL PROCUREMENT</w:t>
            </w:r>
          </w:p>
        </w:tc>
        <w:tc>
          <w:tcPr>
            <w:tcW w:type="dxa" w:w="98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-10.00</w:t>
            </w:r>
          </w:p>
        </w:tc>
      </w:tr>
      <w:tr>
        <w:trPr>
          <w:cantSplit/>
        </w:trPr>
        <w:tc>
          <w:tcPr>
            <w:tcW w:type="dxa" w:w="109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2023-05-27</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13.00</w:t>
            </w:r>
          </w:p>
        </w:tc>
        <w:tc>
          <w:tcPr>
            <w:tcW w:type="dxa" w:w="98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68.06</w:t>
            </w:r>
          </w:p>
        </w:tc>
        <w:tc>
          <w:tcPr>
            <w:tcW w:type="dxa" w:w="98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85.00</w:t>
            </w:r>
          </w:p>
        </w:tc>
        <w:tc>
          <w:tcPr>
            <w:tcW w:type="dxa" w:w="98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+424%</w:t>
            </w:r>
          </w:p>
        </w:tc>
        <w:tc>
          <w:tcPr>
            <w:tcW w:type="dxa" w:w="87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HIGH</w:t>
            </w:r>
          </w:p>
        </w:tc>
        <w:tc>
          <w:tcPr>
            <w:tcW w:type="dxa" w:w="17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PARTIAL PROCUREMENT</w:t>
            </w:r>
          </w:p>
        </w:tc>
        <w:tc>
          <w:tcPr>
            <w:tcW w:type="dxa" w:w="98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-36.00</w:t>
            </w:r>
          </w:p>
        </w:tc>
      </w:tr>
      <w:tr>
        <w:trPr>
          <w:cantSplit/>
        </w:trPr>
        <w:tc>
          <w:tcPr>
            <w:tcW w:type="dxa" w:w="109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2023-06-03</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20.00</w:t>
            </w:r>
          </w:p>
        </w:tc>
        <w:tc>
          <w:tcPr>
            <w:tcW w:type="dxa" w:w="98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51.19</w:t>
            </w:r>
          </w:p>
        </w:tc>
        <w:tc>
          <w:tcPr>
            <w:tcW w:type="dxa" w:w="98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80.00</w:t>
            </w:r>
          </w:p>
        </w:tc>
        <w:tc>
          <w:tcPr>
            <w:tcW w:type="dxa" w:w="98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+156%</w:t>
            </w:r>
          </w:p>
        </w:tc>
        <w:tc>
          <w:tcPr>
            <w:tcW w:type="dxa" w:w="87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HIGH</w:t>
            </w:r>
          </w:p>
        </w:tc>
        <w:tc>
          <w:tcPr>
            <w:tcW w:type="dxa" w:w="17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PARTIAL PROCUREMENT</w:t>
            </w:r>
          </w:p>
        </w:tc>
        <w:tc>
          <w:tcPr>
            <w:tcW w:type="dxa" w:w="98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-30.00</w:t>
            </w:r>
          </w:p>
        </w:tc>
      </w:tr>
      <w:tr>
        <w:trPr>
          <w:cantSplit/>
        </w:trPr>
        <w:tc>
          <w:tcPr>
            <w:tcW w:type="dxa" w:w="109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2023-06-10</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27.00</w:t>
            </w:r>
          </w:p>
        </w:tc>
        <w:tc>
          <w:tcPr>
            <w:tcW w:type="dxa" w:w="98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36.25</w:t>
            </w:r>
          </w:p>
        </w:tc>
        <w:tc>
          <w:tcPr>
            <w:tcW w:type="dxa" w:w="98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102.00</w:t>
            </w:r>
          </w:p>
        </w:tc>
        <w:tc>
          <w:tcPr>
            <w:tcW w:type="dxa" w:w="98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+34%</w:t>
            </w:r>
          </w:p>
        </w:tc>
        <w:tc>
          <w:tcPr>
            <w:tcW w:type="dxa" w:w="87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HIGH</w:t>
            </w:r>
          </w:p>
        </w:tc>
        <w:tc>
          <w:tcPr>
            <w:tcW w:type="dxa" w:w="17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PARTIAL PROCUREMENT</w:t>
            </w:r>
          </w:p>
        </w:tc>
        <w:tc>
          <w:tcPr>
            <w:tcW w:type="dxa" w:w="98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-37.50</w:t>
            </w:r>
          </w:p>
        </w:tc>
      </w:tr>
      <w:tr>
        <w:trPr>
          <w:cantSplit/>
        </w:trPr>
        <w:tc>
          <w:tcPr>
            <w:tcW w:type="dxa" w:w="109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2023-06-17</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38.00</w:t>
            </w:r>
          </w:p>
        </w:tc>
        <w:tc>
          <w:tcPr>
            <w:tcW w:type="dxa" w:w="98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31.23</w:t>
            </w:r>
          </w:p>
        </w:tc>
        <w:tc>
          <w:tcPr>
            <w:tcW w:type="dxa" w:w="98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114.00</w:t>
            </w:r>
          </w:p>
        </w:tc>
        <w:tc>
          <w:tcPr>
            <w:tcW w:type="dxa" w:w="98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-18%</w:t>
            </w:r>
          </w:p>
        </w:tc>
        <w:tc>
          <w:tcPr>
            <w:tcW w:type="dxa" w:w="87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HIGH</w:t>
            </w:r>
          </w:p>
        </w:tc>
        <w:tc>
          <w:tcPr>
            <w:tcW w:type="dxa" w:w="17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DELAY PROCUREMENT</w:t>
            </w:r>
          </w:p>
        </w:tc>
        <w:tc>
          <w:tcPr>
            <w:tcW w:type="dxa" w:w="98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-76.00</w:t>
            </w:r>
          </w:p>
        </w:tc>
      </w:tr>
      <w:tr>
        <w:trPr>
          <w:cantSplit/>
        </w:trPr>
        <w:tc>
          <w:tcPr>
            <w:tcW w:type="dxa" w:w="109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2023-06-24</w:t>
            </w:r>
          </w:p>
        </w:tc>
        <w:tc>
          <w:tcPr>
            <w:tcW w:type="dxa" w:w="7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70.00</w:t>
            </w:r>
          </w:p>
        </w:tc>
        <w:tc>
          <w:tcPr>
            <w:tcW w:type="dxa" w:w="98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43.87</w:t>
            </w:r>
          </w:p>
        </w:tc>
        <w:tc>
          <w:tcPr>
            <w:tcW w:type="dxa" w:w="98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97.00</w:t>
            </w:r>
          </w:p>
        </w:tc>
        <w:tc>
          <w:tcPr>
            <w:tcW w:type="dxa" w:w="98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-37%</w:t>
            </w:r>
          </w:p>
        </w:tc>
        <w:tc>
          <w:tcPr>
            <w:tcW w:type="dxa" w:w="87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HIGH</w:t>
            </w:r>
          </w:p>
        </w:tc>
        <w:tc>
          <w:tcPr>
            <w:tcW w:type="dxa" w:w="17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DELAY PROCUREMENT</w:t>
            </w:r>
          </w:p>
        </w:tc>
        <w:tc>
          <w:tcPr>
            <w:tcW w:type="dxa" w:w="98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-27.00</w:t>
            </w:r>
          </w:p>
        </w:tc>
      </w:tr>
    </w:tbl>
    <w:p>
      <w:pPr>
        <w:spacing w:after="200" w:before="60" w:line="240"/>
      </w:pPr>
      <w:r>
        <w:rPr>
          <w:rFonts w:ascii="Times New Roman" w:cs="Times New Roman" w:eastAsia="Times New Roman" w:hAnsi="Times New Roman"/>
          <w:i/>
          <w:iCs/>
          <w:sz w:val="18"/>
          <w:szCs w:val="18"/>
        </w:rPr>
        <w:t xml:space="preserve">Source: Author’s analysis (protocol C2). Negative = advice more expensive than buying at the origin.</w:t>
      </w:r>
    </w:p>
    <w:p>
      <w:pPr>
        <w:keepNext/>
        <w:spacing w:after="60" w:before="160"/>
        <w:jc w:val="center"/>
      </w:pPr>
      <w:r>
        <w:drawing>
          <wp:inline distT="0" distB="0" distL="0" distR="0">
            <wp:extent cx="5334000" cy="2676525"/>
            <wp:effectExtent t="0" r="0" b="0" l="0"/>
            <wp:docPr id="1" name="Figure 4.21" descr="Tomato 2023: advice from 30-day forecasts at weekly origins" title="Tomato 2023: advice from 30-day forecasts at weekly origi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676525"/>
                    </a:xfrm>
                    <a:prstGeom prst="rect">
                      <a:avLst/>
                    </a:prstGeom>
                  </pic:spPr>
                </pic:pic>
              </a:graphicData>
            </a:graphic>
          </wp:inline>
        </w:drawing>
      </w:r>
    </w:p>
    <w:p>
      <w:pPr>
        <w:pStyle w:val="FigureCaption"/>
        <w:spacing w:after="40" w:line="276"/>
        <w:jc w:val="center"/>
      </w:pPr>
      <w:r>
        <w:rPr>
          <w:rFonts w:ascii="Times New Roman" w:cs="Times New Roman" w:eastAsia="Times New Roman" w:hAnsi="Times New Roman"/>
          <w:b/>
          <w:bCs/>
          <w:sz w:val="22"/>
          <w:szCs w:val="22"/>
        </w:rPr>
        <w:t xml:space="preserve">Figure 4.21: </w:t>
      </w:r>
      <w:r>
        <w:rPr>
          <w:rFonts w:ascii="Times New Roman" w:cs="Times New Roman" w:eastAsia="Times New Roman" w:hAnsi="Times New Roman"/>
          <w:sz w:val="22"/>
          <w:szCs w:val="22"/>
        </w:rPr>
        <w:t xml:space="preserve">Tomato 2023: advice from 30-day forecasts at weekly origins</w:t>
      </w:r>
    </w:p>
    <w:p>
      <w:pPr>
        <w:spacing w:after="220" w:line="240"/>
        <w:jc w:val="center"/>
      </w:pPr>
      <w:r>
        <w:rPr>
          <w:rFonts w:ascii="Times New Roman" w:cs="Times New Roman" w:eastAsia="Times New Roman" w:hAnsi="Times New Roman"/>
          <w:i/>
          <w:iCs/>
          <w:sz w:val="18"/>
          <w:szCs w:val="18"/>
        </w:rPr>
        <w:t xml:space="preserve">Source: Author’s analysis.</w:t>
      </w:r>
    </w:p>
    <w:p>
      <w:pPr>
        <w:pStyle w:val="TableCaption"/>
        <w:keepNext/>
        <w:spacing w:after="80" w:before="200" w:line="276"/>
        <w:jc w:val="center"/>
      </w:pPr>
      <w:r>
        <w:rPr>
          <w:rFonts w:ascii="Times New Roman" w:cs="Times New Roman" w:eastAsia="Times New Roman" w:hAnsi="Times New Roman"/>
          <w:b/>
          <w:bCs/>
          <w:sz w:val="22"/>
          <w:szCs w:val="22"/>
        </w:rPr>
        <w:t xml:space="preserve">Table 4.21: </w:t>
      </w:r>
      <w:r>
        <w:rPr>
          <w:rFonts w:ascii="Times New Roman" w:cs="Times New Roman" w:eastAsia="Times New Roman" w:hAnsi="Times New Roman"/>
          <w:sz w:val="22"/>
          <w:szCs w:val="22"/>
        </w:rPr>
        <w:t xml:space="preserve">Economic value of the forecast signal in the three months before July 2023 (₹/kg, one unit per signal)</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939"/>
        <w:gridCol w:w="1056"/>
        <w:gridCol w:w="1173"/>
        <w:gridCol w:w="1056"/>
        <w:gridCol w:w="1056"/>
        <w:gridCol w:w="1056"/>
        <w:gridCol w:w="1056"/>
        <w:gridCol w:w="1056"/>
      </w:tblGrid>
      <w:tr>
        <w:trPr>
          <w:cantSplit/>
          <w:tblHeader/>
        </w:trPr>
        <w:tc>
          <w:tcPr>
            <w:tcW w:type="dxa" w:w="93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6"/>
                <w:szCs w:val="16"/>
              </w:rPr>
              <w:t xml:space="preserve">Horizon</w:t>
            </w:r>
          </w:p>
        </w:tc>
        <w:tc>
          <w:tcPr>
            <w:tcW w:type="dxa" w:w="105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6"/>
                <w:szCs w:val="16"/>
              </w:rPr>
              <w:t xml:space="preserve">Rise signals correct</w:t>
            </w:r>
          </w:p>
        </w:tc>
        <w:tc>
          <w:tcPr>
            <w:tcW w:type="dxa" w:w="117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6"/>
                <w:szCs w:val="16"/>
              </w:rPr>
              <w:t xml:space="preserve">Forward-buying value</w:t>
            </w:r>
          </w:p>
        </w:tc>
        <w:tc>
          <w:tcPr>
            <w:tcW w:type="dxa" w:w="105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6"/>
                <w:szCs w:val="16"/>
              </w:rPr>
              <w:t xml:space="preserve">Fall signals correct</w:t>
            </w:r>
          </w:p>
        </w:tc>
        <w:tc>
          <w:tcPr>
            <w:tcW w:type="dxa" w:w="105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6"/>
                <w:szCs w:val="16"/>
              </w:rPr>
              <w:t xml:space="preserve">Deferral value</w:t>
            </w:r>
          </w:p>
        </w:tc>
        <w:tc>
          <w:tcPr>
            <w:tcW w:type="dxa" w:w="105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6"/>
                <w:szCs w:val="16"/>
              </w:rPr>
              <w:t xml:space="preserve">Net signal value</w:t>
            </w:r>
          </w:p>
        </w:tc>
        <w:tc>
          <w:tcPr>
            <w:tcW w:type="dxa" w:w="105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6"/>
                <w:szCs w:val="16"/>
              </w:rPr>
              <w:t xml:space="preserve">Rules as designed</w:t>
            </w:r>
          </w:p>
        </w:tc>
        <w:tc>
          <w:tcPr>
            <w:tcW w:type="dxa" w:w="105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6"/>
                <w:szCs w:val="16"/>
              </w:rPr>
              <w:t xml:space="preserve">Direction-only rule</w:t>
            </w:r>
          </w:p>
        </w:tc>
      </w:tr>
      <w:tr>
        <w:trPr>
          <w:cantSplit/>
        </w:trPr>
        <w:tc>
          <w:tcPr>
            <w:tcW w:type="dxa" w:w="9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14 days</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5 of 9</w:t>
            </w:r>
          </w:p>
        </w:tc>
        <w:tc>
          <w:tcPr>
            <w:tcW w:type="dxa" w:w="11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₹31.00</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1 of 3</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−₹58.00</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−₹27.00</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−₹88.00</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−₹58.00</w:t>
            </w:r>
          </w:p>
        </w:tc>
      </w:tr>
      <w:tr>
        <w:trPr>
          <w:cantSplit/>
        </w:trPr>
        <w:tc>
          <w:tcPr>
            <w:tcW w:type="dxa" w:w="93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6"/>
                <w:szCs w:val="16"/>
              </w:rPr>
              <w:t xml:space="preserve">30 days</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7 of 9</w:t>
            </w:r>
          </w:p>
        </w:tc>
        <w:tc>
          <w:tcPr>
            <w:tcW w:type="dxa" w:w="117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₹259.00</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1 of 3</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−₹89.00</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₹170.00</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−₹219.00</w:t>
            </w:r>
          </w:p>
        </w:tc>
        <w:tc>
          <w:tcPr>
            <w:tcW w:type="dxa" w:w="105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6"/>
                <w:szCs w:val="16"/>
              </w:rPr>
              <w:t xml:space="preserve">−₹89.00</w:t>
            </w:r>
          </w:p>
        </w:tc>
      </w:tr>
    </w:tbl>
    <w:p>
      <w:pPr>
        <w:spacing w:after="200" w:before="60" w:line="240"/>
      </w:pPr>
      <w:r>
        <w:rPr>
          <w:rFonts w:ascii="Times New Roman" w:cs="Times New Roman" w:eastAsia="Times New Roman" w:hAnsi="Times New Roman"/>
          <w:i/>
          <w:iCs/>
          <w:sz w:val="18"/>
          <w:szCs w:val="18"/>
        </w:rPr>
        <w:t xml:space="preserve">Source: Author’s analysis. Forward-buying value = price at the target date minus price at the origin when a rise above 5% is forecast; deferral value = price at the origin minus price at the target date when a fall below −5% is forecast. Rule results are relative to buying immediately.</w:t>
      </w:r>
    </w:p>
    <w:p>
      <w:pPr>
        <w:spacing w:after="120" w:before="0" w:line="360"/>
        <w:jc w:val="both"/>
      </w:pPr>
      <w:r>
        <w:rPr>
          <w:rFonts w:ascii="Times New Roman" w:cs="Times New Roman" w:eastAsia="Times New Roman" w:hAnsi="Times New Roman"/>
          <w:b/>
          <w:bCs/>
        </w:rPr>
        <w:t xml:space="preserve">Interpretation.</w:t>
      </w:r>
      <w:r>
        <w:rPr>
          <w:rFonts w:ascii="Times New Roman" w:cs="Times New Roman" w:eastAsia="Times New Roman" w:hAnsi="Times New Roman"/>
        </w:rPr>
        <w:t xml:space="preserve"> The 30-day forecast </w:t>
      </w:r>
      <w:r>
        <w:rPr>
          <w:rFonts w:ascii="Times New Roman" w:cs="Times New Roman" w:eastAsia="Times New Roman" w:hAnsi="Times New Roman"/>
          <w:b/>
          <w:bCs/>
        </w:rPr>
        <w:t xml:space="preserve">did carry an early warning</w:t>
      </w:r>
      <w:r>
        <w:rPr>
          <w:rFonts w:ascii="Times New Roman" w:cs="Times New Roman" w:eastAsia="Times New Roman" w:hAnsi="Times New Roman"/>
        </w:rPr>
        <w:t xml:space="preserve">. From 29 April 2023 it forecast rises of more than 100%, two months before the crisis, and 7 of its 9 rise signals were correct. A buyer who used each rise signal to lock in the next month’s price, for example through a supplier contract (tomatoes cannot be stored for 30 days), would have avoided about ₹259/kg of cost over the period; net of the two wrong late-June fall signals, the signal was worth about </w:t>
      </w:r>
      <w:r>
        <w:rPr>
          <w:rFonts w:ascii="Times New Roman" w:cs="Times New Roman" w:eastAsia="Times New Roman" w:hAnsi="Times New Roman"/>
          <w:b/>
          <w:bCs/>
        </w:rPr>
        <w:t xml:space="preserve">₹170/kg</w:t>
      </w:r>
      <w:r>
        <w:rPr>
          <w:rFonts w:ascii="Times New Roman" w:cs="Times New Roman" w:eastAsia="Times New Roman" w:hAnsi="Times New Roman"/>
        </w:rPr>
        <w:t xml:space="preserve">. The 14-day signal had no net value (−₹27/kg). The model learned the seasonal mid-year rise from the 2022 history, which explains why the longer horizon saw it.</w:t>
      </w:r>
    </w:p>
    <w:p>
      <w:pPr>
        <w:spacing w:after="120" w:before="0" w:line="360"/>
        <w:jc w:val="both"/>
      </w:pPr>
      <w:r>
        <w:rPr>
          <w:rFonts w:ascii="Times New Roman" w:cs="Times New Roman" w:eastAsia="Times New Roman" w:hAnsi="Times New Roman"/>
        </w:rPr>
        <w:t xml:space="preserve">The decision rules, however, destroyed this value. Because the risk score adds 1.2 × the forecast change, every large forecast rise produced a HIGH risk rating, and the rules then chose PARTIAL PROCUREMENT instead of PROCURE NOW; two late-June fall forecasts then triggered DELAY just before the peak. The result was −₹219/kg relative to buying immediately. A rule that simply bought on any forecast rise and deferred only on a forecast fall would have reduced the loss to −₹89/kg. </w:t>
      </w:r>
      <w:r>
        <w:rPr>
          <w:rFonts w:ascii="Times New Roman" w:cs="Times New Roman" w:eastAsia="Times New Roman" w:hAnsi="Times New Roman"/>
          <w:b/>
          <w:bCs/>
        </w:rPr>
        <w:t xml:space="preserve">Objective S04 is therefore answered with a qualified result</w:t>
      </w:r>
      <w:r>
        <w:rPr>
          <w:rFonts w:ascii="Times New Roman" w:cs="Times New Roman" w:eastAsia="Times New Roman" w:hAnsi="Times New Roman"/>
        </w:rPr>
        <w:t xml:space="preserve">: the 30-day forecast had economic value as an early-warning signal in this episode, but the rule design turned it into a loss. The decision layer must separate forecast direction from risk and add a shock override (for example, never delay when price has risen for two consecutive weeks). This is one episode, and forward-contract costs are not included, so the value is indicative rather than a savings estimate.</w:t>
      </w:r>
    </w:p>
    <w:p>
      <w:pPr>
        <w:pStyle w:val="Heading2"/>
        <w:keepNext/>
        <w:spacing w:after="120" w:before="280"/>
      </w:pPr>
      <w:r>
        <w:rPr>
          <w:rFonts w:ascii="Times New Roman" w:cs="Times New Roman" w:eastAsia="Times New Roman" w:hAnsi="Times New Roman"/>
          <w:b/>
          <w:bCs/>
          <w:sz w:val="26"/>
          <w:szCs w:val="26"/>
        </w:rPr>
        <w:t xml:space="preserve">4.15 Summary of Hypothesis Testing</w:t>
      </w:r>
    </w:p>
    <w:p>
      <w:pPr>
        <w:pStyle w:val="TableCaption"/>
        <w:keepNext/>
        <w:spacing w:after="80" w:before="200" w:line="276"/>
        <w:jc w:val="center"/>
      </w:pPr>
      <w:r>
        <w:rPr>
          <w:rFonts w:ascii="Times New Roman" w:cs="Times New Roman" w:eastAsia="Times New Roman" w:hAnsi="Times New Roman"/>
          <w:b/>
          <w:bCs/>
          <w:sz w:val="22"/>
          <w:szCs w:val="22"/>
        </w:rPr>
        <w:t xml:space="preserve">Table 4.22: </w:t>
      </w:r>
      <w:r>
        <w:rPr>
          <w:rFonts w:ascii="Times New Roman" w:cs="Times New Roman" w:eastAsia="Times New Roman" w:hAnsi="Times New Roman"/>
          <w:sz w:val="22"/>
          <w:szCs w:val="22"/>
        </w:rPr>
        <w:t xml:space="preserve">Results of hypothesis testing</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2694"/>
        <w:gridCol w:w="4163"/>
        <w:gridCol w:w="1591"/>
      </w:tblGrid>
      <w:tr>
        <w:trPr>
          <w:cantSplit/>
          <w:tblHeader/>
        </w:trPr>
        <w:tc>
          <w:tcPr>
            <w:tcW w:type="dxa" w:w="269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Hypothesis</w:t>
            </w:r>
          </w:p>
        </w:tc>
        <w:tc>
          <w:tcPr>
            <w:tcW w:type="dxa" w:w="416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Evidence</w:t>
            </w:r>
          </w:p>
        </w:tc>
        <w:tc>
          <w:tcPr>
            <w:tcW w:type="dxa" w:w="1591"/>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Result</w:t>
            </w:r>
          </w:p>
        </w:tc>
      </w:tr>
      <w:tr>
        <w:trPr>
          <w:cantSplit/>
        </w:trPr>
        <w:tc>
          <w:tcPr>
            <w:tcW w:type="dxa" w:w="269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H1: RF or XGBoost has lower walk-forward error than SARIMA</w:t>
            </w:r>
          </w:p>
        </w:tc>
        <w:tc>
          <w:tcPr>
            <w:tcW w:type="dxa" w:w="416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Statewide: SARIMA 7-day WF 10.46% vs RF 11.32% and XGBoost 13.98% (RF better for 4 of 8). Koyambedu: SARIMA WAPE 12.28% vs XGBoost 15.36% and RF 16.63%</w:t>
            </w:r>
          </w:p>
        </w:tc>
        <w:tc>
          <w:tcPr>
            <w:tcW w:type="dxa" w:w="15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Not supported</w:t>
            </w:r>
          </w:p>
        </w:tc>
      </w:tr>
      <w:tr>
        <w:trPr>
          <w:cantSplit/>
        </w:trPr>
        <w:tc>
          <w:tcPr>
            <w:tcW w:type="dxa" w:w="269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H2: NE Monsoon rainfall anomaly significantly predicts price movement</w:t>
            </w:r>
          </w:p>
        </w:tc>
        <w:tc>
          <w:tcPr>
            <w:tcW w:type="dxa" w:w="416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No β₁ significant (p = 0.262–0.921); SHAP rank of the NE Monsoon deviation index 12th–15th of 16; weather context gives no significant gain (DM p = 0.10–0.98)</w:t>
            </w:r>
          </w:p>
        </w:tc>
        <w:tc>
          <w:tcPr>
            <w:tcW w:type="dxa" w:w="15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Not supported (short weather record)</w:t>
            </w:r>
          </w:p>
        </w:tc>
      </w:tr>
      <w:tr>
        <w:trPr>
          <w:cantSplit/>
        </w:trPr>
        <w:tc>
          <w:tcPr>
            <w:tcW w:type="dxa" w:w="269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H0: No model beats the last observed price</w:t>
            </w:r>
          </w:p>
        </w:tc>
        <w:tc>
          <w:tcPr>
            <w:tcW w:type="dxa" w:w="416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Statewide naive 4.20% vs best model 11.32%; Koyambedu naive WAPE 11.88% lowest; B2 naive lowest at all horizons</w:t>
            </w:r>
          </w:p>
        </w:tc>
        <w:tc>
          <w:tcPr>
            <w:tcW w:type="dxa" w:w="15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Not rejected</w:t>
            </w:r>
          </w:p>
        </w:tc>
      </w:tr>
    </w:tbl>
    <w:p>
      <w:pPr>
        <w:spacing w:after="200" w:before="60" w:line="240"/>
      </w:pPr>
      <w:r>
        <w:rPr>
          <w:rFonts w:ascii="Times New Roman" w:cs="Times New Roman" w:eastAsia="Times New Roman" w:hAnsi="Times New Roman"/>
          <w:i/>
          <w:iCs/>
          <w:sz w:val="18"/>
          <w:szCs w:val="18"/>
        </w:rPr>
        <w:t xml:space="preserve">Source: Sections 4.5–4.11.</w:t>
      </w:r>
    </w:p>
    <w:p>
      <w:pPr>
        <w:pStyle w:val="Heading2"/>
        <w:keepNext/>
        <w:spacing w:after="120" w:before="280"/>
      </w:pPr>
      <w:r>
        <w:rPr>
          <w:rFonts w:ascii="Times New Roman" w:cs="Times New Roman" w:eastAsia="Times New Roman" w:hAnsi="Times New Roman"/>
          <w:b/>
          <w:bCs/>
          <w:sz w:val="26"/>
          <w:szCs w:val="26"/>
        </w:rPr>
        <w:t xml:space="preserve">4.16 Status of Study Objectives</w:t>
      </w:r>
    </w:p>
    <w:p>
      <w:pPr>
        <w:pStyle w:val="TableCaption"/>
        <w:keepNext/>
        <w:spacing w:after="80" w:before="200" w:line="276"/>
        <w:jc w:val="center"/>
      </w:pPr>
      <w:r>
        <w:rPr>
          <w:rFonts w:ascii="Times New Roman" w:cs="Times New Roman" w:eastAsia="Times New Roman" w:hAnsi="Times New Roman"/>
          <w:b/>
          <w:bCs/>
          <w:sz w:val="22"/>
          <w:szCs w:val="22"/>
        </w:rPr>
        <w:t xml:space="preserve">Table 4.23: </w:t>
      </w:r>
      <w:r>
        <w:rPr>
          <w:rFonts w:ascii="Times New Roman" w:cs="Times New Roman" w:eastAsia="Times New Roman" w:hAnsi="Times New Roman"/>
          <w:sz w:val="22"/>
          <w:szCs w:val="22"/>
        </w:rPr>
        <w:t xml:space="preserve">Objective-by-objective status</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2360"/>
        <w:gridCol w:w="4100"/>
        <w:gridCol w:w="1988"/>
      </w:tblGrid>
      <w:tr>
        <w:trPr>
          <w:cantSplit/>
          <w:tblHeader/>
        </w:trPr>
        <w:tc>
          <w:tcPr>
            <w:tcW w:type="dxa" w:w="236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Objective</w:t>
            </w:r>
          </w:p>
        </w:tc>
        <w:tc>
          <w:tcPr>
            <w:tcW w:type="dxa" w:w="41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What was done</w:t>
            </w:r>
          </w:p>
        </w:tc>
        <w:tc>
          <w:tcPr>
            <w:tcW w:type="dxa" w:w="198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Status</w:t>
            </w:r>
          </w:p>
        </w:tc>
      </w:tr>
      <w:tr>
        <w:trPr>
          <w:cantSplit/>
        </w:trPr>
        <w:tc>
          <w:tcPr>
            <w:tcW w:type="dxa" w:w="23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S01 Model comparison at 7/14/30 days</w:t>
            </w:r>
          </w:p>
        </w:tc>
        <w:tc>
          <w:tcPr>
            <w:tcW w:type="dxa" w:w="4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Protocols B1 (7 origins) and B2 (4 origins) on Koyambedu with naive benchmarks; statewide holdout plus horizon check</w:t>
            </w:r>
          </w:p>
        </w:tc>
        <w:tc>
          <w:tcPr>
            <w:tcW w:type="dxa" w:w="198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Achieved; result negative for complex models</w:t>
            </w:r>
          </w:p>
        </w:tc>
      </w:tr>
      <w:tr>
        <w:trPr>
          <w:cantSplit/>
        </w:trPr>
        <w:tc>
          <w:tcPr>
            <w:tcW w:type="dxa" w:w="23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S02 NE Monsoon significance</w:t>
            </w:r>
          </w:p>
        </w:tc>
        <w:tc>
          <w:tcPr>
            <w:tcW w:type="dxa" w:w="4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HAC regressions for 8 series; SHAP ranking of the NE Monsoon deviation index with beeswarm and dependence plots</w:t>
            </w:r>
          </w:p>
        </w:tc>
        <w:tc>
          <w:tcPr>
            <w:tcW w:type="dxa" w:w="198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Achieved; effect not detected</w:t>
            </w:r>
          </w:p>
        </w:tc>
      </w:tr>
      <w:tr>
        <w:trPr>
          <w:cantSplit/>
        </w:trPr>
        <w:tc>
          <w:tcPr>
            <w:tcW w:type="dxa" w:w="23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S03 Four-agent AgriSight pipeline</w:t>
            </w:r>
          </w:p>
        </w:tc>
        <w:tc>
          <w:tcPr>
            <w:tcW w:type="dxa" w:w="4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Deterministic agent pipeline and four-role pipeline with freshness gate; nine-page dashboard; live news, weather and local language-model writer implemented</w:t>
            </w:r>
          </w:p>
        </w:tc>
        <w:tc>
          <w:tcPr>
            <w:tcW w:type="dxa" w:w="198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Achieved as prototype; live run pending</w:t>
            </w:r>
          </w:p>
        </w:tc>
      </w:tr>
      <w:tr>
        <w:trPr>
          <w:cantSplit/>
        </w:trPr>
        <w:tc>
          <w:tcPr>
            <w:tcW w:type="dxa" w:w="23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S04 2023 tomato procurement case</w:t>
            </w:r>
          </w:p>
        </w:tc>
        <w:tc>
          <w:tcPr>
            <w:tcW w:type="dxa" w:w="4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13-origin scenario with the 30-day forecast specified in the proposal, and a 14-day comparison</w:t>
            </w:r>
          </w:p>
        </w:tc>
        <w:tc>
          <w:tcPr>
            <w:tcW w:type="dxa" w:w="198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Achieved; 30-day signal worth ₹170/kg net, but the rules turned it into a ₹219/kg loss</w:t>
            </w:r>
          </w:p>
        </w:tc>
      </w:tr>
      <w:tr>
        <w:trPr>
          <w:cantSplit/>
        </w:trPr>
        <w:tc>
          <w:tcPr>
            <w:tcW w:type="dxa" w:w="23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Deliverable: delta-accuracy test</w:t>
            </w:r>
          </w:p>
        </w:tc>
        <w:tc>
          <w:tcPr>
            <w:tcW w:type="dxa" w:w="4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XGBoost with vs without weather context, six-month holdout, DM tests</w:t>
            </w:r>
          </w:p>
        </w:tc>
        <w:tc>
          <w:tcPr>
            <w:tcW w:type="dxa" w:w="198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Achieved; no significant gain</w:t>
            </w:r>
          </w:p>
        </w:tc>
      </w:tr>
      <w:tr>
        <w:trPr>
          <w:cantSplit/>
        </w:trPr>
        <w:tc>
          <w:tcPr>
            <w:tcW w:type="dxa" w:w="23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Primary: useful procurement decision support</w:t>
            </w:r>
          </w:p>
        </w:tc>
        <w:tc>
          <w:tcPr>
            <w:tcW w:type="dxa" w:w="4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Backtest: 30.4% of cases better than buy-now; unstable thresholds; no shock override</w:t>
            </w:r>
          </w:p>
        </w:tc>
        <w:tc>
          <w:tcPr>
            <w:tcW w:type="dxa" w:w="198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Not yet established</w:t>
            </w:r>
          </w:p>
        </w:tc>
      </w:tr>
    </w:tbl>
    <w:p>
      <w:pPr>
        <w:spacing w:after="200" w:before="60" w:line="240"/>
      </w:pPr>
      <w:r>
        <w:rPr>
          <w:rFonts w:ascii="Times New Roman" w:cs="Times New Roman" w:eastAsia="Times New Roman" w:hAnsi="Times New Roman"/>
          <w:i/>
          <w:iCs/>
          <w:sz w:val="18"/>
          <w:szCs w:val="18"/>
        </w:rPr>
        <w:t xml:space="preserve">Source: Chapter 4.</w:t>
      </w:r>
    </w:p>
    <w:p>
      <w:pPr>
        <w:pageBreakBefore/>
        <w:spacing w:after="0" w:before="240"/>
        <w:jc w:val="center"/>
      </w:pPr>
      <w:r>
        <w:rPr>
          <w:rFonts w:ascii="Times New Roman" w:cs="Times New Roman" w:eastAsia="Times New Roman" w:hAnsi="Times New Roman"/>
          <w:b/>
          <w:bCs/>
          <w:sz w:val="28"/>
          <w:szCs w:val="28"/>
        </w:rPr>
        <w:t xml:space="preserve">CHAPTER 5</w:t>
      </w:r>
    </w:p>
    <w:p>
      <w:pPr>
        <w:pStyle w:val="Heading1"/>
        <w:spacing w:after="360" w:before="120"/>
        <w:jc w:val="center"/>
      </w:pPr>
      <w:r>
        <w:rPr>
          <w:rFonts w:ascii="Times New Roman" w:cs="Times New Roman" w:eastAsia="Times New Roman" w:hAnsi="Times New Roman"/>
          <w:b/>
          <w:bCs/>
          <w:sz w:val="28"/>
          <w:szCs w:val="28"/>
        </w:rPr>
        <w:t xml:space="preserve">FINDINGS, SUGGESTIONS AND CONCLUSION</w:t>
      </w:r>
    </w:p>
    <w:p>
      <w:pPr>
        <w:pStyle w:val="Heading2"/>
        <w:keepNext/>
        <w:spacing w:after="120" w:before="280"/>
      </w:pPr>
      <w:r>
        <w:rPr>
          <w:rFonts w:ascii="Times New Roman" w:cs="Times New Roman" w:eastAsia="Times New Roman" w:hAnsi="Times New Roman"/>
          <w:b/>
          <w:bCs/>
          <w:sz w:val="26"/>
          <w:szCs w:val="26"/>
        </w:rPr>
        <w:t xml:space="preserve">5.1 Summary of Findings</w:t>
      </w:r>
    </w:p>
    <w:p>
      <w:pPr>
        <w:pStyle w:val="Heading3"/>
        <w:keepNext/>
        <w:spacing w:after="100" w:before="200"/>
      </w:pPr>
      <w:r>
        <w:rPr>
          <w:rFonts w:ascii="Times New Roman" w:cs="Times New Roman" w:eastAsia="Times New Roman" w:hAnsi="Times New Roman"/>
          <w:b/>
          <w:bCs/>
          <w:i/>
          <w:iCs/>
          <w:sz w:val="24"/>
          <w:szCs w:val="24"/>
        </w:rPr>
        <w:t xml:space="preserve">5.1.1 Data and price behaviour</w:t>
      </w:r>
    </w:p>
    <w:p>
      <w:pPr>
        <w:pStyle w:val="ListParagraph"/>
        <w:numPr>
          <w:ilvl w:val="0"/>
          <w:numId w:val="4"/>
        </w:numPr>
        <w:spacing w:after="60" w:line="360"/>
        <w:jc w:val="both"/>
      </w:pPr>
      <w:r>
        <w:rPr>
          <w:rFonts w:ascii="Times New Roman" w:cs="Times New Roman" w:eastAsia="Times New Roman" w:hAnsi="Times New Roman"/>
        </w:rPr>
        <w:t xml:space="preserve">The statewide extract (414,388 records, 451 markets) is complete but dominated by Uzhavar Sandhai (90.7% of records), so its daily median approximates a farmers’-market price rather than a bulk wholesale price.</w:t>
      </w:r>
    </w:p>
    <w:p>
      <w:pPr>
        <w:pStyle w:val="ListParagraph"/>
        <w:numPr>
          <w:ilvl w:val="0"/>
          <w:numId w:val="4"/>
        </w:numPr>
        <w:spacing w:after="60" w:line="360"/>
        <w:jc w:val="both"/>
      </w:pPr>
      <w:r>
        <w:rPr>
          <w:rFonts w:ascii="Times New Roman" w:cs="Times New Roman" w:eastAsia="Times New Roman" w:hAnsi="Times New Roman"/>
        </w:rPr>
        <w:t xml:space="preserve">About 2.7% of statewide records, concentrated in June–July 2024, carry values below ₹300 per quintal that are consistent with per-kg entry; three extreme records above ₹100,000 were removed.</w:t>
      </w:r>
    </w:p>
    <w:p>
      <w:pPr>
        <w:pStyle w:val="ListParagraph"/>
        <w:numPr>
          <w:ilvl w:val="0"/>
          <w:numId w:val="4"/>
        </w:numPr>
        <w:spacing w:after="60" w:line="360"/>
        <w:jc w:val="both"/>
      </w:pPr>
      <w:r>
        <w:rPr>
          <w:rFonts w:ascii="Times New Roman" w:cs="Times New Roman" w:eastAsia="Times New Roman" w:hAnsi="Times New Roman"/>
        </w:rPr>
        <w:t xml:space="preserve">Drumstick and Tomato are the most volatile vegetables in both sources (statewide CV 62% and 48%; Koyambedu CV 51% and 59%). Prices are generally lowest in March–May and highest from August to January.</w:t>
      </w:r>
    </w:p>
    <w:p>
      <w:pPr>
        <w:pStyle w:val="ListParagraph"/>
        <w:numPr>
          <w:ilvl w:val="0"/>
          <w:numId w:val="4"/>
        </w:numPr>
        <w:spacing w:after="60" w:line="360"/>
        <w:jc w:val="both"/>
      </w:pPr>
      <w:r>
        <w:rPr>
          <w:rFonts w:ascii="Times New Roman" w:cs="Times New Roman" w:eastAsia="Times New Roman" w:hAnsi="Times New Roman"/>
        </w:rPr>
        <w:t xml:space="preserve">All eight statewide series are stationary (ADF p &lt; 0.002), and Brinjal, Cabbage, Carrot and Potato move closely together (r = 0.90–0.93).</w:t>
      </w:r>
    </w:p>
    <w:p>
      <w:pPr>
        <w:pStyle w:val="Heading3"/>
        <w:keepNext/>
        <w:spacing w:after="100" w:before="200"/>
      </w:pPr>
      <w:r>
        <w:rPr>
          <w:rFonts w:ascii="Times New Roman" w:cs="Times New Roman" w:eastAsia="Times New Roman" w:hAnsi="Times New Roman"/>
          <w:b/>
          <w:bCs/>
          <w:i/>
          <w:iCs/>
          <w:sz w:val="24"/>
          <w:szCs w:val="24"/>
        </w:rPr>
        <w:t xml:space="preserve">5.1.2 Forecasting</w:t>
      </w:r>
    </w:p>
    <w:p>
      <w:pPr>
        <w:pStyle w:val="ListParagraph"/>
        <w:numPr>
          <w:ilvl w:val="0"/>
          <w:numId w:val="4"/>
        </w:numPr>
        <w:spacing w:after="60" w:line="360"/>
        <w:jc w:val="both"/>
      </w:pPr>
      <w:r>
        <w:rPr>
          <w:rFonts w:ascii="Times New Roman" w:cs="Times New Roman" w:eastAsia="Times New Roman" w:hAnsi="Times New Roman"/>
        </w:rPr>
        <w:t xml:space="preserve">Statewide 90-day holdout: SARIMA refitted weekly 10.46% MAPE; Random Forest 11.32%; XGBoost 13.98%; Prophet 19.33%; static SARIMA 32.60%.</w:t>
      </w:r>
    </w:p>
    <w:p>
      <w:pPr>
        <w:pStyle w:val="ListParagraph"/>
        <w:numPr>
          <w:ilvl w:val="0"/>
          <w:numId w:val="4"/>
        </w:numPr>
        <w:spacing w:after="60" w:line="360"/>
        <w:jc w:val="both"/>
      </w:pPr>
      <w:r>
        <w:rPr>
          <w:rFonts w:ascii="Times New Roman" w:cs="Times New Roman" w:eastAsia="Times New Roman" w:hAnsi="Times New Roman"/>
        </w:rPr>
        <w:t xml:space="preserve">Those model scores are next-day scores. On the same test window, yesterday’s price alone gives 4.20% MAPE and beats every model for every commodity; a genuine seven-day-ahead XGBoost gives 27.09%.</w:t>
      </w:r>
    </w:p>
    <w:p>
      <w:pPr>
        <w:pStyle w:val="ListParagraph"/>
        <w:numPr>
          <w:ilvl w:val="0"/>
          <w:numId w:val="4"/>
        </w:numPr>
        <w:spacing w:after="60" w:line="360"/>
        <w:jc w:val="both"/>
      </w:pPr>
      <w:r>
        <w:rPr>
          <w:rFonts w:ascii="Times New Roman" w:cs="Times New Roman" w:eastAsia="Times New Roman" w:hAnsi="Times New Roman"/>
        </w:rPr>
        <w:t xml:space="preserve">SHAP shows that the fitted models rely mainly on recent price level: the 52-week position and each model’s own previous-day price. Weather and festival features contribute little.</w:t>
      </w:r>
    </w:p>
    <w:p>
      <w:pPr>
        <w:pStyle w:val="ListParagraph"/>
        <w:numPr>
          <w:ilvl w:val="0"/>
          <w:numId w:val="4"/>
        </w:numPr>
        <w:spacing w:after="60" w:line="360"/>
        <w:jc w:val="both"/>
      </w:pPr>
      <w:r>
        <w:rPr>
          <w:rFonts w:ascii="Times New Roman" w:cs="Times New Roman" w:eastAsia="Times New Roman" w:hAnsi="Times New Roman"/>
        </w:rPr>
        <w:t xml:space="preserve">Koyambedu, seven origins, 7–30 days: the last observed price has the lowest WAPE (11.88%), then SARIMA (12.28%); XGBoost (15.36%), Random Forest (16.63%) and Prophet (23.82%) are worse. A second four-origin evaluation gives the same ranking.</w:t>
      </w:r>
    </w:p>
    <w:p>
      <w:pPr>
        <w:pStyle w:val="ListParagraph"/>
        <w:numPr>
          <w:ilvl w:val="0"/>
          <w:numId w:val="4"/>
        </w:numPr>
        <w:spacing w:after="60" w:line="360"/>
        <w:jc w:val="both"/>
      </w:pPr>
      <w:r>
        <w:rPr>
          <w:rFonts w:ascii="Times New Roman" w:cs="Times New Roman" w:eastAsia="Times New Roman" w:hAnsi="Times New Roman"/>
        </w:rPr>
        <w:t xml:space="preserve">The tree-model error presented at the second review (6.28%) came from an earlier feature build, could not be reproduced and is superseded.</w:t>
      </w:r>
    </w:p>
    <w:p>
      <w:pPr>
        <w:pStyle w:val="Heading3"/>
        <w:keepNext/>
        <w:spacing w:after="100" w:before="200"/>
      </w:pPr>
      <w:r>
        <w:rPr>
          <w:rFonts w:ascii="Times New Roman" w:cs="Times New Roman" w:eastAsia="Times New Roman" w:hAnsi="Times New Roman"/>
          <w:b/>
          <w:bCs/>
          <w:i/>
          <w:iCs/>
          <w:sz w:val="24"/>
          <w:szCs w:val="24"/>
        </w:rPr>
        <w:t xml:space="preserve">5.1.3 Monsoon, decision layer and procurement</w:t>
      </w:r>
    </w:p>
    <w:p>
      <w:pPr>
        <w:pStyle w:val="ListParagraph"/>
        <w:numPr>
          <w:ilvl w:val="0"/>
          <w:numId w:val="4"/>
        </w:numPr>
        <w:spacing w:after="60" w:line="360"/>
        <w:jc w:val="both"/>
      </w:pPr>
      <w:r>
        <w:rPr>
          <w:rFonts w:ascii="Times New Roman" w:cs="Times New Roman" w:eastAsia="Times New Roman" w:hAnsi="Times New Roman"/>
        </w:rPr>
        <w:t xml:space="preserve">No Northeast Monsoon rainfall-anomaly effect was detected (p = 0.26–0.92). Prior seven-day momentum is significantly negative for all eight vegetables, indicating short-run mean reversion.</w:t>
      </w:r>
    </w:p>
    <w:p>
      <w:pPr>
        <w:pStyle w:val="ListParagraph"/>
        <w:numPr>
          <w:ilvl w:val="0"/>
          <w:numId w:val="4"/>
        </w:numPr>
        <w:spacing w:after="60" w:line="360"/>
        <w:jc w:val="both"/>
      </w:pPr>
      <w:r>
        <w:rPr>
          <w:rFonts w:ascii="Times New Roman" w:cs="Times New Roman" w:eastAsia="Times New Roman" w:hAnsi="Times New Roman"/>
        </w:rPr>
        <w:t xml:space="preserve">The four-agent pipeline works end to end and the freshness gate correctly abstained on 181-day-old statewide data. The deterministic agent pipeline was found to produce identical 7- and 14-day forecasts and contradictory action and signal labels. The live weather and news components and the local language-model writer, with a safeguard against altered prices, are implemented; their live run is pending.</w:t>
      </w:r>
    </w:p>
    <w:p>
      <w:pPr>
        <w:pStyle w:val="ListParagraph"/>
        <w:numPr>
          <w:ilvl w:val="0"/>
          <w:numId w:val="4"/>
        </w:numPr>
        <w:spacing w:after="60" w:line="360"/>
        <w:jc w:val="both"/>
      </w:pPr>
      <w:r>
        <w:rPr>
          <w:rFonts w:ascii="Times New Roman" w:cs="Times New Roman" w:eastAsia="Times New Roman" w:hAnsi="Times New Roman"/>
        </w:rPr>
        <w:t xml:space="preserve">In 56 backtest cases the advice beat buying immediately in 30.4% of cases, with a mean gain of ₹66 per 100 kg lot, almost entirely from DELAY decisions. 14% of actions changed under a library-version change.</w:t>
      </w:r>
    </w:p>
    <w:p>
      <w:pPr>
        <w:pStyle w:val="ListParagraph"/>
        <w:numPr>
          <w:ilvl w:val="0"/>
          <w:numId w:val="4"/>
        </w:numPr>
        <w:spacing w:after="60" w:line="360"/>
        <w:jc w:val="both"/>
      </w:pPr>
      <w:r>
        <w:rPr>
          <w:rFonts w:ascii="Times New Roman" w:cs="Times New Roman" w:eastAsia="Times New Roman" w:hAnsi="Times New Roman"/>
        </w:rPr>
        <w:t xml:space="preserve">In the 2023 tomato episode the 14-day advice recommended delay on 10, 17 and 24 June, just before prices rose to ₹70–97/kg (cumulative −₹120/kg against buying immediately).</w:t>
      </w:r>
    </w:p>
    <w:p>
      <w:pPr>
        <w:pStyle w:val="ListParagraph"/>
        <w:numPr>
          <w:ilvl w:val="0"/>
          <w:numId w:val="4"/>
        </w:numPr>
        <w:spacing w:after="60" w:line="360"/>
        <w:jc w:val="both"/>
      </w:pPr>
      <w:r>
        <w:rPr>
          <w:rFonts w:ascii="Times New Roman" w:cs="Times New Roman" w:eastAsia="Times New Roman" w:hAnsi="Times New Roman"/>
        </w:rPr>
        <w:t xml:space="preserve">The 30-day forecast specified in the proposal gave an early warning: it signalled a rise of more than 100% from 29 April 2023 and was right at 7 of 9 rise signals, a signal worth about ₹170/kg net to a forward buyer. The rules rated these large rises as high-risk, downgraded them to partial purchases and then delayed in late June, turning the signal into a −₹219/kg result.</w:t>
      </w:r>
    </w:p>
    <w:p>
      <w:pPr>
        <w:pStyle w:val="ListParagraph"/>
        <w:numPr>
          <w:ilvl w:val="0"/>
          <w:numId w:val="4"/>
        </w:numPr>
        <w:spacing w:after="60" w:line="360"/>
        <w:jc w:val="both"/>
      </w:pPr>
      <w:r>
        <w:rPr>
          <w:rFonts w:ascii="Times New Roman" w:cs="Times New Roman" w:eastAsia="Times New Roman" w:hAnsi="Times New Roman"/>
        </w:rPr>
        <w:t xml:space="preserve">SHAP ranked the Northeast Monsoon deviation index 12th to 15th of 16 features, far behind the price at the forecast origin (23–51% of attribution), and adding weather context to XGBoost gave no significant gain on a six-month holdout (DM p = 0.10–0.98).</w:t>
      </w:r>
    </w:p>
    <w:p>
      <w:pPr>
        <w:pStyle w:val="Heading2"/>
        <w:keepNext/>
        <w:spacing w:after="120" w:before="280"/>
      </w:pPr>
      <w:r>
        <w:rPr>
          <w:rFonts w:ascii="Times New Roman" w:cs="Times New Roman" w:eastAsia="Times New Roman" w:hAnsi="Times New Roman"/>
          <w:b/>
          <w:bCs/>
          <w:sz w:val="26"/>
          <w:szCs w:val="26"/>
        </w:rPr>
        <w:t xml:space="preserve">5.2 Results at a Glance and Contributions of the Study</w:t>
      </w:r>
    </w:p>
    <w:p>
      <w:pPr>
        <w:spacing w:after="120" w:before="0" w:line="360"/>
        <w:jc w:val="both"/>
      </w:pPr>
      <w:r>
        <w:rPr>
          <w:rFonts w:ascii="Times New Roman" w:cs="Times New Roman" w:eastAsia="Times New Roman" w:hAnsi="Times New Roman"/>
        </w:rPr>
        <w:t xml:space="preserve">A negative result means that the evidence did not support a hypothesis. It is not a failure of the study. Each objective was tested with a defined, reproducible procedure, and each produced a clear answer. Table 5.1 summarises what was expected, what was found and what the finding means for a procurement buyer.</w:t>
      </w:r>
    </w:p>
    <w:p>
      <w:pPr>
        <w:pStyle w:val="TableCaption"/>
        <w:keepNext/>
        <w:spacing w:after="80" w:before="200" w:line="276"/>
        <w:jc w:val="center"/>
      </w:pPr>
      <w:r>
        <w:rPr>
          <w:rFonts w:ascii="Times New Roman" w:cs="Times New Roman" w:eastAsia="Times New Roman" w:hAnsi="Times New Roman"/>
          <w:b/>
          <w:bCs/>
          <w:sz w:val="22"/>
          <w:szCs w:val="22"/>
        </w:rPr>
        <w:t xml:space="preserve">Table 5.1: </w:t>
      </w:r>
      <w:r>
        <w:rPr>
          <w:rFonts w:ascii="Times New Roman" w:cs="Times New Roman" w:eastAsia="Times New Roman" w:hAnsi="Times New Roman"/>
          <w:sz w:val="22"/>
          <w:szCs w:val="22"/>
        </w:rPr>
        <w:t xml:space="preserve">Results at a glance: expectation, finding and implication</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2172"/>
        <w:gridCol w:w="965"/>
        <w:gridCol w:w="2896"/>
        <w:gridCol w:w="2415"/>
      </w:tblGrid>
      <w:tr>
        <w:trPr>
          <w:cantSplit/>
          <w:tblHeader/>
        </w:trPr>
        <w:tc>
          <w:tcPr>
            <w:tcW w:type="dxa" w:w="217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Objective / hypothesis</w:t>
            </w:r>
          </w:p>
        </w:tc>
        <w:tc>
          <w:tcPr>
            <w:tcW w:type="dxa" w:w="96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Expected</w:t>
            </w:r>
          </w:p>
        </w:tc>
        <w:tc>
          <w:tcPr>
            <w:tcW w:type="dxa" w:w="289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Finding</w:t>
            </w:r>
          </w:p>
        </w:tc>
        <w:tc>
          <w:tcPr>
            <w:tcW w:type="dxa" w:w="241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Implication for buyers</w:t>
            </w:r>
          </w:p>
        </w:tc>
      </w:tr>
      <w:tr>
        <w:trPr>
          <w:cantSplit/>
        </w:trPr>
        <w:tc>
          <w:tcPr>
            <w:tcW w:type="dxa" w:w="217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S01 / H1: ML models beat SARIMA and naive forecasts</w:t>
            </w:r>
          </w:p>
        </w:tc>
        <w:tc>
          <w:tcPr>
            <w:tcW w:type="dxa" w:w="96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Yes</w:t>
            </w:r>
          </w:p>
        </w:tc>
        <w:tc>
          <w:tcPr>
            <w:tcW w:type="dxa" w:w="2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No. Yesterday’s price (4.20% statewide) and the last observed price (11.88% WAPE, Koyambedu) were best</w:t>
            </w:r>
          </w:p>
        </w:tc>
        <w:tc>
          <w:tcPr>
            <w:tcW w:type="dxa" w:w="241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Use the naive forecast as the benchmark any tool must beat</w:t>
            </w:r>
          </w:p>
        </w:tc>
      </w:tr>
      <w:tr>
        <w:trPr>
          <w:cantSplit/>
        </w:trPr>
        <w:tc>
          <w:tcPr>
            <w:tcW w:type="dxa" w:w="217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S02 / H2: NE Monsoon rainfall predicts price movement</w:t>
            </w:r>
          </w:p>
        </w:tc>
        <w:tc>
          <w:tcPr>
            <w:tcW w:type="dxa" w:w="96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Yes</w:t>
            </w:r>
          </w:p>
        </w:tc>
        <w:tc>
          <w:tcPr>
            <w:tcW w:type="dxa" w:w="2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No significant effect (p = 0.26–0.92); SHAP rank 12th–15th of 16; no gain from weather context; short-run mean reversion significant for all 8 vegetables</w:t>
            </w:r>
          </w:p>
        </w:tc>
        <w:tc>
          <w:tcPr>
            <w:tcW w:type="dxa" w:w="241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Expect partial reversal after sharp weekly moves, except in supply shocks</w:t>
            </w:r>
          </w:p>
        </w:tc>
      </w:tr>
      <w:tr>
        <w:trPr>
          <w:cantSplit/>
        </w:trPr>
        <w:tc>
          <w:tcPr>
            <w:tcW w:type="dxa" w:w="217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S03: four-agent AgriSight pipeline</w:t>
            </w:r>
          </w:p>
        </w:tc>
        <w:tc>
          <w:tcPr>
            <w:tcW w:type="dxa" w:w="96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Working prototype</w:t>
            </w:r>
          </w:p>
        </w:tc>
        <w:tc>
          <w:tcPr>
            <w:tcW w:type="dxa" w:w="2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Achieved: end-to-end pipeline, freshness gate, 9-page dashboard, safeguards on the AI writer</w:t>
            </w:r>
          </w:p>
        </w:tc>
        <w:tc>
          <w:tcPr>
            <w:tcW w:type="dxa" w:w="241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A transparent monitoring and evaluation platform</w:t>
            </w:r>
          </w:p>
        </w:tc>
      </w:tr>
      <w:tr>
        <w:trPr>
          <w:cantSplit/>
        </w:trPr>
        <w:tc>
          <w:tcPr>
            <w:tcW w:type="dxa" w:w="217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S04: value of the 30-day forecast before July 2023</w:t>
            </w:r>
          </w:p>
        </w:tc>
        <w:tc>
          <w:tcPr>
            <w:tcW w:type="dxa" w:w="96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Savings</w:t>
            </w:r>
          </w:p>
        </w:tc>
        <w:tc>
          <w:tcPr>
            <w:tcW w:type="dxa" w:w="2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Qualified. The 30-day signal warned from 29 April and was worth about ₹170/kg net, but the rules turned it into a −₹219/kg loss</w:t>
            </w:r>
          </w:p>
        </w:tc>
        <w:tc>
          <w:tcPr>
            <w:tcW w:type="dxa" w:w="241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Use the 30-day forecast as an early warning; redesign the rules before acting on it</w:t>
            </w:r>
          </w:p>
        </w:tc>
      </w:tr>
      <w:tr>
        <w:trPr>
          <w:cantSplit/>
        </w:trPr>
        <w:tc>
          <w:tcPr>
            <w:tcW w:type="dxa" w:w="217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Benchmark hypothesis H0: no model beats the last price</w:t>
            </w:r>
          </w:p>
        </w:tc>
        <w:tc>
          <w:tcPr>
            <w:tcW w:type="dxa" w:w="96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7"/>
                <w:szCs w:val="17"/>
              </w:rPr>
              <w:t xml:space="preserve">(Implicit)</w:t>
            </w:r>
          </w:p>
        </w:tc>
        <w:tc>
          <w:tcPr>
            <w:tcW w:type="dxa" w:w="28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Not rejected on either dataset or any horizon</w:t>
            </w:r>
          </w:p>
        </w:tc>
        <w:tc>
          <w:tcPr>
            <w:tcW w:type="dxa" w:w="241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Invest in supply data and decision rules, not more complex price-only models</w:t>
            </w:r>
          </w:p>
        </w:tc>
      </w:tr>
    </w:tbl>
    <w:p>
      <w:pPr>
        <w:spacing w:after="200" w:before="60" w:line="240"/>
      </w:pPr>
      <w:r>
        <w:rPr>
          <w:rFonts w:ascii="Times New Roman" w:cs="Times New Roman" w:eastAsia="Times New Roman" w:hAnsi="Times New Roman"/>
          <w:i/>
          <w:iCs/>
          <w:sz w:val="18"/>
          <w:szCs w:val="18"/>
        </w:rPr>
        <w:t xml:space="preserve">Source: Chapter 4.</w:t>
      </w:r>
    </w:p>
    <w:p>
      <w:pPr>
        <w:spacing w:after="120" w:before="0" w:line="360"/>
        <w:jc w:val="both"/>
      </w:pPr>
      <w:r>
        <w:rPr>
          <w:rFonts w:ascii="Times New Roman" w:cs="Times New Roman" w:eastAsia="Times New Roman" w:hAnsi="Times New Roman"/>
        </w:rPr>
        <w:t xml:space="preserve">The study makes six contributions:</w:t>
      </w:r>
    </w:p>
    <w:p>
      <w:pPr>
        <w:pStyle w:val="ListParagraph"/>
        <w:numPr>
          <w:ilvl w:val="0"/>
          <w:numId w:val="5"/>
        </w:numPr>
        <w:spacing w:after="60" w:line="360"/>
        <w:jc w:val="both"/>
      </w:pPr>
      <w:r>
        <w:rPr>
          <w:rFonts w:ascii="Times New Roman" w:cs="Times New Roman" w:eastAsia="Times New Roman" w:hAnsi="Times New Roman"/>
          <w:b/>
          <w:bCs/>
        </w:rPr>
        <w:t xml:space="preserve">A rigorous benchmark comparison.</w:t>
      </w:r>
      <w:r>
        <w:rPr>
          <w:rFonts w:ascii="Times New Roman" w:cs="Times New Roman" w:eastAsia="Times New Roman" w:hAnsi="Times New Roman"/>
        </w:rPr>
        <w:t xml:space="preserve"> Four model families were compared with naive baselines on two independent price sources, at matched origins and 7-, 14- and 30-day horizons, which is the comparison objective S01 required and which much of the applied literature omits.</w:t>
      </w:r>
    </w:p>
    <w:p>
      <w:pPr>
        <w:pStyle w:val="ListParagraph"/>
        <w:numPr>
          <w:ilvl w:val="0"/>
          <w:numId w:val="5"/>
        </w:numPr>
        <w:spacing w:after="60" w:line="360"/>
        <w:jc w:val="both"/>
      </w:pPr>
      <w:r>
        <w:rPr>
          <w:rFonts w:ascii="Times New Roman" w:cs="Times New Roman" w:eastAsia="Times New Roman" w:hAnsi="Times New Roman"/>
          <w:b/>
          <w:bCs/>
        </w:rPr>
        <w:t xml:space="preserve">Detection of a common evaluation pitfall.</w:t>
      </w:r>
      <w:r>
        <w:rPr>
          <w:rFonts w:ascii="Times New Roman" w:cs="Times New Roman" w:eastAsia="Times New Roman" w:hAnsi="Times New Roman"/>
        </w:rPr>
        <w:t xml:space="preserve"> The horizon-sensitivity check (protocol A3) showed that apparently good machine-learning accuracy was next-day persistence: a genuine seven-day-ahead model was three times worse than the naive benchmark. The same check can be applied to any vendor or published forecast.</w:t>
      </w:r>
    </w:p>
    <w:p>
      <w:pPr>
        <w:pStyle w:val="ListParagraph"/>
        <w:numPr>
          <w:ilvl w:val="0"/>
          <w:numId w:val="5"/>
        </w:numPr>
        <w:spacing w:after="60" w:line="360"/>
        <w:jc w:val="both"/>
      </w:pPr>
      <w:r>
        <w:rPr>
          <w:rFonts w:ascii="Times New Roman" w:cs="Times New Roman" w:eastAsia="Times New Roman" w:hAnsi="Times New Roman"/>
          <w:b/>
          <w:bCs/>
        </w:rPr>
        <w:t xml:space="preserve">A usable market regularity.</w:t>
      </w:r>
      <w:r>
        <w:rPr>
          <w:rFonts w:ascii="Times New Roman" w:cs="Times New Roman" w:eastAsia="Times New Roman" w:hAnsi="Times New Roman"/>
        </w:rPr>
        <w:t xml:space="preserve"> Weekly price moves partly reverse (negative momentum, all eight vegetables, p &lt; 0.03), which explains when delaying a purchase has paid and when it has not.</w:t>
      </w:r>
    </w:p>
    <w:p>
      <w:pPr>
        <w:pStyle w:val="ListParagraph"/>
        <w:numPr>
          <w:ilvl w:val="0"/>
          <w:numId w:val="5"/>
        </w:numPr>
        <w:spacing w:after="60" w:line="360"/>
        <w:jc w:val="both"/>
      </w:pPr>
      <w:r>
        <w:rPr>
          <w:rFonts w:ascii="Times New Roman" w:cs="Times New Roman" w:eastAsia="Times New Roman" w:hAnsi="Times New Roman"/>
          <w:b/>
          <w:bCs/>
        </w:rPr>
        <w:t xml:space="preserve">Evidence of when automated advice fails, and why.</w:t>
      </w:r>
      <w:r>
        <w:rPr>
          <w:rFonts w:ascii="Times New Roman" w:cs="Times New Roman" w:eastAsia="Times New Roman" w:hAnsi="Times New Roman"/>
        </w:rPr>
        <w:t xml:space="preserve"> The 2023 tomato case shows that the 30-day forecast contained a genuine early warning, but that a risk score built partly from the size of the forecast change suppressed exactly the strongest buy signals. This identifies a specific, fixable design flaw rather than a general failure of forecasting.</w:t>
      </w:r>
    </w:p>
    <w:p>
      <w:pPr>
        <w:pStyle w:val="ListParagraph"/>
        <w:numPr>
          <w:ilvl w:val="0"/>
          <w:numId w:val="5"/>
        </w:numPr>
        <w:spacing w:after="60" w:line="360"/>
        <w:jc w:val="both"/>
      </w:pPr>
      <w:r>
        <w:rPr>
          <w:rFonts w:ascii="Times New Roman" w:cs="Times New Roman" w:eastAsia="Times New Roman" w:hAnsi="Times New Roman"/>
          <w:b/>
          <w:bCs/>
        </w:rPr>
        <w:t xml:space="preserve">A working, reproducible system.</w:t>
      </w:r>
      <w:r>
        <w:rPr>
          <w:rFonts w:ascii="Times New Roman" w:cs="Times New Roman" w:eastAsia="Times New Roman" w:hAnsi="Times New Roman"/>
        </w:rPr>
        <w:t xml:space="preserve"> The AgriSight pipeline runs end to end from raw data to dashboard, with a freshness gate, documented code corrections, automated checks, and a safeguard designed to reject any AI-written brief that alters a price.</w:t>
      </w:r>
    </w:p>
    <w:p>
      <w:pPr>
        <w:pStyle w:val="ListParagraph"/>
        <w:numPr>
          <w:ilvl w:val="0"/>
          <w:numId w:val="5"/>
        </w:numPr>
        <w:spacing w:after="60" w:line="360"/>
        <w:jc w:val="both"/>
      </w:pPr>
      <w:r>
        <w:rPr>
          <w:rFonts w:ascii="Times New Roman" w:cs="Times New Roman" w:eastAsia="Times New Roman" w:hAnsi="Times New Roman"/>
          <w:b/>
          <w:bCs/>
        </w:rPr>
        <w:t xml:space="preserve">Data-quality findings with practical value.</w:t>
      </w:r>
      <w:r>
        <w:rPr>
          <w:rFonts w:ascii="Times New Roman" w:cs="Times New Roman" w:eastAsia="Times New Roman" w:hAnsi="Times New Roman"/>
        </w:rPr>
        <w:t xml:space="preserve"> The statewide Agmarknet extract is 90.7% farmers’-market records and contains apparent per-kg entries in per-quintal fields, which any user of this dataset needs to know.</w:t>
      </w:r>
    </w:p>
    <w:p>
      <w:pPr>
        <w:pStyle w:val="Heading2"/>
        <w:keepNext/>
        <w:spacing w:after="120" w:before="280"/>
      </w:pPr>
      <w:r>
        <w:rPr>
          <w:rFonts w:ascii="Times New Roman" w:cs="Times New Roman" w:eastAsia="Times New Roman" w:hAnsi="Times New Roman"/>
          <w:b/>
          <w:bCs/>
          <w:sz w:val="26"/>
          <w:szCs w:val="26"/>
        </w:rPr>
        <w:t xml:space="preserve">5.3 Suggestions and Recommendations</w:t>
      </w:r>
    </w:p>
    <w:p>
      <w:pPr>
        <w:spacing w:after="120" w:before="0" w:line="360"/>
        <w:jc w:val="both"/>
      </w:pPr>
      <w:r>
        <w:rPr>
          <w:rFonts w:ascii="Times New Roman" w:cs="Times New Roman" w:eastAsia="Times New Roman" w:hAnsi="Times New Roman"/>
        </w:rPr>
        <w:t xml:space="preserve">The following recommendations are addressed to procurement managers considering forecast-based purchasing and to anyone extending the AgriSight pipeline.</w:t>
      </w:r>
    </w:p>
    <w:p>
      <w:pPr>
        <w:pStyle w:val="ListParagraph"/>
        <w:numPr>
          <w:ilvl w:val="0"/>
          <w:numId w:val="6"/>
        </w:numPr>
        <w:spacing w:after="60" w:line="360"/>
        <w:jc w:val="both"/>
      </w:pPr>
      <w:r>
        <w:rPr>
          <w:rFonts w:ascii="Times New Roman" w:cs="Times New Roman" w:eastAsia="Times New Roman" w:hAnsi="Times New Roman"/>
          <w:b/>
          <w:bCs/>
        </w:rPr>
        <w:t xml:space="preserve">Adopt the naive forecast as the procurement benchmark.</w:t>
      </w:r>
      <w:r>
        <w:rPr>
          <w:rFonts w:ascii="Times New Roman" w:cs="Times New Roman" w:eastAsia="Times New Roman" w:hAnsi="Times New Roman"/>
        </w:rPr>
        <w:t xml:space="preserve"> Any forecast offered to buyers, whether in-house or from a vendor, should be reported alongside the last-observed-price forecast at the same horizon. A model that does not beat it should not drive purchase timing.</w:t>
      </w:r>
    </w:p>
    <w:p>
      <w:pPr>
        <w:pStyle w:val="ListParagraph"/>
        <w:numPr>
          <w:ilvl w:val="0"/>
          <w:numId w:val="6"/>
        </w:numPr>
        <w:spacing w:after="60" w:line="360"/>
        <w:jc w:val="both"/>
      </w:pPr>
      <w:r>
        <w:rPr>
          <w:rFonts w:ascii="Times New Roman" w:cs="Times New Roman" w:eastAsia="Times New Roman" w:hAnsi="Times New Roman"/>
          <w:b/>
          <w:bCs/>
        </w:rPr>
        <w:t xml:space="preserve">Use SARIMA refitted weekly as the default statistical model</w:t>
      </w:r>
      <w:r>
        <w:rPr>
          <w:rFonts w:ascii="Times New Roman" w:cs="Times New Roman" w:eastAsia="Times New Roman" w:hAnsi="Times New Roman"/>
        </w:rPr>
        <w:t xml:space="preserve"> where a model is needed, for example to produce intervals. It was consistently second to the naive forecast and far cheaper to maintain than the tree models.</w:t>
      </w:r>
    </w:p>
    <w:p>
      <w:pPr>
        <w:pStyle w:val="ListParagraph"/>
        <w:numPr>
          <w:ilvl w:val="0"/>
          <w:numId w:val="6"/>
        </w:numPr>
        <w:spacing w:after="60" w:line="360"/>
        <w:jc w:val="both"/>
      </w:pPr>
      <w:r>
        <w:rPr>
          <w:rFonts w:ascii="Times New Roman" w:cs="Times New Roman" w:eastAsia="Times New Roman" w:hAnsi="Times New Roman"/>
          <w:b/>
          <w:bCs/>
        </w:rPr>
        <w:t xml:space="preserve">Exploit short-run mean reversion cautiously.</w:t>
      </w:r>
      <w:r>
        <w:rPr>
          <w:rFonts w:ascii="Times New Roman" w:cs="Times New Roman" w:eastAsia="Times New Roman" w:hAnsi="Times New Roman"/>
        </w:rPr>
        <w:t xml:space="preserve"> After a sharp weekly price rise, deferring discretionary volume has on average paid. This rule must carry a shock override (Recommendation 4).</w:t>
      </w:r>
    </w:p>
    <w:p>
      <w:pPr>
        <w:pStyle w:val="ListParagraph"/>
        <w:numPr>
          <w:ilvl w:val="0"/>
          <w:numId w:val="6"/>
        </w:numPr>
        <w:spacing w:after="60" w:line="360"/>
        <w:jc w:val="both"/>
      </w:pPr>
      <w:r>
        <w:rPr>
          <w:rFonts w:ascii="Times New Roman" w:cs="Times New Roman" w:eastAsia="Times New Roman" w:hAnsi="Times New Roman"/>
          <w:b/>
          <w:bCs/>
        </w:rPr>
        <w:t xml:space="preserve">Separate forecast direction from risk in the decision rules.</w:t>
      </w:r>
      <w:r>
        <w:rPr>
          <w:rFonts w:ascii="Times New Roman" w:cs="Times New Roman" w:eastAsia="Times New Roman" w:hAnsi="Times New Roman"/>
        </w:rPr>
        <w:t xml:space="preserve"> The risk score should measure uncertainty, for example forecast error or recent volatility, and must not rise with the size of the forecast change; otherwise the strongest buy signals are downgraded, as happened in the 2023 tomato case.</w:t>
      </w:r>
    </w:p>
    <w:p>
      <w:pPr>
        <w:pStyle w:val="ListParagraph"/>
        <w:numPr>
          <w:ilvl w:val="0"/>
          <w:numId w:val="6"/>
        </w:numPr>
        <w:spacing w:after="60" w:line="360"/>
        <w:jc w:val="both"/>
      </w:pPr>
      <w:r>
        <w:rPr>
          <w:rFonts w:ascii="Times New Roman" w:cs="Times New Roman" w:eastAsia="Times New Roman" w:hAnsi="Times New Roman"/>
          <w:b/>
          <w:bCs/>
        </w:rPr>
        <w:t xml:space="preserve">Use the 30-day forecast as an early-warning signal.</w:t>
      </w:r>
      <w:r>
        <w:rPr>
          <w:rFonts w:ascii="Times New Roman" w:cs="Times New Roman" w:eastAsia="Times New Roman" w:hAnsi="Times New Roman"/>
        </w:rPr>
        <w:t xml:space="preserve"> In the 2023 episode it flagged the rise two months ahead. Buyers can use such a signal to negotiate forward prices or secure supply, rather than to time individual purchases.</w:t>
      </w:r>
    </w:p>
    <w:p>
      <w:pPr>
        <w:pStyle w:val="ListParagraph"/>
        <w:numPr>
          <w:ilvl w:val="0"/>
          <w:numId w:val="6"/>
        </w:numPr>
        <w:spacing w:after="60" w:line="360"/>
        <w:jc w:val="both"/>
      </w:pPr>
      <w:r>
        <w:rPr>
          <w:rFonts w:ascii="Times New Roman" w:cs="Times New Roman" w:eastAsia="Times New Roman" w:hAnsi="Times New Roman"/>
          <w:b/>
          <w:bCs/>
        </w:rPr>
        <w:t xml:space="preserve">Add a supply-shock override to the decision rules.</w:t>
      </w:r>
      <w:r>
        <w:rPr>
          <w:rFonts w:ascii="Times New Roman" w:cs="Times New Roman" w:eastAsia="Times New Roman" w:hAnsi="Times New Roman"/>
        </w:rPr>
        <w:t xml:space="preserve"> Never advise DELAY when price has risen for two or more consecutive weeks, or when arrivals fall below their seasonal norm. In the 2023 tomato case this rule would have converted three loss-making delays into purchases.</w:t>
      </w:r>
    </w:p>
    <w:p>
      <w:pPr>
        <w:pStyle w:val="ListParagraph"/>
        <w:numPr>
          <w:ilvl w:val="0"/>
          <w:numId w:val="6"/>
        </w:numPr>
        <w:spacing w:after="60" w:line="360"/>
        <w:jc w:val="both"/>
      </w:pPr>
      <w:r>
        <w:rPr>
          <w:rFonts w:ascii="Times New Roman" w:cs="Times New Roman" w:eastAsia="Times New Roman" w:hAnsi="Times New Roman"/>
          <w:b/>
          <w:bCs/>
        </w:rPr>
        <w:t xml:space="preserve">Replace hard thresholds with uncertainty-scaled thresholds.</w:t>
      </w:r>
      <w:r>
        <w:rPr>
          <w:rFonts w:ascii="Times New Roman" w:cs="Times New Roman" w:eastAsia="Times New Roman" w:hAnsi="Times New Roman"/>
        </w:rPr>
        <w:t xml:space="preserve"> Act only when the forecast change exceeds, for example, one forecast standard error, and abstain otherwise. This removes the instability that changed 14% of backtest actions between library versions.</w:t>
      </w:r>
    </w:p>
    <w:p>
      <w:pPr>
        <w:pStyle w:val="ListParagraph"/>
        <w:numPr>
          <w:ilvl w:val="0"/>
          <w:numId w:val="6"/>
        </w:numPr>
        <w:spacing w:after="60" w:line="360"/>
        <w:jc w:val="both"/>
      </w:pPr>
      <w:r>
        <w:rPr>
          <w:rFonts w:ascii="Times New Roman" w:cs="Times New Roman" w:eastAsia="Times New Roman" w:hAnsi="Times New Roman"/>
          <w:b/>
          <w:bCs/>
        </w:rPr>
        <w:t xml:space="preserve">Correct the identified design weaknesses before further use:</w:t>
      </w:r>
      <w:r>
        <w:rPr>
          <w:rFonts w:ascii="Times New Roman" w:cs="Times New Roman" w:eastAsia="Times New Roman" w:hAnsi="Times New Roman"/>
        </w:rPr>
        <w:t xml:space="preserve"> true multi-step forecasts in the deterministic agent pipeline, one action vocabulary instead of separate action and signal fields, removal of the misleading “savings” field, and exclusion of each model’s own previous-day price when a horizon longer than one day is intended.</w:t>
      </w:r>
    </w:p>
    <w:p>
      <w:pPr>
        <w:pStyle w:val="ListParagraph"/>
        <w:numPr>
          <w:ilvl w:val="0"/>
          <w:numId w:val="6"/>
        </w:numPr>
        <w:spacing w:after="60" w:line="360"/>
        <w:jc w:val="both"/>
      </w:pPr>
      <w:r>
        <w:rPr>
          <w:rFonts w:ascii="Times New Roman" w:cs="Times New Roman" w:eastAsia="Times New Roman" w:hAnsi="Times New Roman"/>
          <w:b/>
          <w:bCs/>
        </w:rPr>
        <w:t xml:space="preserve">Clean and segment the statewide data.</w:t>
      </w:r>
      <w:r>
        <w:rPr>
          <w:rFonts w:ascii="Times New Roman" w:cs="Times New Roman" w:eastAsia="Times New Roman" w:hAnsi="Times New Roman"/>
        </w:rPr>
        <w:t xml:space="preserve"> Correct or exclude the per-kg entries in per-quintal fields, and model Uzhavar Sandhai (retail-like) and regulated wholesale markets separately, so that buyers see a price relevant to bulk purchase.</w:t>
      </w:r>
    </w:p>
    <w:p>
      <w:pPr>
        <w:pStyle w:val="ListParagraph"/>
        <w:numPr>
          <w:ilvl w:val="0"/>
          <w:numId w:val="6"/>
        </w:numPr>
        <w:spacing w:after="60" w:line="360"/>
        <w:jc w:val="both"/>
      </w:pPr>
      <w:r>
        <w:rPr>
          <w:rFonts w:ascii="Times New Roman" w:cs="Times New Roman" w:eastAsia="Times New Roman" w:hAnsi="Times New Roman"/>
          <w:b/>
          <w:bCs/>
        </w:rPr>
        <w:t xml:space="preserve">Acquire market-arrival volumes and producer-region weather.</w:t>
      </w:r>
      <w:r>
        <w:rPr>
          <w:rFonts w:ascii="Times New Roman" w:cs="Times New Roman" w:eastAsia="Times New Roman" w:hAnsi="Times New Roman"/>
        </w:rPr>
        <w:t xml:space="preserve"> The literature (Roy et al., 2024) and this study’s null monsoon result both point to supply volume as the missing predictor. Agmarknet arrival data for Koyambedu and rainfall for Kolar, Krishnagiri and Anantapur are the first candidates.</w:t>
      </w:r>
    </w:p>
    <w:p>
      <w:pPr>
        <w:pStyle w:val="ListParagraph"/>
        <w:numPr>
          <w:ilvl w:val="0"/>
          <w:numId w:val="6"/>
        </w:numPr>
        <w:spacing w:after="60" w:line="360"/>
        <w:jc w:val="both"/>
      </w:pPr>
      <w:r>
        <w:rPr>
          <w:rFonts w:ascii="Times New Roman" w:cs="Times New Roman" w:eastAsia="Times New Roman" w:hAnsi="Times New Roman"/>
          <w:b/>
          <w:bCs/>
        </w:rPr>
        <w:t xml:space="preserve">Validate the Koyambedu price basis.</w:t>
      </w:r>
      <w:r>
        <w:rPr>
          <w:rFonts w:ascii="Times New Roman" w:cs="Times New Roman" w:eastAsia="Times New Roman" w:hAnsi="Times New Roman"/>
        </w:rPr>
        <w:t xml:space="preserve"> Obtain documentation from the Koyambedu Vegetable Merchants’ Council on grade, quote type (wholesale or retail) and collection time, and compare prospectively with invoices.</w:t>
      </w:r>
    </w:p>
    <w:p>
      <w:pPr>
        <w:pStyle w:val="ListParagraph"/>
        <w:numPr>
          <w:ilvl w:val="0"/>
          <w:numId w:val="6"/>
        </w:numPr>
        <w:spacing w:after="60" w:line="360"/>
        <w:jc w:val="both"/>
      </w:pPr>
      <w:r>
        <w:rPr>
          <w:rFonts w:ascii="Times New Roman" w:cs="Times New Roman" w:eastAsia="Times New Roman" w:hAnsi="Times New Roman"/>
          <w:b/>
          <w:bCs/>
        </w:rPr>
        <w:t xml:space="preserve">Run a prospective buyer pilot before claiming savings.</w:t>
      </w:r>
      <w:r>
        <w:rPr>
          <w:rFonts w:ascii="Times New Roman" w:cs="Times New Roman" w:eastAsia="Times New Roman" w:hAnsi="Times New Roman"/>
        </w:rPr>
        <w:t xml:space="preserve"> Record purchase date, quantity, grade, invoice price, spoilage and stockouts for a defined comparison period, with a pre-registered baseline, and evaluate delivered cost per usable kilogram.</w:t>
      </w:r>
    </w:p>
    <w:p>
      <w:pPr>
        <w:pStyle w:val="Heading2"/>
        <w:keepNext/>
        <w:spacing w:after="120" w:before="280"/>
      </w:pPr>
      <w:r>
        <w:rPr>
          <w:rFonts w:ascii="Times New Roman" w:cs="Times New Roman" w:eastAsia="Times New Roman" w:hAnsi="Times New Roman"/>
          <w:b/>
          <w:bCs/>
          <w:sz w:val="26"/>
          <w:szCs w:val="26"/>
        </w:rPr>
        <w:t xml:space="preserve">5.4 Managerial Implications</w:t>
      </w:r>
    </w:p>
    <w:p>
      <w:pPr>
        <w:spacing w:after="120" w:before="0" w:line="360"/>
        <w:jc w:val="both"/>
      </w:pPr>
      <w:r>
        <w:rPr>
          <w:rFonts w:ascii="Times New Roman" w:cs="Times New Roman" w:eastAsia="Times New Roman" w:hAnsi="Times New Roman"/>
        </w:rPr>
        <w:t xml:space="preserve">For a procurement manager, the study’s message is reassuring as much as cautionary. The best available short-term forecast of a Tamil Nadu vegetable price is close to what an experienced buyer already watches: today’s price, adjusted for the tendency of sharp weekly moves to partly reverse. Sophisticated models did not improve on this, and an automated rule that trusted them would have delayed purchases at the worst moment of the 2023 tomato shock. Investment is therefore better directed at </w:t>
      </w:r>
      <w:r>
        <w:rPr>
          <w:rFonts w:ascii="Times New Roman" w:cs="Times New Roman" w:eastAsia="Times New Roman" w:hAnsi="Times New Roman"/>
          <w:b/>
          <w:bCs/>
        </w:rPr>
        <w:t xml:space="preserve">information the market does not yet reflect</w:t>
      </w:r>
      <w:r>
        <w:rPr>
          <w:rFonts w:ascii="Times New Roman" w:cs="Times New Roman" w:eastAsia="Times New Roman" w:hAnsi="Times New Roman"/>
        </w:rPr>
        <w:t xml:space="preserve">, such as arrival volumes, producer-region weather and supply news, and at </w:t>
      </w:r>
      <w:r>
        <w:rPr>
          <w:rFonts w:ascii="Times New Roman" w:cs="Times New Roman" w:eastAsia="Times New Roman" w:hAnsi="Times New Roman"/>
          <w:b/>
          <w:bCs/>
        </w:rPr>
        <w:t xml:space="preserve">decision discipline</w:t>
      </w:r>
      <w:r>
        <w:rPr>
          <w:rFonts w:ascii="Times New Roman" w:cs="Times New Roman" w:eastAsia="Times New Roman" w:hAnsi="Times New Roman"/>
        </w:rPr>
        <w:t xml:space="preserve"> (uncertainty-aware thresholds, shock overrides and abstention when data are stale) than at more complex price-only models. The AgriSight pipeline is valuable as a monitoring and evaluation platform: it makes these comparisons repeatable and visible on a dashboard.</w:t>
      </w:r>
    </w:p>
    <w:p>
      <w:pPr>
        <w:pStyle w:val="Heading2"/>
        <w:keepNext/>
        <w:spacing w:after="120" w:before="280"/>
      </w:pPr>
      <w:r>
        <w:rPr>
          <w:rFonts w:ascii="Times New Roman" w:cs="Times New Roman" w:eastAsia="Times New Roman" w:hAnsi="Times New Roman"/>
          <w:b/>
          <w:bCs/>
          <w:sz w:val="26"/>
          <w:szCs w:val="26"/>
        </w:rPr>
        <w:t xml:space="preserve">5.5 Limitations of the Study</w:t>
      </w:r>
    </w:p>
    <w:p>
      <w:pPr>
        <w:pStyle w:val="ListParagraph"/>
        <w:numPr>
          <w:ilvl w:val="0"/>
          <w:numId w:val="4"/>
        </w:numPr>
        <w:spacing w:after="60" w:line="360"/>
        <w:jc w:val="both"/>
      </w:pPr>
      <w:r>
        <w:rPr>
          <w:rFonts w:ascii="Times New Roman" w:cs="Times New Roman" w:eastAsia="Times New Roman" w:hAnsi="Times New Roman"/>
          <w:b/>
          <w:bCs/>
        </w:rPr>
        <w:t xml:space="preserve">Secondary data.</w:t>
      </w:r>
      <w:r>
        <w:rPr>
          <w:rFonts w:ascii="Times New Roman" w:cs="Times New Roman" w:eastAsia="Times New Roman" w:hAnsi="Times New Roman"/>
        </w:rPr>
        <w:t xml:space="preserve"> Neither price source was audited at origin. The statewide median mixes farmers’ and wholesale markets, and the Koyambedu API does not state whether quotes are wholesale or retail.</w:t>
      </w:r>
    </w:p>
    <w:p>
      <w:pPr>
        <w:pStyle w:val="ListParagraph"/>
        <w:numPr>
          <w:ilvl w:val="0"/>
          <w:numId w:val="4"/>
        </w:numPr>
        <w:spacing w:after="60" w:line="360"/>
        <w:jc w:val="both"/>
      </w:pPr>
      <w:r>
        <w:rPr>
          <w:rFonts w:ascii="Times New Roman" w:cs="Times New Roman" w:eastAsia="Times New Roman" w:hAnsi="Times New Roman"/>
          <w:b/>
          <w:bCs/>
        </w:rPr>
        <w:t xml:space="preserve">Short statewide history.</w:t>
      </w:r>
      <w:r>
        <w:rPr>
          <w:rFonts w:ascii="Times New Roman" w:cs="Times New Roman" w:eastAsia="Times New Roman" w:hAnsi="Times New Roman"/>
        </w:rPr>
        <w:t xml:space="preserve"> About 27 months of statewide data, with 90-day holdouts, limit seasonal estimation and give few test periods.</w:t>
      </w:r>
    </w:p>
    <w:p>
      <w:pPr>
        <w:pStyle w:val="ListParagraph"/>
        <w:numPr>
          <w:ilvl w:val="0"/>
          <w:numId w:val="4"/>
        </w:numPr>
        <w:spacing w:after="60" w:line="360"/>
        <w:jc w:val="both"/>
      </w:pPr>
      <w:r>
        <w:rPr>
          <w:rFonts w:ascii="Times New Roman" w:cs="Times New Roman" w:eastAsia="Times New Roman" w:hAnsi="Times New Roman"/>
          <w:b/>
          <w:bCs/>
        </w:rPr>
        <w:t xml:space="preserve">Limited evaluation origins.</w:t>
      </w:r>
      <w:r>
        <w:rPr>
          <w:rFonts w:ascii="Times New Roman" w:cs="Times New Roman" w:eastAsia="Times New Roman" w:hAnsi="Times New Roman"/>
        </w:rPr>
        <w:t xml:space="preserve"> Protocols B1 and B2 use 7 and 4 origins; differences between close methods were not tested for significance (for example with the Diebold–Mariano test).</w:t>
      </w:r>
    </w:p>
    <w:p>
      <w:pPr>
        <w:pStyle w:val="ListParagraph"/>
        <w:numPr>
          <w:ilvl w:val="0"/>
          <w:numId w:val="4"/>
        </w:numPr>
        <w:spacing w:after="60" w:line="360"/>
        <w:jc w:val="both"/>
      </w:pPr>
      <w:r>
        <w:rPr>
          <w:rFonts w:ascii="Times New Roman" w:cs="Times New Roman" w:eastAsia="Times New Roman" w:hAnsi="Times New Roman"/>
          <w:b/>
          <w:bCs/>
        </w:rPr>
        <w:t xml:space="preserve">Weather proxy.</w:t>
      </w:r>
      <w:r>
        <w:rPr>
          <w:rFonts w:ascii="Times New Roman" w:cs="Times New Roman" w:eastAsia="Times New Roman" w:hAnsi="Times New Roman"/>
        </w:rPr>
        <w:t xml:space="preserve"> Rainfall is measured at Chennai, not in producing districts, and spans just two full monsoon seasons; market-arrival volumes could not be obtained.</w:t>
      </w:r>
    </w:p>
    <w:p>
      <w:pPr>
        <w:pStyle w:val="ListParagraph"/>
        <w:numPr>
          <w:ilvl w:val="0"/>
          <w:numId w:val="4"/>
        </w:numPr>
        <w:spacing w:after="60" w:line="360"/>
        <w:jc w:val="both"/>
      </w:pPr>
      <w:r>
        <w:rPr>
          <w:rFonts w:ascii="Times New Roman" w:cs="Times New Roman" w:eastAsia="Times New Roman" w:hAnsi="Times New Roman"/>
          <w:b/>
          <w:bCs/>
        </w:rPr>
        <w:t xml:space="preserve">Counterfactual procurement.</w:t>
      </w:r>
      <w:r>
        <w:rPr>
          <w:rFonts w:ascii="Times New Roman" w:cs="Times New Roman" w:eastAsia="Times New Roman" w:hAnsi="Times New Roman"/>
        </w:rPr>
        <w:t xml:space="preserve"> Backtests exclude storage, transport, spoilage, quality and stockout costs, use a fixed-lot convention, and cases are not independent. No realized savings are measured.</w:t>
      </w:r>
    </w:p>
    <w:p>
      <w:pPr>
        <w:pStyle w:val="ListParagraph"/>
        <w:numPr>
          <w:ilvl w:val="0"/>
          <w:numId w:val="4"/>
        </w:numPr>
        <w:spacing w:after="60" w:line="360"/>
        <w:jc w:val="both"/>
      </w:pPr>
      <w:r>
        <w:rPr>
          <w:rFonts w:ascii="Times New Roman" w:cs="Times New Roman" w:eastAsia="Times New Roman" w:hAnsi="Times New Roman"/>
          <w:b/>
          <w:bCs/>
        </w:rPr>
        <w:t xml:space="preserve">Deviations from the proposal.</w:t>
      </w:r>
      <w:r>
        <w:rPr>
          <w:rFonts w:ascii="Times New Roman" w:cs="Times New Roman" w:eastAsia="Times New Roman" w:hAnsi="Times New Roman"/>
        </w:rPr>
        <w:t xml:space="preserve"> The data period, validation design and some inputs differ from the approved proposal because data could not be obtained; Table 3.6 lists each change and its reason.</w:t>
      </w:r>
    </w:p>
    <w:p>
      <w:pPr>
        <w:pStyle w:val="ListParagraph"/>
        <w:numPr>
          <w:ilvl w:val="0"/>
          <w:numId w:val="4"/>
        </w:numPr>
        <w:spacing w:after="60" w:line="360"/>
        <w:jc w:val="both"/>
      </w:pPr>
      <w:r>
        <w:rPr>
          <w:rFonts w:ascii="Times New Roman" w:cs="Times New Roman" w:eastAsia="Times New Roman" w:hAnsi="Times New Roman"/>
          <w:b/>
          <w:bCs/>
        </w:rPr>
        <w:t xml:space="preserve">Mapping choices.</w:t>
      </w:r>
      <w:r>
        <w:rPr>
          <w:rFonts w:ascii="Times New Roman" w:cs="Times New Roman" w:eastAsia="Times New Roman" w:hAnsi="Times New Roman"/>
        </w:rPr>
        <w:t xml:space="preserve"> French Beans proxies Beans, and Big Onion proxies Onion, at Koyambedu.</w:t>
      </w:r>
    </w:p>
    <w:p>
      <w:pPr>
        <w:pStyle w:val="ListParagraph"/>
        <w:numPr>
          <w:ilvl w:val="0"/>
          <w:numId w:val="4"/>
        </w:numPr>
        <w:spacing w:after="60" w:line="360"/>
        <w:jc w:val="both"/>
      </w:pPr>
      <w:r>
        <w:rPr>
          <w:rFonts w:ascii="Times New Roman" w:cs="Times New Roman" w:eastAsia="Times New Roman" w:hAnsi="Times New Roman"/>
          <w:b/>
          <w:bCs/>
        </w:rPr>
        <w:t xml:space="preserve">Software sensitivity.</w:t>
      </w:r>
      <w:r>
        <w:rPr>
          <w:rFonts w:ascii="Times New Roman" w:cs="Times New Roman" w:eastAsia="Times New Roman" w:hAnsi="Times New Roman"/>
        </w:rPr>
        <w:t xml:space="preserve"> Tree-model forecasts, and hence some advice actions, change with library versions; package versions should be pinned.</w:t>
      </w:r>
    </w:p>
    <w:p>
      <w:pPr>
        <w:pStyle w:val="ListParagraph"/>
        <w:numPr>
          <w:ilvl w:val="0"/>
          <w:numId w:val="4"/>
        </w:numPr>
        <w:spacing w:after="60" w:line="360"/>
        <w:jc w:val="both"/>
      </w:pPr>
      <w:r>
        <w:rPr>
          <w:rFonts w:ascii="Times New Roman" w:cs="Times New Roman" w:eastAsia="Times New Roman" w:hAnsi="Times New Roman"/>
          <w:b/>
          <w:bCs/>
        </w:rPr>
        <w:t xml:space="preserve">Live components not yet run.</w:t>
      </w:r>
      <w:r>
        <w:rPr>
          <w:rFonts w:ascii="Times New Roman" w:cs="Times New Roman" w:eastAsia="Times New Roman" w:hAnsi="Times New Roman"/>
        </w:rPr>
        <w:t xml:space="preserve"> The live weather, news and local language-model components are implemented, but their run against the live services remains to be done.</w:t>
      </w:r>
    </w:p>
    <w:p>
      <w:pPr>
        <w:pStyle w:val="Heading2"/>
        <w:keepNext/>
        <w:spacing w:after="120" w:before="280"/>
      </w:pPr>
      <w:r>
        <w:rPr>
          <w:rFonts w:ascii="Times New Roman" w:cs="Times New Roman" w:eastAsia="Times New Roman" w:hAnsi="Times New Roman"/>
          <w:b/>
          <w:bCs/>
          <w:sz w:val="26"/>
          <w:szCs w:val="26"/>
        </w:rPr>
        <w:t xml:space="preserve">5.6 Scope for Future Research</w:t>
      </w:r>
    </w:p>
    <w:p>
      <w:pPr>
        <w:spacing w:after="120" w:before="0" w:line="360"/>
        <w:jc w:val="both"/>
      </w:pPr>
      <w:r>
        <w:rPr>
          <w:rFonts w:ascii="Times New Roman" w:cs="Times New Roman" w:eastAsia="Times New Roman" w:hAnsi="Times New Roman"/>
        </w:rPr>
        <w:t xml:space="preserve">Future work should (i) add Agmarknet arrival volumes and producer-region rainfall to test the supply channel directly; (ii) extend the statewide series back to 2015 or earlier so that seasonal models and rare shocks can be estimated; (iii) replace the fixed thresholds with probabilistic forecasts and expected-cost decision rules; (iv) evaluate forecast combinations, which won the M4 competition, against the naive benchmark; (v) test the News Reader agent’s ability to flag supply shocks earlier than prices do; and (vi) run a prospective, pre-registered buyer pilot to measure delivered cost per usable kilogram.</w:t>
      </w:r>
    </w:p>
    <w:p>
      <w:pPr>
        <w:pStyle w:val="Heading2"/>
        <w:keepNext/>
        <w:spacing w:after="120" w:before="280"/>
      </w:pPr>
      <w:r>
        <w:rPr>
          <w:rFonts w:ascii="Times New Roman" w:cs="Times New Roman" w:eastAsia="Times New Roman" w:hAnsi="Times New Roman"/>
          <w:b/>
          <w:bCs/>
          <w:sz w:val="26"/>
          <w:szCs w:val="26"/>
        </w:rPr>
        <w:t xml:space="preserve">5.7 Conclusion</w:t>
      </w:r>
    </w:p>
    <w:p>
      <w:pPr>
        <w:spacing w:after="120" w:before="0" w:line="360"/>
        <w:jc w:val="both"/>
      </w:pPr>
      <w:r>
        <w:rPr>
          <w:rFonts w:ascii="Times New Roman" w:cs="Times New Roman" w:eastAsia="Times New Roman" w:hAnsi="Times New Roman"/>
        </w:rPr>
        <w:t xml:space="preserve">This study set out to show whether machine learning and a multi-agent decision layer could improve short-term vegetable procurement in Tamil Nadu. A complete, reproducible pipeline was built and run end to end: data acquisition and cleaning, feature engineering, four forecasting model families, SHAP explanation, a monsoon significance test, a four-role agent pipeline with a dashboard, and procurement backtests including the 2023 tomato shock.</w:t>
      </w:r>
    </w:p>
    <w:p>
      <w:pPr>
        <w:spacing w:after="120" w:before="0" w:line="360"/>
        <w:jc w:val="both"/>
      </w:pPr>
      <w:r>
        <w:rPr>
          <w:rFonts w:ascii="Times New Roman" w:cs="Times New Roman" w:eastAsia="Times New Roman" w:hAnsi="Times New Roman"/>
        </w:rPr>
        <w:t xml:space="preserve">The answer is clear and, for an analytics project, valuable. Every objective was tested and answered, and the central finding is that </w:t>
      </w:r>
      <w:r>
        <w:rPr>
          <w:rFonts w:ascii="Times New Roman" w:cs="Times New Roman" w:eastAsia="Times New Roman" w:hAnsi="Times New Roman"/>
          <w:b/>
          <w:bCs/>
        </w:rPr>
        <w:t xml:space="preserve">on these data and horizons, simple benchmarks were not beaten.</w:t>
      </w:r>
      <w:r>
        <w:rPr>
          <w:rFonts w:ascii="Times New Roman" w:cs="Times New Roman" w:eastAsia="Times New Roman" w:hAnsi="Times New Roman"/>
        </w:rPr>
        <w:t xml:space="preserve"> Yesterday’s price outperformed every statewide model, the last observed price was the best Koyambedu forecast at 7 to 30 days, no monsoon effect was detected, weather context did not improve accuracy, and the rule-based advice would have raised costs during the one major shock in the record, even though the 30-day forecast had warned of it two months in advance. Apparent machine-learning accuracy was shown to be next-day persistence, a pitfall that the horizon-sensitivity check developed here can expose in other settings.</w:t>
      </w:r>
    </w:p>
    <w:p>
      <w:pPr>
        <w:spacing w:after="120" w:before="0" w:line="360"/>
        <w:jc w:val="both"/>
      </w:pPr>
      <w:r>
        <w:rPr>
          <w:rFonts w:ascii="Times New Roman" w:cs="Times New Roman" w:eastAsia="Times New Roman" w:hAnsi="Times New Roman"/>
        </w:rPr>
        <w:t xml:space="preserve">AgriSight is therefore best positioned not as an autonomous buying system but as a transparent </w:t>
      </w:r>
      <w:r>
        <w:rPr>
          <w:rFonts w:ascii="Times New Roman" w:cs="Times New Roman" w:eastAsia="Times New Roman" w:hAnsi="Times New Roman"/>
          <w:b/>
          <w:bCs/>
        </w:rPr>
        <w:t xml:space="preserve">evaluation and monitoring platform</w:t>
      </w:r>
      <w:r>
        <w:rPr>
          <w:rFonts w:ascii="Times New Roman" w:cs="Times New Roman" w:eastAsia="Times New Roman" w:hAnsi="Times New Roman"/>
        </w:rPr>
        <w:t xml:space="preserve">: one that tells a buyer what the market is doing, how much any forecast can be trusted relative to a naive benchmark, and when the data are too stale or uncertain to act on. The next steps are better supply-side information, uncertainty-aware rules with shock overrides, and a prospective buyer pilot. Only after those can procurement savings be claimed. In that sense the study has done what applied analytics should do: it has replaced an appealing assumption with tested evidence, and shown buyers where real gains are likely to come from.</w:t>
      </w:r>
    </w:p>
    <w:p>
      <w:pPr>
        <w:pStyle w:val="Heading1"/>
        <w:pageBreakBefore/>
        <w:spacing w:after="360" w:before="240"/>
        <w:jc w:val="center"/>
      </w:pPr>
      <w:r>
        <w:rPr>
          <w:rFonts w:ascii="Times New Roman" w:cs="Times New Roman" w:eastAsia="Times New Roman" w:hAnsi="Times New Roman"/>
          <w:b/>
          <w:bCs/>
          <w:sz w:val="28"/>
          <w:szCs w:val="28"/>
        </w:rPr>
        <w:t xml:space="preserve">REFERENCES</w:t>
      </w:r>
    </w:p>
    <w:p>
      <w:pPr>
        <w:spacing w:after="140" w:before="0" w:line="276"/>
        <w:ind w:left="567" w:hanging="567"/>
        <w:jc w:val="left"/>
      </w:pPr>
      <w:r>
        <w:rPr>
          <w:rFonts w:ascii="Times New Roman" w:cs="Times New Roman" w:eastAsia="Times New Roman" w:hAnsi="Times New Roman"/>
        </w:rPr>
        <w:t xml:space="preserve">Ajmal, S., Rohith, S., Unniravisankar, P., &amp; Nabay, O. (2024). Price dynamics of tomato, onion and potato (TOP) in India. </w:t>
      </w:r>
      <w:r>
        <w:rPr>
          <w:rFonts w:ascii="Times New Roman" w:cs="Times New Roman" w:eastAsia="Times New Roman" w:hAnsi="Times New Roman"/>
          <w:i/>
          <w:iCs/>
        </w:rPr>
        <w:t xml:space="preserve">Asian Journal of Agricultural Extension, Economics &amp; Sociology</w:t>
      </w:r>
      <w:r>
        <w:rPr>
          <w:rFonts w:ascii="Times New Roman" w:cs="Times New Roman" w:eastAsia="Times New Roman" w:hAnsi="Times New Roman"/>
        </w:rPr>
        <w:t xml:space="preserve">, 42(3). https://ideas.repec.org/a/ags/ajaees/367914.html</w:t>
      </w:r>
    </w:p>
    <w:p>
      <w:pPr>
        <w:spacing w:after="140" w:before="0" w:line="276"/>
        <w:ind w:left="567" w:hanging="567"/>
        <w:jc w:val="left"/>
      </w:pPr>
      <w:r>
        <w:rPr>
          <w:rFonts w:ascii="Times New Roman" w:cs="Times New Roman" w:eastAsia="Times New Roman" w:hAnsi="Times New Roman"/>
        </w:rPr>
        <w:t xml:space="preserve">Bergmeir, C., &amp; Benítez, J. M. (2012). On the use of cross-validation for time series predictor evaluation. </w:t>
      </w:r>
      <w:r>
        <w:rPr>
          <w:rFonts w:ascii="Times New Roman" w:cs="Times New Roman" w:eastAsia="Times New Roman" w:hAnsi="Times New Roman"/>
          <w:i/>
          <w:iCs/>
        </w:rPr>
        <w:t xml:space="preserve">Information Sciences</w:t>
      </w:r>
      <w:r>
        <w:rPr>
          <w:rFonts w:ascii="Times New Roman" w:cs="Times New Roman" w:eastAsia="Times New Roman" w:hAnsi="Times New Roman"/>
        </w:rPr>
        <w:t xml:space="preserve">, 191, 192–213. https://doi.org/10.1016/j.ins.2011.12.028</w:t>
      </w:r>
    </w:p>
    <w:p>
      <w:pPr>
        <w:spacing w:after="140" w:before="0" w:line="276"/>
        <w:ind w:left="567" w:hanging="567"/>
        <w:jc w:val="left"/>
      </w:pPr>
      <w:r>
        <w:rPr>
          <w:rFonts w:ascii="Times New Roman" w:cs="Times New Roman" w:eastAsia="Times New Roman" w:hAnsi="Times New Roman"/>
        </w:rPr>
        <w:t xml:space="preserve">Birthal, P. S., Negi, A., &amp; Joshi, P. K. (2019). Understanding causes of volatility in onion prices in India. </w:t>
      </w:r>
      <w:r>
        <w:rPr>
          <w:rFonts w:ascii="Times New Roman" w:cs="Times New Roman" w:eastAsia="Times New Roman" w:hAnsi="Times New Roman"/>
          <w:i/>
          <w:iCs/>
        </w:rPr>
        <w:t xml:space="preserve">Journal of Agribusiness in Developing and Emerging Economies</w:t>
      </w:r>
      <w:r>
        <w:rPr>
          <w:rFonts w:ascii="Times New Roman" w:cs="Times New Roman" w:eastAsia="Times New Roman" w:hAnsi="Times New Roman"/>
        </w:rPr>
        <w:t xml:space="preserve">, 9(3). https://doi.org/10.1108/JADEE-06-2018-0068</w:t>
      </w:r>
    </w:p>
    <w:p>
      <w:pPr>
        <w:spacing w:after="140" w:before="0" w:line="276"/>
        <w:ind w:left="567" w:hanging="567"/>
        <w:jc w:val="left"/>
      </w:pPr>
      <w:r>
        <w:rPr>
          <w:rFonts w:ascii="Times New Roman" w:cs="Times New Roman" w:eastAsia="Times New Roman" w:hAnsi="Times New Roman"/>
        </w:rPr>
        <w:t xml:space="preserve">Box, G. E. P., Jenkins, G. M., Reinsel, G. C., &amp; Ljung, G. M. (2015). </w:t>
      </w:r>
      <w:r>
        <w:rPr>
          <w:rFonts w:ascii="Times New Roman" w:cs="Times New Roman" w:eastAsia="Times New Roman" w:hAnsi="Times New Roman"/>
          <w:i/>
          <w:iCs/>
        </w:rPr>
        <w:t xml:space="preserve">Time series analysis: Forecasting and control</w:t>
      </w:r>
      <w:r>
        <w:rPr>
          <w:rFonts w:ascii="Times New Roman" w:cs="Times New Roman" w:eastAsia="Times New Roman" w:hAnsi="Times New Roman"/>
        </w:rPr>
        <w:t xml:space="preserve"> (5th ed.). Wiley.</w:t>
      </w:r>
    </w:p>
    <w:p>
      <w:pPr>
        <w:spacing w:after="140" w:before="0" w:line="276"/>
        <w:ind w:left="567" w:hanging="567"/>
        <w:jc w:val="left"/>
      </w:pPr>
      <w:r>
        <w:rPr>
          <w:rFonts w:ascii="Times New Roman" w:cs="Times New Roman" w:eastAsia="Times New Roman" w:hAnsi="Times New Roman"/>
        </w:rPr>
        <w:t xml:space="preserve">Breiman, L. (2001). Random forests. </w:t>
      </w:r>
      <w:r>
        <w:rPr>
          <w:rFonts w:ascii="Times New Roman" w:cs="Times New Roman" w:eastAsia="Times New Roman" w:hAnsi="Times New Roman"/>
          <w:i/>
          <w:iCs/>
        </w:rPr>
        <w:t xml:space="preserve">Machine Learning</w:t>
      </w:r>
      <w:r>
        <w:rPr>
          <w:rFonts w:ascii="Times New Roman" w:cs="Times New Roman" w:eastAsia="Times New Roman" w:hAnsi="Times New Roman"/>
        </w:rPr>
        <w:t xml:space="preserve">, 45, 5–32. https://doi.org/10.1023/A:1010933404324</w:t>
      </w:r>
    </w:p>
    <w:p>
      <w:pPr>
        <w:spacing w:after="140" w:before="0" w:line="276"/>
        <w:ind w:left="567" w:hanging="567"/>
        <w:jc w:val="left"/>
      </w:pPr>
      <w:r>
        <w:rPr>
          <w:rFonts w:ascii="Times New Roman" w:cs="Times New Roman" w:eastAsia="Times New Roman" w:hAnsi="Times New Roman"/>
        </w:rPr>
        <w:t xml:space="preserve">Chand, R. (2010). Understanding the nature and causes of food inflation. </w:t>
      </w:r>
      <w:r>
        <w:rPr>
          <w:rFonts w:ascii="Times New Roman" w:cs="Times New Roman" w:eastAsia="Times New Roman" w:hAnsi="Times New Roman"/>
          <w:i/>
          <w:iCs/>
        </w:rPr>
        <w:t xml:space="preserve">Economic and Political Weekly</w:t>
      </w:r>
      <w:r>
        <w:rPr>
          <w:rFonts w:ascii="Times New Roman" w:cs="Times New Roman" w:eastAsia="Times New Roman" w:hAnsi="Times New Roman"/>
        </w:rPr>
        <w:t xml:space="preserve">, 45(9), 10–13.</w:t>
      </w:r>
    </w:p>
    <w:p>
      <w:pPr>
        <w:spacing w:after="140" w:before="0" w:line="276"/>
        <w:ind w:left="567" w:hanging="567"/>
        <w:jc w:val="left"/>
      </w:pPr>
      <w:r>
        <w:rPr>
          <w:rFonts w:ascii="Times New Roman" w:cs="Times New Roman" w:eastAsia="Times New Roman" w:hAnsi="Times New Roman"/>
        </w:rPr>
        <w:t xml:space="preserve">Chen, T., &amp; Guestrin, C. (2016). XGBoost: A scalable tree boosting system. In </w:t>
      </w:r>
      <w:r>
        <w:rPr>
          <w:rFonts w:ascii="Times New Roman" w:cs="Times New Roman" w:eastAsia="Times New Roman" w:hAnsi="Times New Roman"/>
          <w:i/>
          <w:iCs/>
        </w:rPr>
        <w:t xml:space="preserve">Proceedings of the 22nd ACM SIGKDD International Conference on Knowledge Discovery and Data Mining</w:t>
      </w:r>
      <w:r>
        <w:rPr>
          <w:rFonts w:ascii="Times New Roman" w:cs="Times New Roman" w:eastAsia="Times New Roman" w:hAnsi="Times New Roman"/>
        </w:rPr>
        <w:t xml:space="preserve"> (pp. 785–794). https://doi.org/10.1145/2939672.2939785</w:t>
      </w:r>
    </w:p>
    <w:p>
      <w:pPr>
        <w:spacing w:after="140" w:before="0" w:line="276"/>
        <w:ind w:left="567" w:hanging="567"/>
        <w:jc w:val="left"/>
      </w:pPr>
      <w:r>
        <w:rPr>
          <w:rFonts w:ascii="Times New Roman" w:cs="Times New Roman" w:eastAsia="Times New Roman" w:hAnsi="Times New Roman"/>
        </w:rPr>
        <w:t xml:space="preserve">Chopra, S., &amp; Meindl, P. (2016). </w:t>
      </w:r>
      <w:r>
        <w:rPr>
          <w:rFonts w:ascii="Times New Roman" w:cs="Times New Roman" w:eastAsia="Times New Roman" w:hAnsi="Times New Roman"/>
          <w:i/>
          <w:iCs/>
        </w:rPr>
        <w:t xml:space="preserve">Supply chain management: Strategy, planning, and operation</w:t>
      </w:r>
      <w:r>
        <w:rPr>
          <w:rFonts w:ascii="Times New Roman" w:cs="Times New Roman" w:eastAsia="Times New Roman" w:hAnsi="Times New Roman"/>
        </w:rPr>
        <w:t xml:space="preserve"> (6th ed.). Pearson.</w:t>
      </w:r>
    </w:p>
    <w:p>
      <w:pPr>
        <w:spacing w:after="140" w:before="0" w:line="276"/>
        <w:ind w:left="567" w:hanging="567"/>
        <w:jc w:val="left"/>
      </w:pPr>
      <w:r>
        <w:rPr>
          <w:rFonts w:ascii="Times New Roman" w:cs="Times New Roman" w:eastAsia="Times New Roman" w:hAnsi="Times New Roman"/>
        </w:rPr>
        <w:t xml:space="preserve">Dickey, D. A., &amp; Fuller, W. A. (1979). Distribution of the estimators for autoregressive time series with a unit root. </w:t>
      </w:r>
      <w:r>
        <w:rPr>
          <w:rFonts w:ascii="Times New Roman" w:cs="Times New Roman" w:eastAsia="Times New Roman" w:hAnsi="Times New Roman"/>
          <w:i/>
          <w:iCs/>
        </w:rPr>
        <w:t xml:space="preserve">Journal of the American Statistical Association</w:t>
      </w:r>
      <w:r>
        <w:rPr>
          <w:rFonts w:ascii="Times New Roman" w:cs="Times New Roman" w:eastAsia="Times New Roman" w:hAnsi="Times New Roman"/>
        </w:rPr>
        <w:t xml:space="preserve">, 74(366), 427–431. https://doi.org/10.2307/2286348</w:t>
      </w:r>
    </w:p>
    <w:p>
      <w:pPr>
        <w:spacing w:after="140" w:before="0" w:line="276"/>
        <w:ind w:left="567" w:hanging="567"/>
        <w:jc w:val="left"/>
      </w:pPr>
      <w:r>
        <w:rPr>
          <w:rFonts w:ascii="Times New Roman" w:cs="Times New Roman" w:eastAsia="Times New Roman" w:hAnsi="Times New Roman"/>
        </w:rPr>
        <w:t xml:space="preserve">Diebold, F. X., &amp; Mariano, R. S. (1995). Comparing predictive accuracy. </w:t>
      </w:r>
      <w:r>
        <w:rPr>
          <w:rFonts w:ascii="Times New Roman" w:cs="Times New Roman" w:eastAsia="Times New Roman" w:hAnsi="Times New Roman"/>
          <w:i/>
          <w:iCs/>
        </w:rPr>
        <w:t xml:space="preserve">Journal of Business &amp; Economic Statistics</w:t>
      </w:r>
      <w:r>
        <w:rPr>
          <w:rFonts w:ascii="Times New Roman" w:cs="Times New Roman" w:eastAsia="Times New Roman" w:hAnsi="Times New Roman"/>
        </w:rPr>
        <w:t xml:space="preserve">, 13(3), 253–263. https://doi.org/10.1080/07350015.1995.10524599</w:t>
      </w:r>
    </w:p>
    <w:p>
      <w:pPr>
        <w:spacing w:after="140" w:before="0" w:line="276"/>
        <w:ind w:left="567" w:hanging="567"/>
        <w:jc w:val="left"/>
      </w:pPr>
      <w:r>
        <w:rPr>
          <w:rFonts w:ascii="Times New Roman" w:cs="Times New Roman" w:eastAsia="Times New Roman" w:hAnsi="Times New Roman"/>
        </w:rPr>
        <w:t xml:space="preserve">Fagbohun, O., Yashwanth, S., Akintola, A. S., Wurola, I., Shittu, L., Inyang, A., Odubola, O., Offia, U., Olanrewaju, S., Toluwaleke, O., Abutu, I., &amp; Akinbolaji, T. (2025). GreenIQ: A deep search platform for comprehensive carbon market analysis and automated report generation. </w:t>
      </w:r>
      <w:r>
        <w:rPr>
          <w:rFonts w:ascii="Times New Roman" w:cs="Times New Roman" w:eastAsia="Times New Roman" w:hAnsi="Times New Roman"/>
          <w:i/>
          <w:iCs/>
        </w:rPr>
        <w:t xml:space="preserve">arXiv:2503.16041</w:t>
      </w:r>
      <w:r>
        <w:rPr>
          <w:rFonts w:ascii="Times New Roman" w:cs="Times New Roman" w:eastAsia="Times New Roman" w:hAnsi="Times New Roman"/>
        </w:rPr>
        <w:t xml:space="preserve">. https://doi.org/10.48550/arXiv.2503.16041</w:t>
      </w:r>
    </w:p>
    <w:p>
      <w:pPr>
        <w:spacing w:after="140" w:before="0" w:line="276"/>
        <w:ind w:left="567" w:hanging="567"/>
        <w:jc w:val="left"/>
      </w:pPr>
      <w:r>
        <w:rPr>
          <w:rFonts w:ascii="Times New Roman" w:cs="Times New Roman" w:eastAsia="Times New Roman" w:hAnsi="Times New Roman"/>
        </w:rPr>
        <w:t xml:space="preserve">Hyndman, R. J., &amp; Athanasopoulos, G. (2021). </w:t>
      </w:r>
      <w:r>
        <w:rPr>
          <w:rFonts w:ascii="Times New Roman" w:cs="Times New Roman" w:eastAsia="Times New Roman" w:hAnsi="Times New Roman"/>
          <w:i/>
          <w:iCs/>
        </w:rPr>
        <w:t xml:space="preserve">Forecasting: Principles and practice</w:t>
      </w:r>
      <w:r>
        <w:rPr>
          <w:rFonts w:ascii="Times New Roman" w:cs="Times New Roman" w:eastAsia="Times New Roman" w:hAnsi="Times New Roman"/>
        </w:rPr>
        <w:t xml:space="preserve"> (3rd ed.). OTexts. https://otexts.com/fpp3/</w:t>
      </w:r>
    </w:p>
    <w:p>
      <w:pPr>
        <w:spacing w:after="140" w:before="0" w:line="276"/>
        <w:ind w:left="567" w:hanging="567"/>
        <w:jc w:val="left"/>
      </w:pPr>
      <w:r>
        <w:rPr>
          <w:rFonts w:ascii="Times New Roman" w:cs="Times New Roman" w:eastAsia="Times New Roman" w:hAnsi="Times New Roman"/>
        </w:rPr>
        <w:t xml:space="preserve">Hyndman, R. J., &amp; Koehler, A. B. (2006). Another look at measures of forecast accuracy. </w:t>
      </w:r>
      <w:r>
        <w:rPr>
          <w:rFonts w:ascii="Times New Roman" w:cs="Times New Roman" w:eastAsia="Times New Roman" w:hAnsi="Times New Roman"/>
          <w:i/>
          <w:iCs/>
        </w:rPr>
        <w:t xml:space="preserve">International Journal of Forecasting</w:t>
      </w:r>
      <w:r>
        <w:rPr>
          <w:rFonts w:ascii="Times New Roman" w:cs="Times New Roman" w:eastAsia="Times New Roman" w:hAnsi="Times New Roman"/>
        </w:rPr>
        <w:t xml:space="preserve">, 22(4), 679–688. https://doi.org/10.1016/j.ijforecast.2006.03.001</w:t>
      </w:r>
    </w:p>
    <w:p>
      <w:pPr>
        <w:spacing w:after="140" w:before="0" w:line="276"/>
        <w:ind w:left="567" w:hanging="567"/>
        <w:jc w:val="left"/>
      </w:pPr>
      <w:r>
        <w:rPr>
          <w:rFonts w:ascii="Times New Roman" w:cs="Times New Roman" w:eastAsia="Times New Roman" w:hAnsi="Times New Roman"/>
        </w:rPr>
        <w:t xml:space="preserve">Kaufman, S., Rosset, S., Perlich, C., &amp; Stitelman, O. (2012). Leakage in data mining: Formulation, detection, and avoidance. </w:t>
      </w:r>
      <w:r>
        <w:rPr>
          <w:rFonts w:ascii="Times New Roman" w:cs="Times New Roman" w:eastAsia="Times New Roman" w:hAnsi="Times New Roman"/>
          <w:i/>
          <w:iCs/>
        </w:rPr>
        <w:t xml:space="preserve">ACM Transactions on Knowledge Discovery from Data</w:t>
      </w:r>
      <w:r>
        <w:rPr>
          <w:rFonts w:ascii="Times New Roman" w:cs="Times New Roman" w:eastAsia="Times New Roman" w:hAnsi="Times New Roman"/>
        </w:rPr>
        <w:t xml:space="preserve">, 6(4), Article 15. https://doi.org/10.1145/2382577.2382579</w:t>
      </w:r>
    </w:p>
    <w:p>
      <w:pPr>
        <w:spacing w:after="140" w:before="0" w:line="276"/>
        <w:ind w:left="567" w:hanging="567"/>
        <w:jc w:val="left"/>
      </w:pPr>
      <w:r>
        <w:rPr>
          <w:rFonts w:ascii="Times New Roman" w:cs="Times New Roman" w:eastAsia="Times New Roman" w:hAnsi="Times New Roman"/>
        </w:rPr>
        <w:t xml:space="preserve">Khandelwal, M. (n.d.). </w:t>
      </w:r>
      <w:r>
        <w:rPr>
          <w:rFonts w:ascii="Times New Roman" w:cs="Times New Roman" w:eastAsia="Times New Roman" w:hAnsi="Times New Roman"/>
          <w:i/>
          <w:iCs/>
        </w:rPr>
        <w:t xml:space="preserve">Daily commodity prices India</w:t>
      </w:r>
      <w:r>
        <w:rPr>
          <w:rFonts w:ascii="Times New Roman" w:cs="Times New Roman" w:eastAsia="Times New Roman" w:hAnsi="Times New Roman"/>
        </w:rPr>
        <w:t xml:space="preserve"> [Data set]. Kaggle. Retrieved 2026, from https://www.kaggle.com/datasets/khandelwalmanas/daily-commodity-prices-india (compiled from Agmarknet, Directorate of Marketing and Inspection, Government of India).</w:t>
      </w:r>
    </w:p>
    <w:p>
      <w:pPr>
        <w:spacing w:after="140" w:before="0" w:line="276"/>
        <w:ind w:left="567" w:hanging="567"/>
        <w:jc w:val="left"/>
      </w:pPr>
      <w:r>
        <w:rPr>
          <w:rFonts w:ascii="Times New Roman" w:cs="Times New Roman" w:eastAsia="Times New Roman" w:hAnsi="Times New Roman"/>
        </w:rPr>
        <w:t xml:space="preserve">Lundberg, S. M., &amp; Lee, S.-I. (2017). A unified approach to interpreting model predictions. </w:t>
      </w:r>
      <w:r>
        <w:rPr>
          <w:rFonts w:ascii="Times New Roman" w:cs="Times New Roman" w:eastAsia="Times New Roman" w:hAnsi="Times New Roman"/>
          <w:i/>
          <w:iCs/>
        </w:rPr>
        <w:t xml:space="preserve">Advances in Neural Information Processing Systems</w:t>
      </w:r>
      <w:r>
        <w:rPr>
          <w:rFonts w:ascii="Times New Roman" w:cs="Times New Roman" w:eastAsia="Times New Roman" w:hAnsi="Times New Roman"/>
        </w:rPr>
        <w:t xml:space="preserve">, 30, 4765–4774.</w:t>
      </w:r>
    </w:p>
    <w:p>
      <w:pPr>
        <w:spacing w:after="140" w:before="0" w:line="276"/>
        <w:ind w:left="567" w:hanging="567"/>
        <w:jc w:val="left"/>
      </w:pPr>
      <w:r>
        <w:rPr>
          <w:rFonts w:ascii="Times New Roman" w:cs="Times New Roman" w:eastAsia="Times New Roman" w:hAnsi="Times New Roman"/>
        </w:rPr>
        <w:t xml:space="preserve">Makridakis, S., Spiliotis, E., &amp; Assimakopoulos, V. (2018a). Statistical and machine learning forecasting methods: Concerns and ways forward. </w:t>
      </w:r>
      <w:r>
        <w:rPr>
          <w:rFonts w:ascii="Times New Roman" w:cs="Times New Roman" w:eastAsia="Times New Roman" w:hAnsi="Times New Roman"/>
          <w:i/>
          <w:iCs/>
        </w:rPr>
        <w:t xml:space="preserve">PLoS ONE</w:t>
      </w:r>
      <w:r>
        <w:rPr>
          <w:rFonts w:ascii="Times New Roman" w:cs="Times New Roman" w:eastAsia="Times New Roman" w:hAnsi="Times New Roman"/>
        </w:rPr>
        <w:t xml:space="preserve">, 13(3), e0194889. https://doi.org/10.1371/journal.pone.0194889</w:t>
      </w:r>
    </w:p>
    <w:p>
      <w:pPr>
        <w:spacing w:after="140" w:before="0" w:line="276"/>
        <w:ind w:left="567" w:hanging="567"/>
        <w:jc w:val="left"/>
      </w:pPr>
      <w:r>
        <w:rPr>
          <w:rFonts w:ascii="Times New Roman" w:cs="Times New Roman" w:eastAsia="Times New Roman" w:hAnsi="Times New Roman"/>
        </w:rPr>
        <w:t xml:space="preserve">Makridakis, S., Spiliotis, E., &amp; Assimakopoulos, V. (2018b). The M4 Competition: Results, findings, conclusion and way forward. </w:t>
      </w:r>
      <w:r>
        <w:rPr>
          <w:rFonts w:ascii="Times New Roman" w:cs="Times New Roman" w:eastAsia="Times New Roman" w:hAnsi="Times New Roman"/>
          <w:i/>
          <w:iCs/>
        </w:rPr>
        <w:t xml:space="preserve">International Journal of Forecasting</w:t>
      </w:r>
      <w:r>
        <w:rPr>
          <w:rFonts w:ascii="Times New Roman" w:cs="Times New Roman" w:eastAsia="Times New Roman" w:hAnsi="Times New Roman"/>
        </w:rPr>
        <w:t xml:space="preserve">, 34(4), 802–808. https://doi.org/10.1016/j.ijforecast.2018.06.001</w:t>
      </w:r>
    </w:p>
    <w:p>
      <w:pPr>
        <w:spacing w:after="140" w:before="0" w:line="276"/>
        <w:ind w:left="567" w:hanging="567"/>
        <w:jc w:val="left"/>
      </w:pPr>
      <w:r>
        <w:rPr>
          <w:rFonts w:ascii="Times New Roman" w:cs="Times New Roman" w:eastAsia="Times New Roman" w:hAnsi="Times New Roman"/>
        </w:rPr>
        <w:t xml:space="preserve">Manogna, R. L., Dharmaji, V., &amp; Sarang, S. (2025). Enhancing agricultural commodity price forecasting with deep learning. </w:t>
      </w:r>
      <w:r>
        <w:rPr>
          <w:rFonts w:ascii="Times New Roman" w:cs="Times New Roman" w:eastAsia="Times New Roman" w:hAnsi="Times New Roman"/>
          <w:i/>
          <w:iCs/>
        </w:rPr>
        <w:t xml:space="preserve">Scientific Reports</w:t>
      </w:r>
      <w:r>
        <w:rPr>
          <w:rFonts w:ascii="Times New Roman" w:cs="Times New Roman" w:eastAsia="Times New Roman" w:hAnsi="Times New Roman"/>
        </w:rPr>
        <w:t xml:space="preserve">, 15, Article 20903. https://doi.org/10.1038/s41598-025-05103-z</w:t>
      </w:r>
    </w:p>
    <w:p>
      <w:pPr>
        <w:spacing w:after="140" w:before="0" w:line="276"/>
        <w:ind w:left="567" w:hanging="567"/>
        <w:jc w:val="left"/>
      </w:pPr>
      <w:r>
        <w:rPr>
          <w:rFonts w:ascii="Times New Roman" w:cs="Times New Roman" w:eastAsia="Times New Roman" w:hAnsi="Times New Roman"/>
        </w:rPr>
        <w:t xml:space="preserve">Mantaw, C. S., Prahadeeswaran, M., Karthick, V., Sumathi, C. S., &amp; Patil, S. G. (2024). Leveraging machine learning for accurate groundnut price forecasting in Tamil Nadu: An XGBoost approach. </w:t>
      </w:r>
      <w:r>
        <w:rPr>
          <w:rFonts w:ascii="Times New Roman" w:cs="Times New Roman" w:eastAsia="Times New Roman" w:hAnsi="Times New Roman"/>
          <w:i/>
          <w:iCs/>
        </w:rPr>
        <w:t xml:space="preserve">Research Square</w:t>
      </w:r>
      <w:r>
        <w:rPr>
          <w:rFonts w:ascii="Times New Roman" w:cs="Times New Roman" w:eastAsia="Times New Roman" w:hAnsi="Times New Roman"/>
        </w:rPr>
        <w:t xml:space="preserve"> [Preprint]. https://doi.org/10.21203/rs.3.rs-4293571/v1</w:t>
      </w:r>
    </w:p>
    <w:p>
      <w:pPr>
        <w:spacing w:after="140" w:before="0" w:line="276"/>
        <w:ind w:left="567" w:hanging="567"/>
        <w:jc w:val="left"/>
      </w:pPr>
      <w:r>
        <w:rPr>
          <w:rFonts w:ascii="Times New Roman" w:cs="Times New Roman" w:eastAsia="Times New Roman" w:hAnsi="Times New Roman"/>
        </w:rPr>
        <w:t xml:space="preserve">Molnar, C. (2022). </w:t>
      </w:r>
      <w:r>
        <w:rPr>
          <w:rFonts w:ascii="Times New Roman" w:cs="Times New Roman" w:eastAsia="Times New Roman" w:hAnsi="Times New Roman"/>
          <w:i/>
          <w:iCs/>
        </w:rPr>
        <w:t xml:space="preserve">Interpretable machine learning: A guide for making black box models explainable</w:t>
      </w:r>
      <w:r>
        <w:rPr>
          <w:rFonts w:ascii="Times New Roman" w:cs="Times New Roman" w:eastAsia="Times New Roman" w:hAnsi="Times New Roman"/>
        </w:rPr>
        <w:t xml:space="preserve"> (2nd ed.). https://christophm.github.io/interpretable-ml-book/</w:t>
      </w:r>
    </w:p>
    <w:p>
      <w:pPr>
        <w:spacing w:after="140" w:before="0" w:line="276"/>
        <w:ind w:left="567" w:hanging="567"/>
        <w:jc w:val="left"/>
      </w:pPr>
      <w:r>
        <w:rPr>
          <w:rFonts w:ascii="Times New Roman" w:cs="Times New Roman" w:eastAsia="Times New Roman" w:hAnsi="Times New Roman"/>
        </w:rPr>
        <w:t xml:space="preserve">Newey, W. K., &amp; West, K. D. (1987). A simple, positive semi-definite, heteroskedasticity and autocorrelation consistent covariance matrix. </w:t>
      </w:r>
      <w:r>
        <w:rPr>
          <w:rFonts w:ascii="Times New Roman" w:cs="Times New Roman" w:eastAsia="Times New Roman" w:hAnsi="Times New Roman"/>
          <w:i/>
          <w:iCs/>
        </w:rPr>
        <w:t xml:space="preserve">Econometrica</w:t>
      </w:r>
      <w:r>
        <w:rPr>
          <w:rFonts w:ascii="Times New Roman" w:cs="Times New Roman" w:eastAsia="Times New Roman" w:hAnsi="Times New Roman"/>
        </w:rPr>
        <w:t xml:space="preserve">, 55(3), 703–708. https://doi.org/10.2307/1913610</w:t>
      </w:r>
    </w:p>
    <w:p>
      <w:pPr>
        <w:spacing w:after="140" w:before="0" w:line="276"/>
        <w:ind w:left="567" w:hanging="567"/>
        <w:jc w:val="left"/>
      </w:pPr>
      <w:r>
        <w:rPr>
          <w:rFonts w:ascii="Times New Roman" w:cs="Times New Roman" w:eastAsia="Times New Roman" w:hAnsi="Times New Roman"/>
        </w:rPr>
        <w:t xml:space="preserve">Open-Meteo. (n.d.). </w:t>
      </w:r>
      <w:r>
        <w:rPr>
          <w:rFonts w:ascii="Times New Roman" w:cs="Times New Roman" w:eastAsia="Times New Roman" w:hAnsi="Times New Roman"/>
          <w:i/>
          <w:iCs/>
        </w:rPr>
        <w:t xml:space="preserve">Historical weather API</w:t>
      </w:r>
      <w:r>
        <w:rPr>
          <w:rFonts w:ascii="Times New Roman" w:cs="Times New Roman" w:eastAsia="Times New Roman" w:hAnsi="Times New Roman"/>
        </w:rPr>
        <w:t xml:space="preserve">. Retrieved 2026, from https://open-meteo.com/en/docs/historical-weather-api</w:t>
      </w:r>
    </w:p>
    <w:p>
      <w:pPr>
        <w:spacing w:after="140" w:before="0" w:line="276"/>
        <w:ind w:left="567" w:hanging="567"/>
        <w:jc w:val="left"/>
      </w:pPr>
      <w:r>
        <w:rPr>
          <w:rFonts w:ascii="Times New Roman" w:cs="Times New Roman" w:eastAsia="Times New Roman" w:hAnsi="Times New Roman"/>
        </w:rPr>
        <w:t xml:space="preserve">Padhi, P., Shekhar, H., &amp; Handa, A. (2023). </w:t>
      </w:r>
      <w:r>
        <w:rPr>
          <w:rFonts w:ascii="Times New Roman" w:cs="Times New Roman" w:eastAsia="Times New Roman" w:hAnsi="Times New Roman"/>
          <w:i/>
          <w:iCs/>
        </w:rPr>
        <w:t xml:space="preserve">Anatomy of price volatility transmission in Indian vegetables market</w:t>
      </w:r>
      <w:r>
        <w:rPr>
          <w:rFonts w:ascii="Times New Roman" w:cs="Times New Roman" w:eastAsia="Times New Roman" w:hAnsi="Times New Roman"/>
        </w:rPr>
        <w:t xml:space="preserve"> (DRG Study No. 49). Reserve Bank of India.</w:t>
      </w:r>
    </w:p>
    <w:p>
      <w:pPr>
        <w:spacing w:after="140" w:before="0" w:line="276"/>
        <w:ind w:left="567" w:hanging="567"/>
        <w:jc w:val="left"/>
      </w:pPr>
      <w:r>
        <w:rPr>
          <w:rFonts w:ascii="Times New Roman" w:cs="Times New Roman" w:eastAsia="Times New Roman" w:hAnsi="Times New Roman"/>
        </w:rPr>
        <w:t xml:space="preserve">Pedregosa, F., Varoquaux, G., Gramfort, A., Michel, V., Thirion, B., Grisel, O., et al. (2011). Scikit-learn: Machine learning in Python. </w:t>
      </w:r>
      <w:r>
        <w:rPr>
          <w:rFonts w:ascii="Times New Roman" w:cs="Times New Roman" w:eastAsia="Times New Roman" w:hAnsi="Times New Roman"/>
          <w:i/>
          <w:iCs/>
        </w:rPr>
        <w:t xml:space="preserve">Journal of Machine Learning Research</w:t>
      </w:r>
      <w:r>
        <w:rPr>
          <w:rFonts w:ascii="Times New Roman" w:cs="Times New Roman" w:eastAsia="Times New Roman" w:hAnsi="Times New Roman"/>
        </w:rPr>
        <w:t xml:space="preserve">, 12, 2825–2830.</w:t>
      </w:r>
    </w:p>
    <w:p>
      <w:pPr>
        <w:spacing w:after="140" w:before="0" w:line="276"/>
        <w:ind w:left="567" w:hanging="567"/>
        <w:jc w:val="left"/>
      </w:pPr>
      <w:r>
        <w:rPr>
          <w:rFonts w:ascii="Times New Roman" w:cs="Times New Roman" w:eastAsia="Times New Roman" w:hAnsi="Times New Roman"/>
        </w:rPr>
        <w:t xml:space="preserve">Roy, R., Gupta, S., Wardhan, H., Sarkar, S., Tewari, S., Bansal, R., Bhatia, S., &amp; Gulati, A. (2024). </w:t>
      </w:r>
      <w:r>
        <w:rPr>
          <w:rFonts w:ascii="Times New Roman" w:cs="Times New Roman" w:eastAsia="Times New Roman" w:hAnsi="Times New Roman"/>
          <w:i/>
          <w:iCs/>
        </w:rPr>
        <w:t xml:space="preserve">Vegetables inflation in India: A study of tomato, onion and potato (TOP)</w:t>
      </w:r>
      <w:r>
        <w:rPr>
          <w:rFonts w:ascii="Times New Roman" w:cs="Times New Roman" w:eastAsia="Times New Roman" w:hAnsi="Times New Roman"/>
        </w:rPr>
        <w:t xml:space="preserve"> (RBI Working Paper Series No. 08/2024). Reserve Bank of India. https://rbi.org.in/scripts/PublicationsView.aspx?Id=22723</w:t>
      </w:r>
    </w:p>
    <w:p>
      <w:pPr>
        <w:spacing w:after="140" w:before="0" w:line="276"/>
        <w:ind w:left="567" w:hanging="567"/>
        <w:jc w:val="left"/>
      </w:pPr>
      <w:r>
        <w:rPr>
          <w:rFonts w:ascii="Times New Roman" w:cs="Times New Roman" w:eastAsia="Times New Roman" w:hAnsi="Times New Roman"/>
        </w:rPr>
        <w:t xml:space="preserve">Seabold, S., &amp; Perktold, J. (2010). Statsmodels: Econometric and statistical modeling with Python. In </w:t>
      </w:r>
      <w:r>
        <w:rPr>
          <w:rFonts w:ascii="Times New Roman" w:cs="Times New Roman" w:eastAsia="Times New Roman" w:hAnsi="Times New Roman"/>
          <w:i/>
          <w:iCs/>
        </w:rPr>
        <w:t xml:space="preserve">Proceedings of the 9th Python in Science Conference</w:t>
      </w:r>
      <w:r>
        <w:rPr>
          <w:rFonts w:ascii="Times New Roman" w:cs="Times New Roman" w:eastAsia="Times New Roman" w:hAnsi="Times New Roman"/>
        </w:rPr>
        <w:t xml:space="preserve"> (pp. 92–96).</w:t>
      </w:r>
    </w:p>
    <w:p>
      <w:pPr>
        <w:spacing w:after="140" w:before="0" w:line="276"/>
        <w:ind w:left="567" w:hanging="567"/>
        <w:jc w:val="left"/>
      </w:pPr>
      <w:r>
        <w:rPr>
          <w:rFonts w:ascii="Times New Roman" w:cs="Times New Roman" w:eastAsia="Times New Roman" w:hAnsi="Times New Roman"/>
        </w:rPr>
        <w:t xml:space="preserve">Silver, E. A., Pyke, D. F., &amp; Thomas, D. J. (2017). </w:t>
      </w:r>
      <w:r>
        <w:rPr>
          <w:rFonts w:ascii="Times New Roman" w:cs="Times New Roman" w:eastAsia="Times New Roman" w:hAnsi="Times New Roman"/>
          <w:i/>
          <w:iCs/>
        </w:rPr>
        <w:t xml:space="preserve">Inventory and production management in supply chains</w:t>
      </w:r>
      <w:r>
        <w:rPr>
          <w:rFonts w:ascii="Times New Roman" w:cs="Times New Roman" w:eastAsia="Times New Roman" w:hAnsi="Times New Roman"/>
        </w:rPr>
        <w:t xml:space="preserve"> (4th ed.). CRC Press.</w:t>
      </w:r>
    </w:p>
    <w:p>
      <w:pPr>
        <w:spacing w:after="140" w:before="0" w:line="276"/>
        <w:ind w:left="567" w:hanging="567"/>
        <w:jc w:val="left"/>
      </w:pPr>
      <w:r>
        <w:rPr>
          <w:rFonts w:ascii="Times New Roman" w:cs="Times New Roman" w:eastAsia="Times New Roman" w:hAnsi="Times New Roman"/>
        </w:rPr>
        <w:t xml:space="preserve">Tamilselvi, C., &amp; Mohan Naidu, G. (2020). Forecasting of vegetable arrivals and wholesale prices of Koyambedu market in Chennai using SARIMA approach. </w:t>
      </w:r>
      <w:r>
        <w:rPr>
          <w:rFonts w:ascii="Times New Roman" w:cs="Times New Roman" w:eastAsia="Times New Roman" w:hAnsi="Times New Roman"/>
          <w:i/>
          <w:iCs/>
        </w:rPr>
        <w:t xml:space="preserve">International Journal of Current Microbiology and Applied Sciences</w:t>
      </w:r>
      <w:r>
        <w:rPr>
          <w:rFonts w:ascii="Times New Roman" w:cs="Times New Roman" w:eastAsia="Times New Roman" w:hAnsi="Times New Roman"/>
        </w:rPr>
        <w:t xml:space="preserve">, 9(10), 3059–3068. https://doi.org/10.20546/ijcmas.2020.910.368</w:t>
      </w:r>
    </w:p>
    <w:p>
      <w:pPr>
        <w:spacing w:after="140" w:before="0" w:line="276"/>
        <w:ind w:left="567" w:hanging="567"/>
        <w:jc w:val="left"/>
      </w:pPr>
      <w:r>
        <w:rPr>
          <w:rFonts w:ascii="Times New Roman" w:cs="Times New Roman" w:eastAsia="Times New Roman" w:hAnsi="Times New Roman"/>
        </w:rPr>
        <w:t xml:space="preserve">Tashman, L. J. (2000). Out-of-sample tests of forecasting accuracy: An analysis and review. </w:t>
      </w:r>
      <w:r>
        <w:rPr>
          <w:rFonts w:ascii="Times New Roman" w:cs="Times New Roman" w:eastAsia="Times New Roman" w:hAnsi="Times New Roman"/>
          <w:i/>
          <w:iCs/>
        </w:rPr>
        <w:t xml:space="preserve">International Journal of Forecasting</w:t>
      </w:r>
      <w:r>
        <w:rPr>
          <w:rFonts w:ascii="Times New Roman" w:cs="Times New Roman" w:eastAsia="Times New Roman" w:hAnsi="Times New Roman"/>
        </w:rPr>
        <w:t xml:space="preserve">, 16(4), 437–450. https://doi.org/10.1016/S0169-2070(00)00065-0</w:t>
      </w:r>
    </w:p>
    <w:p>
      <w:pPr>
        <w:spacing w:after="140" w:before="0" w:line="276"/>
        <w:ind w:left="567" w:hanging="567"/>
        <w:jc w:val="left"/>
      </w:pPr>
      <w:r>
        <w:rPr>
          <w:rFonts w:ascii="Times New Roman" w:cs="Times New Roman" w:eastAsia="Times New Roman" w:hAnsi="Times New Roman"/>
        </w:rPr>
        <w:t xml:space="preserve">Taylor, S. J., &amp; Letham, B. (2018). Forecasting at scale. </w:t>
      </w:r>
      <w:r>
        <w:rPr>
          <w:rFonts w:ascii="Times New Roman" w:cs="Times New Roman" w:eastAsia="Times New Roman" w:hAnsi="Times New Roman"/>
          <w:i/>
          <w:iCs/>
        </w:rPr>
        <w:t xml:space="preserve">The American Statistician</w:t>
      </w:r>
      <w:r>
        <w:rPr>
          <w:rFonts w:ascii="Times New Roman" w:cs="Times New Roman" w:eastAsia="Times New Roman" w:hAnsi="Times New Roman"/>
        </w:rPr>
        <w:t xml:space="preserve">, 72(1), 37–45. https://doi.org/10.1080/00031305.2017.1380080</w:t>
      </w:r>
    </w:p>
    <w:p>
      <w:pPr>
        <w:spacing w:after="140" w:before="0" w:line="276"/>
        <w:ind w:left="567" w:hanging="567"/>
        <w:jc w:val="left"/>
      </w:pPr>
      <w:r>
        <w:rPr>
          <w:rFonts w:ascii="Times New Roman" w:cs="Times New Roman" w:eastAsia="Times New Roman" w:hAnsi="Times New Roman"/>
        </w:rPr>
        <w:t xml:space="preserve">Vegetable Market Price. (n.d.). </w:t>
      </w:r>
      <w:r>
        <w:rPr>
          <w:rFonts w:ascii="Times New Roman" w:cs="Times New Roman" w:eastAsia="Times New Roman" w:hAnsi="Times New Roman"/>
          <w:i/>
          <w:iCs/>
        </w:rPr>
        <w:t xml:space="preserve">Koyambedu market price history</w:t>
      </w:r>
      <w:r>
        <w:rPr>
          <w:rFonts w:ascii="Times New Roman" w:cs="Times New Roman" w:eastAsia="Times New Roman" w:hAnsi="Times New Roman"/>
        </w:rPr>
        <w:t xml:space="preserve">. Retrieved 17 October 2026, from https://vegetablemarketprice.com/market/koyambedu/history (daily series attributed to the Koyambedu Vegetable Merchants’ Council).</w:t>
      </w:r>
    </w:p>
    <w:p>
      <w:pPr>
        <w:spacing w:after="140" w:before="0" w:line="276"/>
        <w:ind w:left="567" w:hanging="567"/>
        <w:jc w:val="left"/>
      </w:pPr>
      <w:r>
        <w:rPr>
          <w:rFonts w:ascii="Times New Roman" w:cs="Times New Roman" w:eastAsia="Times New Roman" w:hAnsi="Times New Roman"/>
        </w:rPr>
        <w:t xml:space="preserve">Wang, L., Ma, C., Feng, X., Zhang, Z., Yang, H., Zhang, J., et al. (2024). A survey on large language model based autonomous agents. </w:t>
      </w:r>
      <w:r>
        <w:rPr>
          <w:rFonts w:ascii="Times New Roman" w:cs="Times New Roman" w:eastAsia="Times New Roman" w:hAnsi="Times New Roman"/>
          <w:i/>
          <w:iCs/>
        </w:rPr>
        <w:t xml:space="preserve">Frontiers of Computer Science</w:t>
      </w:r>
      <w:r>
        <w:rPr>
          <w:rFonts w:ascii="Times New Roman" w:cs="Times New Roman" w:eastAsia="Times New Roman" w:hAnsi="Times New Roman"/>
        </w:rPr>
        <w:t xml:space="preserve">, 18(6), 186345. https://doi.org/10.1007/s11704-024-40231-1</w:t>
      </w:r>
    </w:p>
    <w:p>
      <w:pPr>
        <w:spacing w:after="140" w:before="0" w:line="276"/>
        <w:ind w:left="567" w:hanging="567"/>
        <w:jc w:val="left"/>
      </w:pPr>
      <w:r>
        <w:rPr>
          <w:rFonts w:ascii="Times New Roman" w:cs="Times New Roman" w:eastAsia="Times New Roman" w:hAnsi="Times New Roman"/>
        </w:rPr>
        <w:t xml:space="preserve">Zhang, Z., Zhang, J., Liu, H., Lv, Q., Yang, J., Cai, K., &amp; Wang, K. (2026). AgriWorld: A World Tools Protocol framework for verifiable agricultural reasoning with code-executing LLM agents. </w:t>
      </w:r>
      <w:r>
        <w:rPr>
          <w:rFonts w:ascii="Times New Roman" w:cs="Times New Roman" w:eastAsia="Times New Roman" w:hAnsi="Times New Roman"/>
          <w:i/>
          <w:iCs/>
        </w:rPr>
        <w:t xml:space="preserve">arXiv:2602.15325</w:t>
      </w:r>
      <w:r>
        <w:rPr>
          <w:rFonts w:ascii="Times New Roman" w:cs="Times New Roman" w:eastAsia="Times New Roman" w:hAnsi="Times New Roman"/>
        </w:rPr>
        <w:t xml:space="preserve">. https://doi.org/10.48550/arXiv.2602.15325</w:t>
      </w:r>
    </w:p>
    <w:p>
      <w:pPr>
        <w:pStyle w:val="Heading1"/>
        <w:pageBreakBefore/>
        <w:spacing w:after="360" w:before="240"/>
        <w:jc w:val="center"/>
      </w:pPr>
      <w:r>
        <w:rPr>
          <w:rFonts w:ascii="Times New Roman" w:cs="Times New Roman" w:eastAsia="Times New Roman" w:hAnsi="Times New Roman"/>
          <w:b/>
          <w:bCs/>
          <w:sz w:val="28"/>
          <w:szCs w:val="28"/>
        </w:rPr>
        <w:t xml:space="preserve">APPENDIX A – DATA DICTIONARY</w:t>
      </w:r>
    </w:p>
    <w:p>
      <w:pPr>
        <w:pStyle w:val="TableCaption"/>
        <w:keepNext/>
        <w:spacing w:after="80" w:before="200" w:line="276"/>
        <w:jc w:val="center"/>
      </w:pPr>
      <w:r>
        <w:rPr>
          <w:rFonts w:ascii="Times New Roman" w:cs="Times New Roman" w:eastAsia="Times New Roman" w:hAnsi="Times New Roman"/>
          <w:b/>
          <w:bCs/>
          <w:sz w:val="22"/>
          <w:szCs w:val="22"/>
        </w:rPr>
        <w:t xml:space="preserve">Table A.1: </w:t>
      </w:r>
      <w:r>
        <w:rPr>
          <w:rFonts w:ascii="Times New Roman" w:cs="Times New Roman" w:eastAsia="Times New Roman" w:hAnsi="Times New Roman"/>
          <w:sz w:val="22"/>
          <w:szCs w:val="22"/>
        </w:rPr>
        <w:t xml:space="preserve">Fields of the processed price data</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2017"/>
        <w:gridCol w:w="1135"/>
        <w:gridCol w:w="2774"/>
        <w:gridCol w:w="2522"/>
      </w:tblGrid>
      <w:tr>
        <w:trPr>
          <w:cantSplit/>
          <w:tblHeader/>
        </w:trPr>
        <w:tc>
          <w:tcPr>
            <w:tcW w:type="dxa" w:w="201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Field</w:t>
            </w:r>
          </w:p>
        </w:tc>
        <w:tc>
          <w:tcPr>
            <w:tcW w:type="dxa" w:w="113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Source</w:t>
            </w:r>
          </w:p>
        </w:tc>
        <w:tc>
          <w:tcPr>
            <w:tcW w:type="dxa" w:w="277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Meaning</w:t>
            </w:r>
          </w:p>
        </w:tc>
        <w:tc>
          <w:tcPr>
            <w:tcW w:type="dxa" w:w="252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8"/>
                <w:szCs w:val="18"/>
              </w:rPr>
              <w:t xml:space="preserve">Caution</w:t>
            </w:r>
          </w:p>
        </w:tc>
      </w:tr>
      <w:tr>
        <w:trPr>
          <w:cantSplit/>
        </w:trPr>
        <w:tc>
          <w:tcPr>
            <w:tcW w:type="dxa" w:w="201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arrival_date</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Statewide</w:t>
            </w:r>
          </w:p>
        </w:tc>
        <w:tc>
          <w:tcPr>
            <w:tcW w:type="dxa" w:w="277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Reported trading date</w:t>
            </w:r>
          </w:p>
        </w:tc>
        <w:tc>
          <w:tcPr>
            <w:tcW w:type="dxa" w:w="252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Daily calendar; missing days forward-filled up to 3</w:t>
            </w:r>
          </w:p>
        </w:tc>
      </w:tr>
      <w:tr>
        <w:trPr>
          <w:cantSplit/>
        </w:trPr>
        <w:tc>
          <w:tcPr>
            <w:tcW w:type="dxa" w:w="201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market / district</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Statewide</w:t>
            </w:r>
          </w:p>
        </w:tc>
        <w:tc>
          <w:tcPr>
            <w:tcW w:type="dxa" w:w="277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Reporting market and district (451 / 36)</w:t>
            </w:r>
          </w:p>
        </w:tc>
        <w:tc>
          <w:tcPr>
            <w:tcW w:type="dxa" w:w="252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90.7% Uzhavar Sandhai</w:t>
            </w:r>
          </w:p>
        </w:tc>
      </w:tr>
      <w:tr>
        <w:trPr>
          <w:cantSplit/>
        </w:trPr>
        <w:tc>
          <w:tcPr>
            <w:tcW w:type="dxa" w:w="201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commodity</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Both</w:t>
            </w:r>
          </w:p>
        </w:tc>
        <w:tc>
          <w:tcPr>
            <w:tcW w:type="dxa" w:w="277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One of 8 study vegetables</w:t>
            </w:r>
          </w:p>
        </w:tc>
        <w:tc>
          <w:tcPr>
            <w:tcW w:type="dxa" w:w="252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Variety names mapped (Appendix B)</w:t>
            </w:r>
          </w:p>
        </w:tc>
      </w:tr>
      <w:tr>
        <w:trPr>
          <w:cantSplit/>
        </w:trPr>
        <w:tc>
          <w:tcPr>
            <w:tcW w:type="dxa" w:w="201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min / max / modal_price</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Statewide</w:t>
            </w:r>
          </w:p>
        </w:tc>
        <w:tc>
          <w:tcPr>
            <w:tcW w:type="dxa" w:w="277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Reported prices, ₹/quintal</w:t>
            </w:r>
          </w:p>
        </w:tc>
        <w:tc>
          <w:tcPr>
            <w:tcW w:type="dxa" w:w="252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~2.7% values look per-kg</w:t>
            </w:r>
          </w:p>
        </w:tc>
      </w:tr>
      <w:tr>
        <w:trPr>
          <w:cantSplit/>
        </w:trPr>
        <w:tc>
          <w:tcPr>
            <w:tcW w:type="dxa" w:w="201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market_count</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Statewide</w:t>
            </w:r>
          </w:p>
        </w:tc>
        <w:tc>
          <w:tcPr>
            <w:tcW w:type="dxa" w:w="277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Markets reporting the commodity on the previous day</w:t>
            </w:r>
          </w:p>
        </w:tc>
        <w:tc>
          <w:tcPr>
            <w:tcW w:type="dxa" w:w="252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Breadth, not arrival volume</w:t>
            </w:r>
          </w:p>
        </w:tc>
      </w:tr>
      <w:tr>
        <w:trPr>
          <w:cantSplit/>
        </w:trPr>
        <w:tc>
          <w:tcPr>
            <w:tcW w:type="dxa" w:w="201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observed_price_inr_per_kg</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Koyambedu</w:t>
            </w:r>
          </w:p>
        </w:tc>
        <w:tc>
          <w:tcPr>
            <w:tcW w:type="dxa" w:w="277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API yValue, copied unchanged</w:t>
            </w:r>
          </w:p>
        </w:tc>
        <w:tc>
          <w:tcPr>
            <w:tcW w:type="dxa" w:w="252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Wholesale/retail basis not stated</w:t>
            </w:r>
          </w:p>
        </w:tc>
      </w:tr>
      <w:tr>
        <w:trPr>
          <w:cantSplit/>
        </w:trPr>
        <w:tc>
          <w:tcPr>
            <w:tcW w:type="dxa" w:w="201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veg_id / mapping_note</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Koyambedu</w:t>
            </w:r>
          </w:p>
        </w:tc>
        <w:tc>
          <w:tcPr>
            <w:tcW w:type="dxa" w:w="277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Source series and mapping rule</w:t>
            </w:r>
          </w:p>
        </w:tc>
        <w:tc>
          <w:tcPr>
            <w:tcW w:type="dxa" w:w="252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French Beans, Big Onion proxies</w:t>
            </w:r>
          </w:p>
        </w:tc>
      </w:tr>
      <w:tr>
        <w:trPr>
          <w:cantSplit/>
        </w:trPr>
        <w:tc>
          <w:tcPr>
            <w:tcW w:type="dxa" w:w="201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precipitation, temp_max, temp_avg</w:t>
            </w:r>
          </w:p>
        </w:tc>
        <w:tc>
          <w:tcPr>
            <w:tcW w:type="dxa" w:w="11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Weather</w:t>
            </w:r>
          </w:p>
        </w:tc>
        <w:tc>
          <w:tcPr>
            <w:tcW w:type="dxa" w:w="277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Daily Chennai observations</w:t>
            </w:r>
          </w:p>
        </w:tc>
        <w:tc>
          <w:tcPr>
            <w:tcW w:type="dxa" w:w="252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8"/>
                <w:szCs w:val="18"/>
              </w:rPr>
              <w:t xml:space="preserve">Point location; lagged 1 day in features</w:t>
            </w:r>
          </w:p>
        </w:tc>
      </w:tr>
    </w:tbl>
    <w:p>
      <w:pPr>
        <w:spacing w:after="200" w:before="60" w:line="240"/>
      </w:pPr>
      <w:r>
        <w:rPr>
          <w:rFonts w:ascii="Times New Roman" w:cs="Times New Roman" w:eastAsia="Times New Roman" w:hAnsi="Times New Roman"/>
          <w:i/>
          <w:iCs/>
          <w:sz w:val="18"/>
          <w:szCs w:val="18"/>
        </w:rPr>
        <w:t xml:space="preserve">Source: Project data files.</w:t>
      </w:r>
    </w:p>
    <w:p>
      <w:pPr>
        <w:pStyle w:val="Heading1"/>
        <w:pageBreakBefore/>
        <w:spacing w:after="360" w:before="240"/>
        <w:jc w:val="center"/>
      </w:pPr>
      <w:r>
        <w:rPr>
          <w:rFonts w:ascii="Times New Roman" w:cs="Times New Roman" w:eastAsia="Times New Roman" w:hAnsi="Times New Roman"/>
          <w:b/>
          <w:bCs/>
          <w:sz w:val="28"/>
          <w:szCs w:val="28"/>
        </w:rPr>
        <w:t xml:space="preserve">APPENDIX B – MODEL FEATURES, SETTINGS AND MAPPINGS</w:t>
      </w:r>
    </w:p>
    <w:p>
      <w:pPr>
        <w:spacing w:after="120" w:before="0" w:line="360"/>
        <w:jc w:val="both"/>
      </w:pPr>
      <w:r>
        <w:rPr>
          <w:rFonts w:ascii="Times New Roman" w:cs="Times New Roman" w:eastAsia="Times New Roman" w:hAnsi="Times New Roman"/>
          <w:b/>
          <w:bCs/>
        </w:rPr>
        <w:t xml:space="preserve">Features used by the statewide tree models (38):</w:t>
      </w:r>
      <w:r>
        <w:rPr>
          <w:rFonts w:ascii="Times New Roman" w:cs="Times New Roman" w:eastAsia="Times New Roman" w:hAnsi="Times New Roman"/>
        </w:rPr>
        <w:t xml:space="preserve"> lag_7, lag_14, lag_21, lag_30; rolling_mean_7, rolling_mean_14; rolling_std_7, rolling_std_14; rolling_min_7, rolling_max_7; ema_7, ema_14; momentum_7, momentum_14, momentum_30; price_acceleration; position_52w; month, week_of_year, day_of_week; sw_monsoon, ne_monsoon; pongal, tamil_new_year, diwali, navratri; market_count; rain_7d_sum, rain_30d_sum, temp_max; and cross_&lt;commodity&gt;_lag1 for each of the eight vegetables (including the model’s own commodity).</w:t>
      </w:r>
    </w:p>
    <w:p>
      <w:pPr>
        <w:pStyle w:val="TableCaption"/>
        <w:keepNext/>
        <w:spacing w:after="80" w:before="200" w:line="276"/>
        <w:jc w:val="center"/>
      </w:pPr>
      <w:r>
        <w:rPr>
          <w:rFonts w:ascii="Times New Roman" w:cs="Times New Roman" w:eastAsia="Times New Roman" w:hAnsi="Times New Roman"/>
          <w:b/>
          <w:bCs/>
          <w:sz w:val="22"/>
          <w:szCs w:val="22"/>
        </w:rPr>
        <w:t xml:space="preserve">Table B.1: </w:t>
      </w:r>
      <w:r>
        <w:rPr>
          <w:rFonts w:ascii="Times New Roman" w:cs="Times New Roman" w:eastAsia="Times New Roman" w:hAnsi="Times New Roman"/>
          <w:sz w:val="22"/>
          <w:szCs w:val="22"/>
        </w:rPr>
        <w:t xml:space="preserve">Commodity name mappings</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2011"/>
        <w:gridCol w:w="3486"/>
        <w:gridCol w:w="2951"/>
      </w:tblGrid>
      <w:tr>
        <w:trPr>
          <w:cantSplit/>
          <w:tblHeader/>
        </w:trPr>
        <w:tc>
          <w:tcPr>
            <w:tcW w:type="dxa" w:w="2011"/>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Study commodity</w:t>
            </w:r>
          </w:p>
        </w:tc>
        <w:tc>
          <w:tcPr>
            <w:tcW w:type="dxa" w:w="348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Statewide names mapped</w:t>
            </w:r>
          </w:p>
        </w:tc>
        <w:tc>
          <w:tcPr>
            <w:tcW w:type="dxa" w:w="2951"/>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Koyambedu series</w:t>
            </w:r>
          </w:p>
        </w:tc>
      </w:tr>
      <w:tr>
        <w:trPr>
          <w:cantSplit/>
        </w:trPr>
        <w:tc>
          <w:tcPr>
            <w:tcW w:type="dxa" w:w="201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Beans</w:t>
            </w:r>
          </w:p>
        </w:tc>
        <w:tc>
          <w:tcPr>
            <w:tcW w:type="dxa" w:w="34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Beans, French Beans, Indian Beans (Seam), Seam</w:t>
            </w:r>
          </w:p>
        </w:tc>
        <w:tc>
          <w:tcPr>
            <w:tcW w:type="dxa" w:w="295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French Beans (provisional)</w:t>
            </w:r>
          </w:p>
        </w:tc>
      </w:tr>
      <w:tr>
        <w:trPr>
          <w:cantSplit/>
        </w:trPr>
        <w:tc>
          <w:tcPr>
            <w:tcW w:type="dxa" w:w="201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Brinjal</w:t>
            </w:r>
          </w:p>
        </w:tc>
        <w:tc>
          <w:tcPr>
            <w:tcW w:type="dxa" w:w="34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Brinjal, Eggplant</w:t>
            </w:r>
          </w:p>
        </w:tc>
        <w:tc>
          <w:tcPr>
            <w:tcW w:type="dxa" w:w="295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Brinjal (not Big Brinjal)</w:t>
            </w:r>
          </w:p>
        </w:tc>
      </w:tr>
      <w:tr>
        <w:trPr>
          <w:cantSplit/>
        </w:trPr>
        <w:tc>
          <w:tcPr>
            <w:tcW w:type="dxa" w:w="201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Onion</w:t>
            </w:r>
          </w:p>
        </w:tc>
        <w:tc>
          <w:tcPr>
            <w:tcW w:type="dxa" w:w="34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Onion</w:t>
            </w:r>
          </w:p>
        </w:tc>
        <w:tc>
          <w:tcPr>
            <w:tcW w:type="dxa" w:w="295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Big Onion (not small or green)</w:t>
            </w:r>
          </w:p>
        </w:tc>
      </w:tr>
      <w:tr>
        <w:trPr>
          <w:cantSplit/>
        </w:trPr>
        <w:tc>
          <w:tcPr>
            <w:tcW w:type="dxa" w:w="201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Drumstick</w:t>
            </w:r>
          </w:p>
        </w:tc>
        <w:tc>
          <w:tcPr>
            <w:tcW w:type="dxa" w:w="34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Drumstick</w:t>
            </w:r>
          </w:p>
        </w:tc>
        <w:tc>
          <w:tcPr>
            <w:tcW w:type="dxa" w:w="295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Drumsticks</w:t>
            </w:r>
          </w:p>
        </w:tc>
      </w:tr>
      <w:tr>
        <w:trPr>
          <w:cantSplit/>
        </w:trPr>
        <w:tc>
          <w:tcPr>
            <w:tcW w:type="dxa" w:w="201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Tomato, Potato, Cabbage, Carrot</w:t>
            </w:r>
          </w:p>
        </w:tc>
        <w:tc>
          <w:tcPr>
            <w:tcW w:type="dxa" w:w="348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Same name</w:t>
            </w:r>
          </w:p>
        </w:tc>
        <w:tc>
          <w:tcPr>
            <w:tcW w:type="dxa" w:w="295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Same name</w:t>
            </w:r>
          </w:p>
        </w:tc>
      </w:tr>
    </w:tbl>
    <w:p>
      <w:pPr>
        <w:spacing w:after="200" w:before="60" w:line="240"/>
      </w:pPr>
      <w:r>
        <w:rPr>
          <w:rFonts w:ascii="Times New Roman" w:cs="Times New Roman" w:eastAsia="Times New Roman" w:hAnsi="Times New Roman"/>
          <w:i/>
          <w:iCs/>
          <w:sz w:val="18"/>
          <w:szCs w:val="18"/>
        </w:rPr>
        <w:t xml:space="preserve">Source: Author’s analysis.</w:t>
      </w:r>
    </w:p>
    <w:p>
      <w:pPr>
        <w:pStyle w:val="TableCaption"/>
        <w:keepNext/>
        <w:spacing w:after="80" w:before="200" w:line="276"/>
        <w:jc w:val="center"/>
      </w:pPr>
      <w:r>
        <w:rPr>
          <w:rFonts w:ascii="Times New Roman" w:cs="Times New Roman" w:eastAsia="Times New Roman" w:hAnsi="Times New Roman"/>
          <w:b/>
          <w:bCs/>
          <w:sz w:val="22"/>
          <w:szCs w:val="22"/>
        </w:rPr>
        <w:t xml:space="preserve">Table B.2: </w:t>
      </w:r>
      <w:r>
        <w:rPr>
          <w:rFonts w:ascii="Times New Roman" w:cs="Times New Roman" w:eastAsia="Times New Roman" w:hAnsi="Times New Roman"/>
          <w:sz w:val="22"/>
          <w:szCs w:val="22"/>
        </w:rPr>
        <w:t xml:space="preserve">Festival and season flags</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2112"/>
        <w:gridCol w:w="6336"/>
      </w:tblGrid>
      <w:tr>
        <w:trPr>
          <w:cantSplit/>
          <w:tblHeader/>
        </w:trPr>
        <w:tc>
          <w:tcPr>
            <w:tcW w:type="dxa" w:w="211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Flag</w:t>
            </w:r>
          </w:p>
        </w:tc>
        <w:tc>
          <w:tcPr>
            <w:tcW w:type="dxa" w:w="633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Definition</w:t>
            </w:r>
          </w:p>
        </w:tc>
      </w:tr>
      <w:tr>
        <w:trPr>
          <w:cantSplit/>
        </w:trPr>
        <w:tc>
          <w:tcPr>
            <w:tcW w:type="dxa" w:w="211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Pongal</w:t>
            </w:r>
          </w:p>
        </w:tc>
        <w:tc>
          <w:tcPr>
            <w:tcW w:type="dxa" w:w="633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13–17 January</w:t>
            </w:r>
          </w:p>
        </w:tc>
      </w:tr>
      <w:tr>
        <w:trPr>
          <w:cantSplit/>
        </w:trPr>
        <w:tc>
          <w:tcPr>
            <w:tcW w:type="dxa" w:w="211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Tamil New Year</w:t>
            </w:r>
          </w:p>
        </w:tc>
        <w:tc>
          <w:tcPr>
            <w:tcW w:type="dxa" w:w="633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13–15 April</w:t>
            </w:r>
          </w:p>
        </w:tc>
      </w:tr>
      <w:tr>
        <w:trPr>
          <w:cantSplit/>
        </w:trPr>
        <w:tc>
          <w:tcPr>
            <w:tcW w:type="dxa" w:w="211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Diwali</w:t>
            </w:r>
          </w:p>
        </w:tc>
        <w:tc>
          <w:tcPr>
            <w:tcW w:type="dxa" w:w="633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October–November, ISO weeks 40–46 (broad; about 7 weeks)</w:t>
            </w:r>
          </w:p>
        </w:tc>
      </w:tr>
      <w:tr>
        <w:trPr>
          <w:cantSplit/>
        </w:trPr>
        <w:tc>
          <w:tcPr>
            <w:tcW w:type="dxa" w:w="211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Navratri</w:t>
            </w:r>
          </w:p>
        </w:tc>
        <w:tc>
          <w:tcPr>
            <w:tcW w:type="dxa" w:w="633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September–October, ISO weeks 38–42</w:t>
            </w:r>
          </w:p>
        </w:tc>
      </w:tr>
      <w:tr>
        <w:trPr>
          <w:cantSplit/>
        </w:trPr>
        <w:tc>
          <w:tcPr>
            <w:tcW w:type="dxa" w:w="211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SW monsoon</w:t>
            </w:r>
          </w:p>
        </w:tc>
        <w:tc>
          <w:tcPr>
            <w:tcW w:type="dxa" w:w="633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June–September</w:t>
            </w:r>
          </w:p>
        </w:tc>
      </w:tr>
      <w:tr>
        <w:trPr>
          <w:cantSplit/>
        </w:trPr>
        <w:tc>
          <w:tcPr>
            <w:tcW w:type="dxa" w:w="211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NE monsoon</w:t>
            </w:r>
          </w:p>
        </w:tc>
        <w:tc>
          <w:tcPr>
            <w:tcW w:type="dxa" w:w="633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October–December</w:t>
            </w:r>
          </w:p>
        </w:tc>
      </w:tr>
    </w:tbl>
    <w:p>
      <w:pPr>
        <w:spacing w:after="200" w:before="60" w:line="240"/>
      </w:pPr>
      <w:r>
        <w:rPr>
          <w:rFonts w:ascii="Times New Roman" w:cs="Times New Roman" w:eastAsia="Times New Roman" w:hAnsi="Times New Roman"/>
          <w:i/>
          <w:iCs/>
          <w:sz w:val="18"/>
          <w:szCs w:val="18"/>
        </w:rPr>
        <w:t xml:space="preserve">Source: Author’s analysis. Prophet uses exact dated holidays for 2024–2026.</w:t>
      </w:r>
    </w:p>
    <w:p>
      <w:pPr>
        <w:pStyle w:val="Heading1"/>
        <w:pageBreakBefore/>
        <w:spacing w:after="360" w:before="240"/>
        <w:jc w:val="center"/>
      </w:pPr>
      <w:r>
        <w:rPr>
          <w:rFonts w:ascii="Times New Roman" w:cs="Times New Roman" w:eastAsia="Times New Roman" w:hAnsi="Times New Roman"/>
          <w:b/>
          <w:bCs/>
          <w:sz w:val="28"/>
          <w:szCs w:val="28"/>
        </w:rPr>
        <w:t xml:space="preserve">APPENDIX C – PIPELINE STAGES AND REPORT MAPPING</w:t>
      </w:r>
    </w:p>
    <w:p>
      <w:pPr>
        <w:spacing w:after="120" w:before="0" w:line="360"/>
        <w:jc w:val="both"/>
      </w:pPr>
      <w:r>
        <w:rPr>
          <w:rFonts w:ascii="Times New Roman" w:cs="Times New Roman" w:eastAsia="Times New Roman" w:hAnsi="Times New Roman"/>
        </w:rPr>
        <w:t xml:space="preserve">The analysis is implemented as numbered Python scripts in the project repository. Table C.1 maps each stage to the results it produces in this report.</w:t>
      </w:r>
    </w:p>
    <w:p>
      <w:pPr>
        <w:pStyle w:val="TableCaption"/>
        <w:keepNext/>
        <w:spacing w:after="80" w:before="200" w:line="276"/>
        <w:jc w:val="center"/>
      </w:pPr>
      <w:r>
        <w:rPr>
          <w:rFonts w:ascii="Times New Roman" w:cs="Times New Roman" w:eastAsia="Times New Roman" w:hAnsi="Times New Roman"/>
          <w:b/>
          <w:bCs/>
          <w:sz w:val="22"/>
          <w:szCs w:val="22"/>
        </w:rPr>
        <w:t xml:space="preserve">Table C.1: </w:t>
      </w:r>
      <w:r>
        <w:rPr>
          <w:rFonts w:ascii="Times New Roman" w:cs="Times New Roman" w:eastAsia="Times New Roman" w:hAnsi="Times New Roman"/>
          <w:sz w:val="22"/>
          <w:szCs w:val="22"/>
        </w:rPr>
        <w:t xml:space="preserve">Pipeline stages and where their results appear</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2244"/>
        <w:gridCol w:w="3696"/>
        <w:gridCol w:w="2508"/>
      </w:tblGrid>
      <w:tr>
        <w:trPr>
          <w:cantSplit/>
          <w:tblHeader/>
        </w:trPr>
        <w:tc>
          <w:tcPr>
            <w:tcW w:type="dxa" w:w="224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Stage (scripts)</w:t>
            </w:r>
          </w:p>
        </w:tc>
        <w:tc>
          <w:tcPr>
            <w:tcW w:type="dxa" w:w="369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Purpose</w:t>
            </w:r>
          </w:p>
        </w:tc>
        <w:tc>
          <w:tcPr>
            <w:tcW w:type="dxa" w:w="250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7"/>
                <w:szCs w:val="17"/>
              </w:rPr>
              <w:t xml:space="preserve">Results in this report</w:t>
            </w:r>
          </w:p>
        </w:tc>
      </w:tr>
      <w:tr>
        <w:trPr>
          <w:cantSplit/>
        </w:trPr>
        <w:tc>
          <w:tcPr>
            <w:tcW w:type="dxa" w:w="224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Data acquisition (00, 01, 11)</w:t>
            </w:r>
          </w:p>
        </w:tc>
        <w:tc>
          <w:tcPr>
            <w:tcW w:type="dxa" w:w="36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Download weather, statewide prices and Koyambedu series</w:t>
            </w:r>
          </w:p>
        </w:tc>
        <w:tc>
          <w:tcPr>
            <w:tcW w:type="dxa" w:w="25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Tables 3.1, 4.1, 4.8</w:t>
            </w:r>
          </w:p>
        </w:tc>
      </w:tr>
      <w:tr>
        <w:trPr>
          <w:cantSplit/>
        </w:trPr>
        <w:tc>
          <w:tcPr>
            <w:tcW w:type="dxa" w:w="224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Cleaning and EDA (02, 03)</w:t>
            </w:r>
          </w:p>
        </w:tc>
        <w:tc>
          <w:tcPr>
            <w:tcW w:type="dxa" w:w="36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Normalise records; descriptive statistics, anomalies, ADF tests</w:t>
            </w:r>
          </w:p>
        </w:tc>
        <w:tc>
          <w:tcPr>
            <w:tcW w:type="dxa" w:w="25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Tables 4.2, 4.3; Figures 4.1–4.5</w:t>
            </w:r>
          </w:p>
        </w:tc>
      </w:tr>
      <w:tr>
        <w:trPr>
          <w:cantSplit/>
        </w:trPr>
        <w:tc>
          <w:tcPr>
            <w:tcW w:type="dxa" w:w="224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Feature engineering (04)</w:t>
            </w:r>
          </w:p>
        </w:tc>
        <w:tc>
          <w:tcPr>
            <w:tcW w:type="dxa" w:w="36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Daily statewide median and 62-column feature table</w:t>
            </w:r>
          </w:p>
        </w:tc>
        <w:tc>
          <w:tcPr>
            <w:tcW w:type="dxa" w:w="25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Table 3.2; Appendix B</w:t>
            </w:r>
          </w:p>
        </w:tc>
      </w:tr>
      <w:tr>
        <w:trPr>
          <w:cantSplit/>
        </w:trPr>
        <w:tc>
          <w:tcPr>
            <w:tcW w:type="dxa" w:w="224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Forecasting (05, 06, 07)</w:t>
            </w:r>
          </w:p>
        </w:tc>
        <w:tc>
          <w:tcPr>
            <w:tcW w:type="dxa" w:w="36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SARIMA, Prophet, Random Forest, XGBoost (protocols A1, A2)</w:t>
            </w:r>
          </w:p>
        </w:tc>
        <w:tc>
          <w:tcPr>
            <w:tcW w:type="dxa" w:w="25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Tables 4.4, 4.5; Figure 4.6</w:t>
            </w:r>
          </w:p>
        </w:tc>
      </w:tr>
      <w:tr>
        <w:trPr>
          <w:cantSplit/>
        </w:trPr>
        <w:tc>
          <w:tcPr>
            <w:tcW w:type="dxa" w:w="224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Horizon check (16)</w:t>
            </w:r>
          </w:p>
        </w:tc>
        <w:tc>
          <w:tcPr>
            <w:tcW w:type="dxa" w:w="36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Naive benchmarks and strict seven-day models (protocol A3)</w:t>
            </w:r>
          </w:p>
        </w:tc>
        <w:tc>
          <w:tcPr>
            <w:tcW w:type="dxa" w:w="25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Table 4.6; Figures 4.7, 4.8</w:t>
            </w:r>
          </w:p>
        </w:tc>
      </w:tr>
      <w:tr>
        <w:trPr>
          <w:cantSplit/>
        </w:trPr>
        <w:tc>
          <w:tcPr>
            <w:tcW w:type="dxa" w:w="224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Explanation (08)</w:t>
            </w:r>
          </w:p>
        </w:tc>
        <w:tc>
          <w:tcPr>
            <w:tcW w:type="dxa" w:w="36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SHAP attribution</w:t>
            </w:r>
          </w:p>
        </w:tc>
        <w:tc>
          <w:tcPr>
            <w:tcW w:type="dxa" w:w="25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Table 4.7; Figure 4.9</w:t>
            </w:r>
          </w:p>
        </w:tc>
      </w:tr>
      <w:tr>
        <w:trPr>
          <w:cantSplit/>
        </w:trPr>
        <w:tc>
          <w:tcPr>
            <w:tcW w:type="dxa" w:w="224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Koyambedu evaluation (12, 14)</w:t>
            </w:r>
          </w:p>
        </w:tc>
        <w:tc>
          <w:tcPr>
            <w:tcW w:type="dxa" w:w="36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Protocols B1 and B2; monsoon regressions; 2023 tomato scenario</w:t>
            </w:r>
          </w:p>
        </w:tc>
        <w:tc>
          <w:tcPr>
            <w:tcW w:type="dxa" w:w="25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Tables 4.9–4.13, 4.19; Figures 4.10–4.12, 4.20</w:t>
            </w:r>
          </w:p>
        </w:tc>
      </w:tr>
      <w:tr>
        <w:trPr>
          <w:cantSplit/>
        </w:trPr>
        <w:tc>
          <w:tcPr>
            <w:tcW w:type="dxa" w:w="224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Decision layer (09, 15)</w:t>
            </w:r>
          </w:p>
        </w:tc>
        <w:tc>
          <w:tcPr>
            <w:tcW w:type="dxa" w:w="36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Deterministic agent pipeline; four-role pipeline with freshness gate</w:t>
            </w:r>
          </w:p>
        </w:tc>
        <w:tc>
          <w:tcPr>
            <w:tcW w:type="dxa" w:w="25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Tables 4.16, 4.17; Figure 4.16</w:t>
            </w:r>
          </w:p>
        </w:tc>
      </w:tr>
      <w:tr>
        <w:trPr>
          <w:cantSplit/>
        </w:trPr>
        <w:tc>
          <w:tcPr>
            <w:tcW w:type="dxa" w:w="224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Proposal alignment (18)</w:t>
            </w:r>
          </w:p>
        </w:tc>
        <w:tc>
          <w:tcPr>
            <w:tcW w:type="dxa" w:w="36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SHAP monsoon ranking; delta-accuracy test; 30-day tomato scenario</w:t>
            </w:r>
          </w:p>
        </w:tc>
        <w:tc>
          <w:tcPr>
            <w:tcW w:type="dxa" w:w="25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Tables 4.14, 4.15, 4.20, 4.21; Figures 4.13–4.15, 4.21</w:t>
            </w:r>
          </w:p>
        </w:tc>
      </w:tr>
      <w:tr>
        <w:trPr>
          <w:cantSplit/>
        </w:trPr>
        <w:tc>
          <w:tcPr>
            <w:tcW w:type="dxa" w:w="224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Procurement backtest (13)</w:t>
            </w:r>
          </w:p>
        </w:tc>
        <w:tc>
          <w:tcPr>
            <w:tcW w:type="dxa" w:w="36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Fixed-lot counterfactual of advice actions</w:t>
            </w:r>
          </w:p>
        </w:tc>
        <w:tc>
          <w:tcPr>
            <w:tcW w:type="dxa" w:w="25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Table 4.18; Figure 4.19</w:t>
            </w:r>
          </w:p>
        </w:tc>
      </w:tr>
      <w:tr>
        <w:trPr>
          <w:cantSplit/>
        </w:trPr>
        <w:tc>
          <w:tcPr>
            <w:tcW w:type="dxa" w:w="224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Dashboard (10)</w:t>
            </w:r>
          </w:p>
        </w:tc>
        <w:tc>
          <w:tcPr>
            <w:tcW w:type="dxa" w:w="3696"/>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Nine-page Streamlit application</w:t>
            </w:r>
          </w:p>
        </w:tc>
        <w:tc>
          <w:tcPr>
            <w:tcW w:type="dxa" w:w="25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7"/>
                <w:szCs w:val="17"/>
              </w:rPr>
              <w:t xml:space="preserve">Figures 4.17, 4.18; Appendix E</w:t>
            </w:r>
          </w:p>
        </w:tc>
      </w:tr>
    </w:tbl>
    <w:p>
      <w:pPr>
        <w:spacing w:after="200" w:before="60" w:line="240"/>
      </w:pPr>
      <w:r>
        <w:rPr>
          <w:rFonts w:ascii="Times New Roman" w:cs="Times New Roman" w:eastAsia="Times New Roman" w:hAnsi="Times New Roman"/>
          <w:i/>
          <w:iCs/>
          <w:sz w:val="18"/>
          <w:szCs w:val="18"/>
        </w:rPr>
        <w:t xml:space="preserve">Source: Project repository.</w:t>
      </w:r>
    </w:p>
    <w:p>
      <w:pPr>
        <w:pStyle w:val="Heading1"/>
        <w:pageBreakBefore/>
        <w:spacing w:after="360" w:before="240"/>
        <w:jc w:val="center"/>
      </w:pPr>
      <w:r>
        <w:rPr>
          <w:rFonts w:ascii="Times New Roman" w:cs="Times New Roman" w:eastAsia="Times New Roman" w:hAnsi="Times New Roman"/>
          <w:b/>
          <w:bCs/>
          <w:sz w:val="28"/>
          <w:szCs w:val="28"/>
        </w:rPr>
        <w:t xml:space="preserve">APPENDIX D – REPRODUCIBILITY RECORD</w:t>
      </w:r>
    </w:p>
    <w:p>
      <w:pPr>
        <w:spacing w:after="120" w:before="0" w:line="360"/>
        <w:jc w:val="both"/>
      </w:pPr>
      <w:r>
        <w:rPr>
          <w:rFonts w:ascii="Times New Roman" w:cs="Times New Roman" w:eastAsia="Times New Roman" w:hAnsi="Times New Roman"/>
          <w:b/>
          <w:bCs/>
        </w:rPr>
        <w:t xml:space="preserve">Environment.</w:t>
      </w:r>
      <w:r>
        <w:rPr>
          <w:rFonts w:ascii="Times New Roman" w:cs="Times New Roman" w:eastAsia="Times New Roman" w:hAnsi="Times New Roman"/>
        </w:rPr>
        <w:t xml:space="preserve"> Python 3.12.3 with pandas 3.0.2, NumPy 2.4.4, statsmodels 0.15.0, Prophet 1.5.0, scikit-learn 1.8.0, XGBoost 3.4.1, SHAP 0.54.1, Matplotlib 3.10.8 and Streamlit 1.66.0. Random seeds are fixed at 42 for all tree models.</w:t>
      </w:r>
    </w:p>
    <w:p>
      <w:pPr>
        <w:spacing w:after="120" w:before="0" w:line="360"/>
        <w:jc w:val="both"/>
      </w:pPr>
      <w:r>
        <w:rPr>
          <w:rFonts w:ascii="Times New Roman" w:cs="Times New Roman" w:eastAsia="Times New Roman" w:hAnsi="Times New Roman"/>
          <w:b/>
          <w:bCs/>
        </w:rPr>
        <w:t xml:space="preserve">Run.</w:t>
      </w:r>
      <w:r>
        <w:rPr>
          <w:rFonts w:ascii="Times New Roman" w:cs="Times New Roman" w:eastAsia="Times New Roman" w:hAnsi="Times New Roman"/>
        </w:rPr>
        <w:t xml:space="preserve"> All results in this report come from a single end-to-end run of the pipeline on 18 October 2026, in the order shown in Table C.1, using the data files listed in Table 3.1. The source data, code, intermediate outputs and figures are retained in the project repository so that every table and figure can be regenerated.</w:t>
      </w:r>
    </w:p>
    <w:p>
      <w:pPr>
        <w:spacing w:after="120" w:before="0" w:line="360"/>
        <w:jc w:val="both"/>
      </w:pPr>
      <w:r>
        <w:rPr>
          <w:rFonts w:ascii="Times New Roman" w:cs="Times New Roman" w:eastAsia="Times New Roman" w:hAnsi="Times New Roman"/>
          <w:b/>
          <w:bCs/>
        </w:rPr>
        <w:t xml:space="preserve">Quality checks.</w:t>
      </w:r>
      <w:r>
        <w:rPr>
          <w:rFonts w:ascii="Times New Roman" w:cs="Times New Roman" w:eastAsia="Times New Roman" w:hAnsi="Times New Roman"/>
        </w:rPr>
        <w:t xml:space="preserve"> Every stage was rerun from the processed data; the nine dashboard pages were tested automatically; and the Koyambedu results were confirmed by rerunning the evaluation, which reproduced the model rankings exactly.</w:t>
      </w:r>
    </w:p>
    <w:p>
      <w:pPr>
        <w:spacing w:after="120" w:before="0" w:line="360"/>
        <w:jc w:val="both"/>
      </w:pPr>
      <w:r>
        <w:rPr>
          <w:rFonts w:ascii="Times New Roman" w:cs="Times New Roman" w:eastAsia="Times New Roman" w:hAnsi="Times New Roman"/>
          <w:b/>
          <w:bCs/>
        </w:rPr>
        <w:t xml:space="preserve">Sensitivity to software versions.</w:t>
      </w:r>
      <w:r>
        <w:rPr>
          <w:rFonts w:ascii="Times New Roman" w:cs="Times New Roman" w:eastAsia="Times New Roman" w:hAnsi="Times New Roman"/>
        </w:rPr>
        <w:t xml:space="preserve"> Tree-model forecasts, and therefore some advice actions, changed slightly between library versions (Section 4.13). Library versions should be fixed in the project’s requirements file for any future rerun. Design weaknesses that affect interpretation are discussed in Sections 4.5–4.7 and 4.12, and their recommended corrections in Section 5.3.</w:t>
      </w:r>
    </w:p>
    <w:p>
      <w:pPr>
        <w:pStyle w:val="Heading1"/>
        <w:pageBreakBefore/>
        <w:spacing w:after="360" w:before="240"/>
        <w:jc w:val="center"/>
      </w:pPr>
      <w:r>
        <w:rPr>
          <w:rFonts w:ascii="Times New Roman" w:cs="Times New Roman" w:eastAsia="Times New Roman" w:hAnsi="Times New Roman"/>
          <w:b/>
          <w:bCs/>
          <w:sz w:val="28"/>
          <w:szCs w:val="28"/>
        </w:rPr>
        <w:t xml:space="preserve">APPENDIX E – DASHBOARD PAGES</w:t>
      </w:r>
    </w:p>
    <w:p>
      <w:pPr>
        <w:spacing w:after="120" w:before="0" w:line="360"/>
        <w:jc w:val="both"/>
      </w:pPr>
      <w:r>
        <w:rPr>
          <w:rFonts w:ascii="Times New Roman" w:cs="Times New Roman" w:eastAsia="Times New Roman" w:hAnsi="Times New Roman"/>
        </w:rPr>
        <w:t xml:space="preserve">Navigation is grouped into Core Decisions (Agent Recommendations, Price Forecast, Model Trust), More Insights (Price Movers, Market Trends and Seasonality, SHAP Explainability, Research and Scenario Validation) and Diagnostics (Dataset Snapshot, Data Quality).</w:t>
      </w:r>
    </w:p>
    <w:p>
      <w:pPr>
        <w:keepNext/>
        <w:spacing w:after="60" w:before="160"/>
        <w:jc w:val="center"/>
      </w:pPr>
      <w:r>
        <w:drawing>
          <wp:inline distT="0" distB="0" distL="0" distR="0">
            <wp:extent cx="5067300" cy="3619500"/>
            <wp:effectExtent t="0" r="0" b="0" l="0"/>
            <wp:docPr id="1" name="Figure E.1" descr="Dashboard: Price Forecast page" title="Dashboard: Price Foreca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067300" cy="3619500"/>
                    </a:xfrm>
                    <a:prstGeom prst="rect">
                      <a:avLst/>
                    </a:prstGeom>
                  </pic:spPr>
                </pic:pic>
              </a:graphicData>
            </a:graphic>
          </wp:inline>
        </w:drawing>
      </w:r>
    </w:p>
    <w:p>
      <w:pPr>
        <w:pStyle w:val="FigureCaption"/>
        <w:spacing w:after="220" w:line="276"/>
        <w:jc w:val="center"/>
      </w:pPr>
      <w:r>
        <w:rPr>
          <w:rFonts w:ascii="Times New Roman" w:cs="Times New Roman" w:eastAsia="Times New Roman" w:hAnsi="Times New Roman"/>
          <w:b/>
          <w:bCs/>
          <w:sz w:val="22"/>
          <w:szCs w:val="22"/>
        </w:rPr>
        <w:t xml:space="preserve">Figure E.1: </w:t>
      </w:r>
      <w:r>
        <w:rPr>
          <w:rFonts w:ascii="Times New Roman" w:cs="Times New Roman" w:eastAsia="Times New Roman" w:hAnsi="Times New Roman"/>
          <w:sz w:val="22"/>
          <w:szCs w:val="22"/>
        </w:rPr>
        <w:t xml:space="preserve">Dashboard: Price Forecast page</w:t>
      </w:r>
    </w:p>
    <w:p>
      <w:pPr>
        <w:keepNext/>
        <w:spacing w:after="60" w:before="160"/>
        <w:jc w:val="center"/>
      </w:pPr>
      <w:r>
        <w:drawing>
          <wp:inline distT="0" distB="0" distL="0" distR="0">
            <wp:extent cx="5067300" cy="3619500"/>
            <wp:effectExtent t="0" r="0" b="0" l="0"/>
            <wp:docPr id="1" name="Figure E.2" descr="Dashboard: Model Trust page" title="Dashboard: Model Tru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067300" cy="3619500"/>
                    </a:xfrm>
                    <a:prstGeom prst="rect">
                      <a:avLst/>
                    </a:prstGeom>
                  </pic:spPr>
                </pic:pic>
              </a:graphicData>
            </a:graphic>
          </wp:inline>
        </w:drawing>
      </w:r>
    </w:p>
    <w:p>
      <w:pPr>
        <w:pStyle w:val="FigureCaption"/>
        <w:spacing w:after="220" w:line="276"/>
        <w:jc w:val="center"/>
      </w:pPr>
      <w:r>
        <w:rPr>
          <w:rFonts w:ascii="Times New Roman" w:cs="Times New Roman" w:eastAsia="Times New Roman" w:hAnsi="Times New Roman"/>
          <w:b/>
          <w:bCs/>
          <w:sz w:val="22"/>
          <w:szCs w:val="22"/>
        </w:rPr>
        <w:t xml:space="preserve">Figure E.2: </w:t>
      </w:r>
      <w:r>
        <w:rPr>
          <w:rFonts w:ascii="Times New Roman" w:cs="Times New Roman" w:eastAsia="Times New Roman" w:hAnsi="Times New Roman"/>
          <w:sz w:val="22"/>
          <w:szCs w:val="22"/>
        </w:rPr>
        <w:t xml:space="preserve">Dashboard: Model Trust page</w:t>
      </w:r>
    </w:p>
    <w:p>
      <w:pPr>
        <w:pStyle w:val="Heading1"/>
        <w:pageBreakBefore/>
        <w:spacing w:after="360" w:before="240"/>
        <w:jc w:val="center"/>
      </w:pPr>
      <w:r>
        <w:rPr>
          <w:rFonts w:ascii="Times New Roman" w:cs="Times New Roman" w:eastAsia="Times New Roman" w:hAnsi="Times New Roman"/>
          <w:b/>
          <w:bCs/>
          <w:sz w:val="28"/>
          <w:szCs w:val="28"/>
        </w:rPr>
        <w:t xml:space="preserve">APPENDIX F – PROSPECTIVE BUYER PILOT DESIGN</w:t>
      </w:r>
    </w:p>
    <w:p>
      <w:pPr>
        <w:spacing w:after="120" w:before="0" w:line="360"/>
        <w:jc w:val="both"/>
      </w:pPr>
      <w:r>
        <w:rPr>
          <w:rFonts w:ascii="Times New Roman" w:cs="Times New Roman" w:eastAsia="Times New Roman" w:hAnsi="Times New Roman"/>
        </w:rPr>
        <w:t xml:space="preserve">To establish whether forecast-informed purchasing reduces cost, a prospective pilot should be designed before any savings are estimated. The essential elements are as follows.</w:t>
      </w:r>
    </w:p>
    <w:p>
      <w:pPr>
        <w:pStyle w:val="TableCaption"/>
        <w:keepNext/>
        <w:spacing w:after="80" w:before="200" w:line="276"/>
        <w:jc w:val="center"/>
      </w:pPr>
      <w:r>
        <w:rPr>
          <w:rFonts w:ascii="Times New Roman" w:cs="Times New Roman" w:eastAsia="Times New Roman" w:hAnsi="Times New Roman"/>
          <w:b/>
          <w:bCs/>
          <w:sz w:val="22"/>
          <w:szCs w:val="22"/>
        </w:rPr>
        <w:t xml:space="preserve">Table F.1: </w:t>
      </w:r>
      <w:r>
        <w:rPr>
          <w:rFonts w:ascii="Times New Roman" w:cs="Times New Roman" w:eastAsia="Times New Roman" w:hAnsi="Times New Roman"/>
          <w:sz w:val="22"/>
          <w:szCs w:val="22"/>
        </w:rPr>
        <w:t xml:space="preserve">Pilot design elements</w:t>
      </w:r>
    </w:p>
    <w:tbl>
      <w:tblPr>
        <w:tblW w:type="dxa" w:w="8448"/>
        <w:tblBorders>
          <w:top w:val="single" w:color="auto" w:sz="4"/>
          <w:left w:val="single" w:color="auto" w:sz="4"/>
          <w:bottom w:val="single" w:color="auto" w:sz="4"/>
          <w:right w:val="single" w:color="auto" w:sz="4"/>
          <w:insideH w:val="single" w:color="auto" w:sz="4"/>
          <w:insideV w:val="single" w:color="auto" w:sz="4"/>
        </w:tblBorders>
      </w:tblPr>
      <w:tblGrid>
        <w:gridCol w:w="2180"/>
        <w:gridCol w:w="6268"/>
      </w:tblGrid>
      <w:tr>
        <w:trPr>
          <w:cantSplit/>
          <w:tblHeader/>
        </w:trPr>
        <w:tc>
          <w:tcPr>
            <w:tcW w:type="dxa" w:w="218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Element</w:t>
            </w:r>
          </w:p>
        </w:tc>
        <w:tc>
          <w:tcPr>
            <w:tcW w:type="dxa" w:w="626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Specification</w:t>
            </w:r>
          </w:p>
        </w:tc>
      </w:tr>
      <w:tr>
        <w:trPr>
          <w:cantSplit/>
        </w:trPr>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Participants</w:t>
            </w:r>
          </w:p>
        </w:tc>
        <w:tc>
          <w:tcPr>
            <w:tcW w:type="dxa" w:w="62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One or more institutional buyers purchasing at Koyambedu at least weekly</w:t>
            </w:r>
          </w:p>
        </w:tc>
      </w:tr>
      <w:tr>
        <w:trPr>
          <w:cantSplit/>
        </w:trPr>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Commodities</w:t>
            </w:r>
          </w:p>
        </w:tc>
        <w:tc>
          <w:tcPr>
            <w:tcW w:type="dxa" w:w="62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Tomato, Onion and Potato first (highest volume and volatility)</w:t>
            </w:r>
          </w:p>
        </w:tc>
      </w:tr>
      <w:tr>
        <w:trPr>
          <w:cantSplit/>
        </w:trPr>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Comparator</w:t>
            </w:r>
          </w:p>
        </w:tc>
        <w:tc>
          <w:tcPr>
            <w:tcW w:type="dxa" w:w="62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Pre-registered: buyer’s usual timing, or alternating weeks with and without advice</w:t>
            </w:r>
          </w:p>
        </w:tc>
      </w:tr>
      <w:tr>
        <w:trPr>
          <w:cantSplit/>
        </w:trPr>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Records</w:t>
            </w:r>
          </w:p>
        </w:tc>
        <w:tc>
          <w:tcPr>
            <w:tcW w:type="dxa" w:w="62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Date, quantity, grade, supplier, invoice price, transport, rejected and spoiled quantity, stockouts</w:t>
            </w:r>
          </w:p>
        </w:tc>
      </w:tr>
      <w:tr>
        <w:trPr>
          <w:cantSplit/>
        </w:trPr>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Primary outcome</w:t>
            </w:r>
          </w:p>
        </w:tc>
        <w:tc>
          <w:tcPr>
            <w:tcW w:type="dxa" w:w="62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Delivered cost per usable kilogram</w:t>
            </w:r>
          </w:p>
        </w:tc>
      </w:tr>
      <w:tr>
        <w:trPr>
          <w:cantSplit/>
        </w:trPr>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Secondary outcomes</w:t>
            </w:r>
          </w:p>
        </w:tc>
        <w:tc>
          <w:tcPr>
            <w:tcW w:type="dxa" w:w="62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Forecast error vs naive; advice acceptance and override reasons; service level</w:t>
            </w:r>
          </w:p>
        </w:tc>
      </w:tr>
      <w:tr>
        <w:trPr>
          <w:cantSplit/>
        </w:trPr>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Duration</w:t>
            </w:r>
          </w:p>
        </w:tc>
        <w:tc>
          <w:tcPr>
            <w:tcW w:type="dxa" w:w="62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At least one full year, to include a monsoon season and price shocks</w:t>
            </w:r>
          </w:p>
        </w:tc>
      </w:tr>
      <w:tr>
        <w:trPr>
          <w:cantSplit/>
        </w:trPr>
        <w:tc>
          <w:tcPr>
            <w:tcW w:type="dxa" w:w="218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Governance</w:t>
            </w:r>
          </w:p>
        </w:tc>
        <w:tc>
          <w:tcPr>
            <w:tcW w:type="dxa" w:w="626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Consent, anonymised identifiers, restricted access to commercial data; buyer retains decision authority</w:t>
            </w:r>
          </w:p>
        </w:tc>
      </w:tr>
    </w:tbl>
    <w:p>
      <w:pPr>
        <w:spacing w:after="200" w:before="60" w:line="240"/>
      </w:pPr>
      <w:r>
        <w:rPr>
          <w:rFonts w:ascii="Times New Roman" w:cs="Times New Roman" w:eastAsia="Times New Roman" w:hAnsi="Times New Roman"/>
          <w:i/>
          <w:iCs/>
          <w:sz w:val="18"/>
          <w:szCs w:val="18"/>
        </w:rPr>
        <w:t xml:space="preserve">Source: Author’s design.</w:t>
      </w:r>
    </w:p>
    <w:p>
      <w:pPr>
        <w:pStyle w:val="Heading1"/>
        <w:pageBreakBefore/>
        <w:spacing w:after="360" w:before="240"/>
        <w:jc w:val="center"/>
      </w:pPr>
      <w:r>
        <w:rPr>
          <w:rFonts w:ascii="Times New Roman" w:cs="Times New Roman" w:eastAsia="Times New Roman" w:hAnsi="Times New Roman"/>
          <w:b/>
          <w:bCs/>
          <w:sz w:val="28"/>
          <w:szCs w:val="28"/>
        </w:rPr>
        <w:t xml:space="preserve">APPENDIX G – VIVA VOCE EXAMINATION CERTIFICATE</w:t>
      </w:r>
    </w:p>
    <w:p>
      <w:pPr>
        <w:spacing w:after="120" w:before="0" w:line="360"/>
        <w:jc w:val="both"/>
      </w:pPr>
      <w:r>
        <w:rPr>
          <w:rFonts w:ascii="Times New Roman" w:cs="Times New Roman" w:eastAsia="Times New Roman" w:hAnsi="Times New Roman"/>
        </w:rPr>
        <w:t xml:space="preserve">This project report submitted by </w:t>
      </w:r>
      <w:r>
        <w:rPr>
          <w:rFonts w:ascii="Times New Roman" w:cs="Times New Roman" w:eastAsia="Times New Roman" w:hAnsi="Times New Roman"/>
          <w:b/>
          <w:bCs/>
        </w:rPr>
        <w:t xml:space="preserve">Vignesh Natarajan</w:t>
      </w:r>
      <w:r>
        <w:rPr>
          <w:rFonts w:ascii="Times New Roman" w:cs="Times New Roman" w:eastAsia="Times New Roman" w:hAnsi="Times New Roman"/>
        </w:rPr>
        <w:t xml:space="preserve"> (Roll No. 2406OBA0046; Registration No. 69124100162) has been examined on ____________________. The project is approved / not approved for the award of the MBA degree of Anna University.</w:t>
      </w:r>
    </w:p>
    <w:p>
      <w:pPr>
        <w:spacing w:after="120" w:before="0" w:line="360"/>
        <w:jc w:val="both"/>
      </w:pPr>
      <w:r>
        <w:rPr>
          <w:rFonts w:ascii="Times New Roman" w:cs="Times New Roman" w:eastAsia="Times New Roman" w:hAnsi="Times New Roman"/>
        </w:rPr>
        <w:t xml:space="preserve"> </w:t>
      </w:r>
    </w:p>
    <w:p>
      <w:pPr>
        <w:spacing w:after="120" w:before="0" w:line="360"/>
        <w:jc w:val="left"/>
      </w:pPr>
      <w:r>
        <w:rPr>
          <w:rFonts w:ascii="Times New Roman" w:cs="Times New Roman" w:eastAsia="Times New Roman" w:hAnsi="Times New Roman"/>
        </w:rPr>
        <w:t xml:space="preserve">Internal Examiner: Name ____________________  Signature ______________  Date __________</w:t>
      </w:r>
    </w:p>
    <w:p>
      <w:pPr>
        <w:spacing w:after="120" w:before="0" w:line="360"/>
        <w:jc w:val="both"/>
      </w:pPr>
      <w:r>
        <w:rPr>
          <w:rFonts w:ascii="Times New Roman" w:cs="Times New Roman" w:eastAsia="Times New Roman" w:hAnsi="Times New Roman"/>
        </w:rPr>
        <w:t xml:space="preserve"> </w:t>
      </w:r>
    </w:p>
    <w:p>
      <w:pPr>
        <w:spacing w:after="120" w:before="0" w:line="360"/>
        <w:jc w:val="left"/>
      </w:pPr>
      <w:r>
        <w:rPr>
          <w:rFonts w:ascii="Times New Roman" w:cs="Times New Roman" w:eastAsia="Times New Roman" w:hAnsi="Times New Roman"/>
        </w:rPr>
        <w:t xml:space="preserve">External Examiner: Name ____________________  Signature ______________  Date __________</w:t>
      </w:r>
    </w:p>
    <w:sectPr>
      <w:footerReference w:type="default" r:id="rId8"/>
      <w:pgSz w:w="11906" w:h="16838" w:orient="portrait"/>
      <w:pgMar w:top="1814" w:right="1304" w:bottom="1531" w:left="2154" w:header="720" w:footer="720"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340"/>
      </w:pPr>
    </w:lvl>
  </w:abstractNum>
  <w:abstractNum w:abstractNumId="3" w15:restartNumberingAfterBreak="0">
    <w:multiLevelType w:val="hybridMultilevel"/>
    <w:lvl w:ilvl="0" w15:tentative="1">
      <w:start w:val="1"/>
      <w:numFmt w:val="decimal"/>
      <w:lvlText w:val="%1."/>
      <w:lvlJc w:val="left"/>
      <w:pPr>
        <w:ind w:left="567" w:hanging="397"/>
      </w:pPr>
    </w:lvl>
  </w:abstractNum>
  <w:abstractNum w:abstractNumId="4" w15:restartNumberingAfterBreak="0">
    <w:multiLevelType w:val="hybridMultilevel"/>
    <w:lvl w:ilvl="0" w15:tentative="1">
      <w:start w:val="1"/>
      <w:numFmt w:val="decimal"/>
      <w:lvlText w:val="%1."/>
      <w:lvlJc w:val="left"/>
      <w:pPr>
        <w:ind w:left="567" w:hanging="397"/>
      </w:pPr>
    </w:lvl>
  </w:abstractNum>
  <w:abstractNum w:abstractNumId="5" w15:restartNumberingAfterBreak="0">
    <w:multiLevelType w:val="hybridMultilevel"/>
    <w:lvl w:ilvl="0" w15:tentative="1">
      <w:start w:val="1"/>
      <w:numFmt w:val="decimal"/>
      <w:lvlText w:val="%1."/>
      <w:lvlJc w:val="left"/>
      <w:pPr>
        <w:ind w:left="567" w:hanging="397"/>
      </w:pPr>
    </w:lvl>
  </w:abstractNum>
  <w:abstractNum w:abstractNumId="6" w15:restartNumberingAfterBreak="0">
    <w:multiLevelType w:val="hybridMultilevel"/>
    <w:lvl w:ilvl="0" w15:tentative="1">
      <w:start w:val="1"/>
      <w:numFmt w:val="decimal"/>
      <w:lvlText w:val="%1."/>
      <w:lvlJc w:val="left"/>
      <w:pPr>
        <w:ind w:left="567" w:hanging="397"/>
      </w:pPr>
    </w:lvl>
  </w:abstractNum>
  <w:abstractNum w:abstractNumId="7" w15:restartNumberingAfterBreak="0">
    <w:multiLevelType w:val="hybridMultilevel"/>
    <w:lvl w:ilvl="0" w15:tentative="1">
      <w:start w:val="1"/>
      <w:numFmt w:val="decimal"/>
      <w:lvlText w:val="%1."/>
      <w:lvlJc w:val="left"/>
      <w:pPr>
        <w:ind w:left="567" w:hanging="397"/>
      </w:pPr>
    </w:lvl>
  </w:abstractNum>
  <w:abstractNum w:abstractNumId="8" w15:restartNumberingAfterBreak="0">
    <w:multiLevelType w:val="hybridMultilevel"/>
    <w:lvl w:ilvl="0" w15:tentative="1">
      <w:start w:val="1"/>
      <w:numFmt w:val="decimal"/>
      <w:lvlText w:val="%1."/>
      <w:lvlJc w:val="left"/>
      <w:pPr>
        <w:ind w:left="567" w:hanging="397"/>
      </w:pPr>
    </w:lvl>
  </w:abstractNum>
  <w:abstractNum w:abstractNumId="9" w15:restartNumberingAfterBreak="0">
    <w:multiLevelType w:val="hybridMultilevel"/>
    <w:lvl w:ilvl="0" w15:tentative="1">
      <w:start w:val="1"/>
      <w:numFmt w:val="decimal"/>
      <w:lvlText w:val="%1."/>
      <w:lvlJc w:val="left"/>
      <w:pPr>
        <w:ind w:left="567" w:hanging="397"/>
      </w:pPr>
    </w:lvl>
  </w:abstractNum>
  <w:abstractNum w:abstractNumId="10" w15:restartNumberingAfterBreak="0">
    <w:multiLevelType w:val="hybridMultilevel"/>
    <w:lvl w:ilvl="0" w15:tentative="1">
      <w:start w:val="1"/>
      <w:numFmt w:val="decimal"/>
      <w:lvlText w:val="%1."/>
      <w:lvlJc w:val="left"/>
      <w:pPr>
        <w:ind w:left="567" w:hanging="397"/>
      </w:pPr>
    </w:lvl>
  </w:abstractNum>
  <w:abstractNum w:abstractNumId="11" w15:restartNumberingAfterBreak="0">
    <w:multiLevelType w:val="hybridMultilevel"/>
    <w:lvl w:ilvl="0" w15:tentative="1">
      <w:start w:val="1"/>
      <w:numFmt w:val="decimal"/>
      <w:lvlText w:val="%1."/>
      <w:lvlJc w:val="left"/>
      <w:pPr>
        <w:ind w:left="567" w:hanging="397"/>
      </w:pPr>
    </w:lvl>
  </w:abstractNum>
  <w:abstractNum w:abstractNumId="12" w15:restartNumberingAfterBreak="0">
    <w:multiLevelType w:val="hybridMultilevel"/>
    <w:lvl w:ilvl="0" w15:tentative="1">
      <w:start w:val="1"/>
      <w:numFmt w:val="decimal"/>
      <w:lvlText w:val="%1."/>
      <w:lvlJc w:val="left"/>
      <w:pPr>
        <w:ind w:left="567" w:hanging="397"/>
      </w:pPr>
    </w:lvl>
  </w:abstractNum>
  <w:abstractNum w:abstractNumId="13" w15:restartNumberingAfterBreak="0">
    <w:multiLevelType w:val="hybridMultilevel"/>
    <w:lvl w:ilvl="0" w15:tentative="1">
      <w:start w:val="1"/>
      <w:numFmt w:val="decimal"/>
      <w:lvlText w:val="%1."/>
      <w:lvlJc w:val="left"/>
      <w:pPr>
        <w:ind w:left="567" w:hanging="397"/>
      </w:pPr>
    </w:lvl>
  </w:abstractNum>
  <w:abstractNum w:abstractNumId="14" w15:restartNumberingAfterBreak="0">
    <w:multiLevelType w:val="hybridMultilevel"/>
    <w:lvl w:ilvl="0" w15:tentative="1">
      <w:start w:val="1"/>
      <w:numFmt w:val="decimal"/>
      <w:lvlText w:val="%1."/>
      <w:lvlJc w:val="left"/>
      <w:pPr>
        <w:ind w:left="567" w:hanging="397"/>
      </w:pPr>
    </w:lvl>
  </w:abstractNum>
  <w:abstractNum w:abstractNumId="15" w15:restartNumberingAfterBreak="0">
    <w:multiLevelType w:val="hybridMultilevel"/>
    <w:lvl w:ilvl="0" w15:tentative="1">
      <w:start w:val="1"/>
      <w:numFmt w:val="decimal"/>
      <w:lvlText w:val="%1."/>
      <w:lvlJc w:val="left"/>
      <w:pPr>
        <w:ind w:left="567" w:hanging="397"/>
      </w:pPr>
    </w:lvl>
  </w:abstractNum>
  <w:abstractNum w:abstractNumId="16" w15:restartNumberingAfterBreak="0">
    <w:multiLevelType w:val="hybridMultilevel"/>
    <w:lvl w:ilvl="0" w15:tentative="1">
      <w:start w:val="1"/>
      <w:numFmt w:val="decimal"/>
      <w:lvlText w:val="%1."/>
      <w:lvlJc w:val="left"/>
      <w:pPr>
        <w:ind w:left="567" w:hanging="397"/>
      </w:pPr>
    </w:lvl>
  </w:abstractNum>
  <w:abstractNum w:abstractNumId="17" w15:restartNumberingAfterBreak="0">
    <w:multiLevelType w:val="hybridMultilevel"/>
    <w:lvl w:ilvl="0" w15:tentative="1">
      <w:start w:val="1"/>
      <w:numFmt w:val="decimal"/>
      <w:lvlText w:val="%1."/>
      <w:lvlJc w:val="left"/>
      <w:pPr>
        <w:ind w:left="567" w:hanging="397"/>
      </w:pPr>
    </w:lvl>
  </w:abstractNum>
  <w:abstractNum w:abstractNumId="18" w15:restartNumberingAfterBreak="0">
    <w:multiLevelType w:val="hybridMultilevel"/>
    <w:lvl w:ilvl="0" w15:tentative="1">
      <w:start w:val="1"/>
      <w:numFmt w:val="decimal"/>
      <w:lvlText w:val="%1."/>
      <w:lvlJc w:val="left"/>
      <w:pPr>
        <w:ind w:left="567" w:hanging="397"/>
      </w:pPr>
    </w:lvl>
  </w:abstractNum>
  <w:abstractNum w:abstractNumId="19" w15:restartNumberingAfterBreak="0">
    <w:multiLevelType w:val="hybridMultilevel"/>
    <w:lvl w:ilvl="0" w15:tentative="1">
      <w:start w:val="1"/>
      <w:numFmt w:val="decimal"/>
      <w:lvlText w:val="%1."/>
      <w:lvlJc w:val="left"/>
      <w:pPr>
        <w:ind w:left="567" w:hanging="397"/>
      </w:pPr>
    </w:lvl>
  </w:abstractNum>
  <w:abstractNum w:abstractNumId="20" w15:restartNumberingAfterBreak="0">
    <w:multiLevelType w:val="hybridMultilevel"/>
    <w:lvl w:ilvl="0" w15:tentative="1">
      <w:start w:val="1"/>
      <w:numFmt w:val="decimal"/>
      <w:lvlText w:val="%1."/>
      <w:lvlJc w:val="left"/>
      <w:pPr>
        <w:ind w:left="567" w:hanging="397"/>
      </w:pPr>
    </w:lvl>
  </w:abstractNum>
  <w:abstractNum w:abstractNumId="21" w15:restartNumberingAfterBreak="0">
    <w:multiLevelType w:val="hybridMultilevel"/>
    <w:lvl w:ilvl="0" w15:tentative="1">
      <w:start w:val="1"/>
      <w:numFmt w:val="decimal"/>
      <w:lvlText w:val="%1."/>
      <w:lvlJc w:val="left"/>
      <w:pPr>
        <w:ind w:left="567" w:hanging="397"/>
      </w:pPr>
    </w:lvl>
  </w:abstractNum>
  <w:abstractNum w:abstractNumId="22" w15:restartNumberingAfterBreak="0">
    <w:multiLevelType w:val="hybridMultilevel"/>
    <w:lvl w:ilvl="0" w15:tentative="1">
      <w:start w:val="1"/>
      <w:numFmt w:val="decimal"/>
      <w:lvlText w:val="%1."/>
      <w:lvlJc w:val="left"/>
      <w:pPr>
        <w:ind w:left="567" w:hanging="397"/>
      </w:pPr>
    </w:lvl>
  </w:abstractNum>
  <w:abstractNum w:abstractNumId="23" w15:restartNumberingAfterBreak="0">
    <w:multiLevelType w:val="hybridMultilevel"/>
    <w:lvl w:ilvl="0" w15:tentative="1">
      <w:start w:val="1"/>
      <w:numFmt w:val="decimal"/>
      <w:lvlText w:val="%1."/>
      <w:lvlJc w:val="left"/>
      <w:pPr>
        <w:ind w:left="567" w:hanging="397"/>
      </w:pPr>
    </w:lvl>
  </w:abstractNum>
  <w:abstractNum w:abstractNumId="24" w15:restartNumberingAfterBreak="0">
    <w:multiLevelType w:val="hybridMultilevel"/>
    <w:lvl w:ilvl="0" w15:tentative="1">
      <w:start w:val="1"/>
      <w:numFmt w:val="decimal"/>
      <w:lvlText w:val="%1."/>
      <w:lvlJc w:val="left"/>
      <w:pPr>
        <w:ind w:left="567" w:hanging="397"/>
      </w:pPr>
    </w:lvl>
  </w:abstractNum>
  <w:abstractNum w:abstractNumId="25" w15:restartNumberingAfterBreak="0">
    <w:multiLevelType w:val="hybridMultilevel"/>
    <w:lvl w:ilvl="0" w15:tentative="1">
      <w:start w:val="1"/>
      <w:numFmt w:val="decimal"/>
      <w:lvlText w:val="%1."/>
      <w:lvlJc w:val="left"/>
      <w:pPr>
        <w:ind w:left="567" w:hanging="397"/>
      </w:pPr>
    </w:lvl>
  </w:abstractNum>
  <w:abstractNum w:abstractNumId="26" w15:restartNumberingAfterBreak="0">
    <w:multiLevelType w:val="hybridMultilevel"/>
    <w:lvl w:ilvl="0" w15:tentative="1">
      <w:start w:val="1"/>
      <w:numFmt w:val="decimal"/>
      <w:lvlText w:val="%1."/>
      <w:lvlJc w:val="left"/>
      <w:pPr>
        <w:ind w:left="567" w:hanging="397"/>
      </w:pPr>
    </w:lvl>
  </w:abstractNum>
  <w:abstractNum w:abstractNumId="27" w15:restartNumberingAfterBreak="0">
    <w:multiLevelType w:val="hybridMultilevel"/>
    <w:lvl w:ilvl="0" w15:tentative="1">
      <w:start w:val="1"/>
      <w:numFmt w:val="decimal"/>
      <w:lvlText w:val="%1."/>
      <w:lvlJc w:val="left"/>
      <w:pPr>
        <w:ind w:left="567" w:hanging="397"/>
      </w:pPr>
    </w:lvl>
  </w:abstractNum>
  <w:abstractNum w:abstractNumId="28" w15:restartNumberingAfterBreak="0">
    <w:multiLevelType w:val="hybridMultilevel"/>
    <w:lvl w:ilvl="0" w15:tentative="1">
      <w:start w:val="1"/>
      <w:numFmt w:val="decimal"/>
      <w:lvlText w:val="%1."/>
      <w:lvlJc w:val="left"/>
      <w:pPr>
        <w:ind w:left="567" w:hanging="397"/>
      </w:pPr>
    </w:lvl>
  </w:abstractNum>
  <w:abstractNum w:abstractNumId="29" w15:restartNumberingAfterBreak="0">
    <w:multiLevelType w:val="hybridMultilevel"/>
    <w:lvl w:ilvl="0" w15:tentative="1">
      <w:start w:val="1"/>
      <w:numFmt w:val="decimal"/>
      <w:lvlText w:val="%1."/>
      <w:lvlJc w:val="left"/>
      <w:pPr>
        <w:ind w:left="567" w:hanging="397"/>
      </w:pPr>
    </w:lvl>
  </w:abstractNum>
  <w:abstractNum w:abstractNumId="30" w15:restartNumberingAfterBreak="0">
    <w:multiLevelType w:val="hybridMultilevel"/>
    <w:lvl w:ilvl="0" w15:tentative="1">
      <w:start w:val="1"/>
      <w:numFmt w:val="decimal"/>
      <w:lvlText w:val="%1."/>
      <w:lvlJc w:val="left"/>
      <w:pPr>
        <w:ind w:left="567" w:hanging="397"/>
      </w:pPr>
    </w:lvl>
  </w:abstractNum>
  <w:abstractNum w:abstractNumId="31" w15:restartNumberingAfterBreak="0">
    <w:multiLevelType w:val="hybridMultilevel"/>
    <w:lvl w:ilvl="0" w15:tentative="1">
      <w:start w:val="1"/>
      <w:numFmt w:val="decimal"/>
      <w:lvlText w:val="%1."/>
      <w:lvlJc w:val="left"/>
      <w:pPr>
        <w:ind w:left="567" w:hanging="397"/>
      </w:pPr>
    </w:lvl>
  </w:abstractNum>
  <w:abstractNum w:abstractNumId="32" w15:restartNumberingAfterBreak="0">
    <w:multiLevelType w:val="hybridMultilevel"/>
    <w:lvl w:ilvl="0" w15:tentative="1">
      <w:start w:val="1"/>
      <w:numFmt w:val="decimal"/>
      <w:lvlText w:val="%1."/>
      <w:lvlJc w:val="left"/>
      <w:pPr>
        <w:ind w:left="567" w:hanging="397"/>
      </w:pPr>
    </w:lvl>
  </w:abstractNum>
  <w:abstractNum w:abstractNumId="33" w15:restartNumberingAfterBreak="0">
    <w:multiLevelType w:val="hybridMultilevel"/>
    <w:lvl w:ilvl="0" w15:tentative="1">
      <w:start w:val="1"/>
      <w:numFmt w:val="decimal"/>
      <w:lvlText w:val="%1."/>
      <w:lvlJc w:val="left"/>
      <w:pPr>
        <w:ind w:left="567" w:hanging="397"/>
      </w:pPr>
    </w:lvl>
  </w:abstractNum>
  <w:abstractNum w:abstractNumId="34" w15:restartNumberingAfterBreak="0">
    <w:multiLevelType w:val="hybridMultilevel"/>
    <w:lvl w:ilvl="0" w15:tentative="1">
      <w:start w:val="1"/>
      <w:numFmt w:val="decimal"/>
      <w:lvlText w:val="%1."/>
      <w:lvlJc w:val="left"/>
      <w:pPr>
        <w:ind w:left="567" w:hanging="397"/>
      </w:pPr>
    </w:lvl>
  </w:abstractNum>
  <w:abstractNum w:abstractNumId="35" w15:restartNumberingAfterBreak="0">
    <w:multiLevelType w:val="hybridMultilevel"/>
    <w:lvl w:ilvl="0" w15:tentative="1">
      <w:start w:val="1"/>
      <w:numFmt w:val="decimal"/>
      <w:lvlText w:val="%1."/>
      <w:lvlJc w:val="left"/>
      <w:pPr>
        <w:ind w:left="567" w:hanging="397"/>
      </w:pPr>
    </w:lvl>
  </w:abstractNum>
  <w:abstractNum w:abstractNumId="36" w15:restartNumberingAfterBreak="0">
    <w:multiLevelType w:val="hybridMultilevel"/>
    <w:lvl w:ilvl="0" w15:tentative="1">
      <w:start w:val="1"/>
      <w:numFmt w:val="decimal"/>
      <w:lvlText w:val="%1."/>
      <w:lvlJc w:val="left"/>
      <w:pPr>
        <w:ind w:left="567" w:hanging="397"/>
      </w:pPr>
    </w:lvl>
  </w:abstractNum>
  <w:abstractNum w:abstractNumId="37" w15:restartNumberingAfterBreak="0">
    <w:multiLevelType w:val="hybridMultilevel"/>
    <w:lvl w:ilvl="0" w15:tentative="1">
      <w:start w:val="1"/>
      <w:numFmt w:val="decimal"/>
      <w:lvlText w:val="%1."/>
      <w:lvlJc w:val="left"/>
      <w:pPr>
        <w:ind w:left="567" w:hanging="397"/>
      </w:pPr>
    </w:lvl>
  </w:abstractNum>
  <w:abstractNum w:abstractNumId="38" w15:restartNumberingAfterBreak="0">
    <w:multiLevelType w:val="hybridMultilevel"/>
    <w:lvl w:ilvl="0" w15:tentative="1">
      <w:start w:val="1"/>
      <w:numFmt w:val="decimal"/>
      <w:lvlText w:val="%1."/>
      <w:lvlJc w:val="left"/>
      <w:pPr>
        <w:ind w:left="567" w:hanging="397"/>
      </w:pPr>
    </w:lvl>
  </w:abstractNum>
  <w:abstractNum w:abstractNumId="39" w15:restartNumberingAfterBreak="0">
    <w:multiLevelType w:val="hybridMultilevel"/>
    <w:lvl w:ilvl="0" w15:tentative="1">
      <w:start w:val="1"/>
      <w:numFmt w:val="decimal"/>
      <w:lvlText w:val="%1."/>
      <w:lvlJc w:val="left"/>
      <w:pPr>
        <w:ind w:left="567" w:hanging="397"/>
      </w:pPr>
    </w:lvl>
  </w:abstractNum>
  <w:abstractNum w:abstractNumId="40" w15:restartNumberingAfterBreak="0">
    <w:multiLevelType w:val="hybridMultilevel"/>
    <w:lvl w:ilvl="0" w15:tentative="1">
      <w:start w:val="1"/>
      <w:numFmt w:val="decimal"/>
      <w:lvlText w:val="%1."/>
      <w:lvlJc w:val="left"/>
      <w:pPr>
        <w:ind w:left="567" w:hanging="397"/>
      </w:pPr>
    </w:lvl>
  </w:abstractNum>
  <w:abstractNum w:abstractNumId="41" w15:restartNumberingAfterBreak="0">
    <w:multiLevelType w:val="hybridMultilevel"/>
    <w:lvl w:ilvl="0" w15:tentative="1">
      <w:start w:val="1"/>
      <w:numFmt w:val="decimal"/>
      <w:lvlText w:val="%1."/>
      <w:lvlJc w:val="left"/>
      <w:pPr>
        <w:ind w:left="567" w:hanging="397"/>
      </w:pPr>
    </w:lvl>
  </w:abstractNum>
  <w:abstractNum w:abstractNumId="42"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6"/>
    <w:lvlOverride w:ilvl="0">
      <w:startOverride w:val="1"/>
    </w:lvlOverride>
  </w:num>
  <w:num w:numId="6">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jc w:val="cente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keepNext/>
      <w:keepLines/>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keepNext/>
      <w:keepLines/>
      <w:outlineLvl w:val="2"/>
    </w:pPr>
    <w:rPr>
      <w:rFonts w:ascii="Times New Roman" w:cs="Times New Roman" w:eastAsia="Times New Roman" w:hAnsi="Times New Roman"/>
      <w:b/>
      <w:bCs/>
      <w:i/>
      <w:iCs/>
      <w:color w:val="000000"/>
      <w:sz w:val="24"/>
      <w:szCs w:val="24"/>
    </w:rPr>
  </w:style>
  <w:style w:type="paragraph" w:styleId="TableCaption">
    <w:name w:val="TableCaption"/>
    <w:basedOn w:val="Normal"/>
    <w:pPr>
      <w:jc w:val="center"/>
    </w:pPr>
    <w:rPr>
      <w:rFonts w:ascii="Times New Roman" w:cs="Times New Roman" w:eastAsia="Times New Roman" w:hAnsi="Times New Roman"/>
      <w:sz w:val="22"/>
      <w:szCs w:val="22"/>
    </w:rPr>
  </w:style>
  <w:style w:type="paragraph" w:styleId="FigureCaption">
    <w:name w:val="FigureCaption"/>
    <w:basedOn w:val="Normal"/>
    <w:pPr>
      <w:jc w:val="center"/>
    </w:pPr>
    <w:rPr>
      <w:rFonts w:ascii="Times New Roman" w:cs="Times New Roman" w:eastAsia="Times New Roman" w:hAnsi="Times New Roman"/>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897eac03be164d07f3249f79f52246e015a6908e.png"/><Relationship Id="rId10" Type="http://schemas.openxmlformats.org/officeDocument/2006/relationships/image" Target="media/7ff86f8067bf78477c3df6f3b9c4dc92e50db19c.png"/><Relationship Id="rId11" Type="http://schemas.openxmlformats.org/officeDocument/2006/relationships/image" Target="media/8eec1a9d1f4e4bcb57e8a7a2f69e8e9a020a894c.png"/><Relationship Id="rId12" Type="http://schemas.openxmlformats.org/officeDocument/2006/relationships/image" Target="media/6bb04f5eddfbff0671a0cac3cac0d7e3ae3027e1.png"/><Relationship Id="rId13" Type="http://schemas.openxmlformats.org/officeDocument/2006/relationships/image" Target="media/945a565c255b56408d92bea2114a2dd68badb927.png"/><Relationship Id="rId14" Type="http://schemas.openxmlformats.org/officeDocument/2006/relationships/image" Target="media/1b5baa4e7068cd9ff8d8df613c1d20ba42ee8563.png"/><Relationship Id="rId15" Type="http://schemas.openxmlformats.org/officeDocument/2006/relationships/image" Target="media/84e070b8a2e0bdd22f4ad6429b3357bb44f6a3a9.png"/><Relationship Id="rId16" Type="http://schemas.openxmlformats.org/officeDocument/2006/relationships/image" Target="media/a9230d319780eae7f9d8e7a66753168dacc469ae.png"/><Relationship Id="rId17" Type="http://schemas.openxmlformats.org/officeDocument/2006/relationships/image" Target="media/1a0c22e23c350c415d2651e058b6a8cb6c719090.png"/><Relationship Id="rId18" Type="http://schemas.openxmlformats.org/officeDocument/2006/relationships/image" Target="media/ac539f4a9f2de29b16d0e2e8dd9dc41aea7fcd8e.png"/><Relationship Id="rId19" Type="http://schemas.openxmlformats.org/officeDocument/2006/relationships/image" Target="media/13faed11fbef3d9da6ec3ea90f71bb6efee29c4f.png"/><Relationship Id="rId20" Type="http://schemas.openxmlformats.org/officeDocument/2006/relationships/image" Target="media/930ed51784f70d9d66d726fef3596c8e5293f423.png"/><Relationship Id="rId21" Type="http://schemas.openxmlformats.org/officeDocument/2006/relationships/image" Target="media/a8b73d4d2dc1b62c0ec8a23d523d51a42d500995.png"/><Relationship Id="rId22" Type="http://schemas.openxmlformats.org/officeDocument/2006/relationships/image" Target="media/ac14d20a0de5e3c1804bc6475f4a2d0760c84c7a.png"/><Relationship Id="rId23" Type="http://schemas.openxmlformats.org/officeDocument/2006/relationships/image" Target="media/10b3e515a6e79c27c0a95eddd9b6b6d36ad14e34.png"/><Relationship Id="rId24" Type="http://schemas.openxmlformats.org/officeDocument/2006/relationships/image" Target="media/d7675d583559b5e346dc9acf2ff3bd80e7592001.png"/><Relationship Id="rId25" Type="http://schemas.openxmlformats.org/officeDocument/2006/relationships/image" Target="media/30e78bb4f901f2f0b6b67e0f9612fbb7e6e9d821.png"/><Relationship Id="rId26" Type="http://schemas.openxmlformats.org/officeDocument/2006/relationships/image" Target="media/52dadfaa59189df7106c2f4bbdd91efa938cc8b6.png"/><Relationship Id="rId27" Type="http://schemas.openxmlformats.org/officeDocument/2006/relationships/image" Target="media/db4d41428f7943ec89490150f8026c9361f76728.png"/><Relationship Id="rId28" Type="http://schemas.openxmlformats.org/officeDocument/2006/relationships/image" Target="media/31017e1b5d6c1a91512d1f302f5824bdc845bc85.png"/><Relationship Id="rId29" Type="http://schemas.openxmlformats.org/officeDocument/2006/relationships/image" Target="media/812de3dd3ecf5e4518d84ef1e41666c740f2f238.png"/><Relationship Id="rId30" Type="http://schemas.openxmlformats.org/officeDocument/2006/relationships/image" Target="media/613d4f5bfbc32f5b135e8538a28008faf5e01fc6.png"/><Relationship Id="rId31" Type="http://schemas.openxmlformats.org/officeDocument/2006/relationships/image" Target="media/fcfefd9811941a03f73998f4b787f4b52241b3d1.png"/><Relationship Id="rId32" Type="http://schemas.openxmlformats.org/officeDocument/2006/relationships/image" Target="media/b4a6d7a2f98cb2c242331f4df62428e84956ace1.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AgriSight Final Project Report</dc:title>
  <dc:creator>Vignesh Natarajan</dc:creator>
  <dc:description>MBA Business Analytics project report</dc:description>
  <cp:lastModifiedBy>Un-named</cp:lastModifiedBy>
  <cp:revision>1</cp:revision>
  <dcterms:created xsi:type="dcterms:W3CDTF">2026-10-18T08:34:04.850Z</dcterms:created>
  <dcterms:modified xsi:type="dcterms:W3CDTF">2026-10-18T08:34:04.850Z</dcterms:modified>
</cp:coreProperties>
</file>

<file path=docProps/custom.xml><?xml version="1.0" encoding="utf-8"?>
<Properties xmlns="http://schemas.openxmlformats.org/officeDocument/2006/custom-properties" xmlns:vt="http://schemas.openxmlformats.org/officeDocument/2006/docPropsVTypes"/>
</file>