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r/>
    </w:p>
    <w:p>
      <w:r/>
    </w:p>
    <w:p>
      <w:pPr>
        <w:jc w:val="center"/>
      </w:pPr>
      <w:r>
        <w:rPr>
          <w:b/>
        </w:rPr>
        <w:t>ANNA UNIVERSITY</w:t>
      </w:r>
    </w:p>
    <w:p>
      <w:pPr>
        <w:jc w:val="center"/>
      </w:pPr>
      <w:r>
        <w:t>CENTRE FOR DISTANCE AND ONLINE EDUCATION</w:t>
      </w:r>
    </w:p>
    <w:p>
      <w:pPr>
        <w:jc w:val="center"/>
      </w:pPr>
      <w:r>
        <w:t>ONLINE MBA - BUSINESS ANALYTICS</w:t>
      </w:r>
    </w:p>
    <w:p>
      <w:r/>
    </w:p>
    <w:p>
      <w:pPr>
        <w:jc w:val="center"/>
      </w:pPr>
      <w:r>
        <w:t>A STUDY ON SHORT-TERM VEGETABLE FORECASTING IN TAMIL NADU: A MACHINE LEARNING AND MULTI-AGENT AI APPROACH FOR SUPPLY CHAIN DECISION-MAKING</w:t>
      </w:r>
    </w:p>
    <w:p>
      <w:pPr>
        <w:jc w:val="center"/>
      </w:pPr>
      <w:r>
        <w:t>A Secondary Data Study with a Koyambedu Price Source Assessment</w:t>
      </w:r>
    </w:p>
    <w:p>
      <w:r/>
    </w:p>
    <w:p>
      <w:pPr>
        <w:jc w:val="center"/>
      </w:pPr>
      <w:r>
        <w:t>PROJECT REPORT</w:t>
      </w:r>
    </w:p>
    <w:p>
      <w:pPr>
        <w:jc w:val="center"/>
      </w:pPr>
      <w:r>
        <w:t>Submitted in partial fulfilment of the requirements for the award of</w:t>
      </w:r>
    </w:p>
    <w:p>
      <w:pPr>
        <w:jc w:val="center"/>
      </w:pPr>
      <w:r>
        <w:t>MASTER OF BUSINESS ADMINISTRATION</w:t>
      </w:r>
    </w:p>
    <w:p>
      <w:pPr>
        <w:jc w:val="center"/>
      </w:pPr>
      <w:r>
        <w:t>Submitted by</w:t>
      </w:r>
    </w:p>
    <w:p>
      <w:pPr>
        <w:jc w:val="center"/>
      </w:pPr>
      <w:r>
        <w:t>VIGNESH NATARAJAN</w:t>
      </w:r>
    </w:p>
    <w:p>
      <w:pPr>
        <w:jc w:val="center"/>
      </w:pPr>
      <w:r>
        <w:t>Roll No. 24060BA0046 | Registration No. 69124100162</w:t>
      </w:r>
    </w:p>
    <w:p>
      <w:r/>
    </w:p>
    <w:p>
      <w:pPr>
        <w:jc w:val="center"/>
      </w:pPr>
      <w:r>
        <w:t>BATCH CY24 | 2026</w:t>
      </w:r>
    </w:p>
    <w:p>
      <w:r>
        <w:br w:type="page"/>
      </w:r>
    </w:p>
    <w:p>
      <w:pPr>
        <w:pStyle w:val="Heading1"/>
      </w:pPr>
      <w:r>
        <w:t>BONAFIDE CERTIFICATE</w:t>
      </w:r>
    </w:p>
    <w:p>
      <w:r>
        <w:t>This is to certify that the project report entitled “A Study on Short-Term Vegetable Forecasting in Tamil Nadu: A Machine Learning and Multi-Agent AI Approach for Supply Chain Decision-Making” is a bonafide record of the project work carried out by Vignesh Natarajan (Roll No. 24060BA0046; Registration No. 69124100162), in partial fulfilment of the requirements for the award of the Master of Business Administration degree of Anna University, Centre for Distance and Online Education.</w:t>
      </w:r>
    </w:p>
    <w:p>
      <w:r>
        <w:t>The project was completed under my guidance during the academic year 2025–2026. To the best of my knowledge, the work has not been submitted for another degree or diploma.</w:t>
      </w:r>
    </w:p>
    <w:tbl>
      <w:tblPr>
        <w:tblStyle w:val="TableGrid"/>
        <w:tblW w:type="auto" w:w="0"/>
        <w:tblLook w:firstColumn="1" w:firstRow="1" w:lastColumn="0" w:lastRow="0" w:noHBand="0" w:noVBand="1" w:val="04A0"/>
      </w:tblPr>
      <w:tblGrid>
        <w:gridCol w:w="4224"/>
        <w:gridCol w:w="4224"/>
      </w:tblGrid>
      <w:tr>
        <w:tc>
          <w:tcPr>
            <w:tcW w:type="dxa" w:w="4224"/>
            <w:shd w:fill="D9E2F3"/>
          </w:tcPr>
          <w:p>
            <w:pPr>
              <w:spacing w:line="240" w:lineRule="auto" w:after="40"/>
            </w:pPr>
            <w:r>
              <w:rPr>
                <w:rFonts w:ascii="Times New Roman" w:hAnsi="Times New Roman"/>
                <w:sz w:val="18"/>
              </w:rPr>
              <w:t>Project Guide</w:t>
            </w:r>
          </w:p>
        </w:tc>
        <w:tc>
          <w:tcPr>
            <w:tcW w:type="dxa" w:w="4224"/>
            <w:shd w:fill="D9E2F3"/>
          </w:tcPr>
          <w:p>
            <w:pPr>
              <w:spacing w:line="240" w:lineRule="auto" w:after="40"/>
            </w:pPr>
            <w:r>
              <w:rPr>
                <w:rFonts w:ascii="Times New Roman" w:hAnsi="Times New Roman"/>
                <w:sz w:val="18"/>
              </w:rPr>
              <w:t>Head of Department / Programme Coordinator</w:t>
            </w:r>
          </w:p>
        </w:tc>
      </w:tr>
      <w:tr>
        <w:tc>
          <w:tcPr>
            <w:tcW w:type="dxa" w:w="4224"/>
          </w:tcPr>
          <w:p>
            <w:pPr>
              <w:spacing w:line="240" w:lineRule="auto" w:after="40"/>
            </w:pPr>
            <w:r>
              <w:rPr>
                <w:rFonts w:ascii="Times New Roman" w:hAnsi="Times New Roman"/>
                <w:sz w:val="18"/>
              </w:rPr>
              <w:t>Name: __________________</w:t>
            </w:r>
          </w:p>
        </w:tc>
        <w:tc>
          <w:tcPr>
            <w:tcW w:type="dxa" w:w="4224"/>
          </w:tcPr>
          <w:p>
            <w:pPr>
              <w:spacing w:line="240" w:lineRule="auto" w:after="40"/>
            </w:pPr>
            <w:r>
              <w:rPr>
                <w:rFonts w:ascii="Times New Roman" w:hAnsi="Times New Roman"/>
                <w:sz w:val="18"/>
              </w:rPr>
              <w:t>Name: __________________</w:t>
            </w:r>
          </w:p>
        </w:tc>
      </w:tr>
      <w:tr>
        <w:tc>
          <w:tcPr>
            <w:tcW w:type="dxa" w:w="4224"/>
          </w:tcPr>
          <w:p>
            <w:pPr>
              <w:spacing w:line="240" w:lineRule="auto" w:after="40"/>
            </w:pPr>
            <w:r>
              <w:rPr>
                <w:rFonts w:ascii="Times New Roman" w:hAnsi="Times New Roman"/>
                <w:sz w:val="18"/>
              </w:rPr>
              <w:t>Signature: ______________</w:t>
            </w:r>
          </w:p>
        </w:tc>
        <w:tc>
          <w:tcPr>
            <w:tcW w:type="dxa" w:w="4224"/>
          </w:tcPr>
          <w:p>
            <w:pPr>
              <w:spacing w:line="240" w:lineRule="auto" w:after="40"/>
            </w:pPr>
            <w:r>
              <w:rPr>
                <w:rFonts w:ascii="Times New Roman" w:hAnsi="Times New Roman"/>
                <w:sz w:val="18"/>
              </w:rPr>
              <w:t>Signature: ______________</w:t>
            </w:r>
          </w:p>
        </w:tc>
      </w:tr>
      <w:tr>
        <w:tc>
          <w:tcPr>
            <w:tcW w:type="dxa" w:w="4224"/>
          </w:tcPr>
          <w:p>
            <w:pPr>
              <w:spacing w:line="240" w:lineRule="auto" w:after="40"/>
            </w:pPr>
            <w:r>
              <w:rPr>
                <w:rFonts w:ascii="Times New Roman" w:hAnsi="Times New Roman"/>
                <w:sz w:val="18"/>
              </w:rPr>
              <w:t>Date: __________________</w:t>
            </w:r>
          </w:p>
        </w:tc>
        <w:tc>
          <w:tcPr>
            <w:tcW w:type="dxa" w:w="4224"/>
          </w:tcPr>
          <w:p>
            <w:pPr>
              <w:spacing w:line="240" w:lineRule="auto" w:after="40"/>
            </w:pPr>
            <w:r>
              <w:rPr>
                <w:rFonts w:ascii="Times New Roman" w:hAnsi="Times New Roman"/>
                <w:sz w:val="18"/>
              </w:rPr>
              <w:t>Seal: __________________</w:t>
            </w:r>
          </w:p>
        </w:tc>
      </w:tr>
    </w:tbl>
    <w:p>
      <w:r>
        <w:t>Submitted for the University project viva voce examination held on __________________ at __________________.</w:t>
      </w:r>
    </w:p>
    <w:tbl>
      <w:tblPr>
        <w:tblStyle w:val="TableGrid"/>
        <w:tblW w:type="auto" w:w="0"/>
        <w:tblLook w:firstColumn="1" w:firstRow="1" w:lastColumn="0" w:lastRow="0" w:noHBand="0" w:noVBand="1" w:val="04A0"/>
      </w:tblPr>
      <w:tblGrid>
        <w:gridCol w:w="4224"/>
        <w:gridCol w:w="4224"/>
      </w:tblGrid>
      <w:tr>
        <w:tc>
          <w:tcPr>
            <w:tcW w:type="dxa" w:w="4224"/>
            <w:shd w:fill="D9E2F3"/>
          </w:tcPr>
          <w:p>
            <w:pPr>
              <w:spacing w:line="240" w:lineRule="auto" w:after="40"/>
            </w:pPr>
            <w:r>
              <w:rPr>
                <w:rFonts w:ascii="Times New Roman" w:hAnsi="Times New Roman"/>
                <w:sz w:val="18"/>
              </w:rPr>
              <w:t>Internal Examiner</w:t>
            </w:r>
          </w:p>
        </w:tc>
        <w:tc>
          <w:tcPr>
            <w:tcW w:type="dxa" w:w="4224"/>
            <w:shd w:fill="D9E2F3"/>
          </w:tcPr>
          <w:p>
            <w:pPr>
              <w:spacing w:line="240" w:lineRule="auto" w:after="40"/>
            </w:pPr>
            <w:r>
              <w:rPr>
                <w:rFonts w:ascii="Times New Roman" w:hAnsi="Times New Roman"/>
                <w:sz w:val="18"/>
              </w:rPr>
              <w:t>External Examiner</w:t>
            </w:r>
          </w:p>
        </w:tc>
      </w:tr>
      <w:tr>
        <w:tc>
          <w:tcPr>
            <w:tcW w:type="dxa" w:w="4224"/>
          </w:tcPr>
          <w:p>
            <w:pPr>
              <w:spacing w:line="240" w:lineRule="auto" w:after="40"/>
            </w:pPr>
            <w:r>
              <w:rPr>
                <w:rFonts w:ascii="Times New Roman" w:hAnsi="Times New Roman"/>
                <w:sz w:val="18"/>
              </w:rPr>
              <w:t>Signature: ______________</w:t>
            </w:r>
          </w:p>
        </w:tc>
        <w:tc>
          <w:tcPr>
            <w:tcW w:type="dxa" w:w="4224"/>
          </w:tcPr>
          <w:p>
            <w:pPr>
              <w:spacing w:line="240" w:lineRule="auto" w:after="40"/>
            </w:pPr>
            <w:r>
              <w:rPr>
                <w:rFonts w:ascii="Times New Roman" w:hAnsi="Times New Roman"/>
                <w:sz w:val="18"/>
              </w:rPr>
              <w:t>Signature: ______________</w:t>
            </w:r>
          </w:p>
        </w:tc>
      </w:tr>
      <w:tr>
        <w:tc>
          <w:tcPr>
            <w:tcW w:type="dxa" w:w="4224"/>
          </w:tcPr>
          <w:p>
            <w:pPr>
              <w:spacing w:line="240" w:lineRule="auto" w:after="40"/>
            </w:pPr>
            <w:r>
              <w:rPr>
                <w:rFonts w:ascii="Times New Roman" w:hAnsi="Times New Roman"/>
                <w:sz w:val="18"/>
              </w:rPr>
              <w:t>Name: __________________</w:t>
            </w:r>
          </w:p>
        </w:tc>
        <w:tc>
          <w:tcPr>
            <w:tcW w:type="dxa" w:w="4224"/>
          </w:tcPr>
          <w:p>
            <w:pPr>
              <w:spacing w:line="240" w:lineRule="auto" w:after="40"/>
            </w:pPr>
            <w:r>
              <w:rPr>
                <w:rFonts w:ascii="Times New Roman" w:hAnsi="Times New Roman"/>
                <w:sz w:val="18"/>
              </w:rPr>
              <w:t>Name: __________________</w:t>
            </w:r>
          </w:p>
        </w:tc>
      </w:tr>
    </w:tbl>
    <w:p>
      <w:r>
        <w:br w:type="page"/>
      </w:r>
    </w:p>
    <w:p>
      <w:pPr>
        <w:pStyle w:val="Heading1"/>
      </w:pPr>
      <w:r>
        <w:t>ABSTRACT</w:t>
      </w:r>
    </w:p>
    <w:p>
      <w:r>
        <w:t>Vegetable price volatility affects purchasing costs, inventory planning and procurement timing for retailers and food-service organisations. This study develops and evaluates a short-term machine-learning forecasting workflow for eight vegetables in Tamil Nadu and examines its use for supply-chain decision-making. The project uses secondary price records and local Chennai weather history. Four forecasting approaches were assessed: seasonal ARIMA, Prophet, Random Forest and XGBoost. In the corrected feature run, mean MAPE was 33.60% for static 90-day SARIMA, 10.77% for seven-day-block SARIMA, 18.77% for static 90-day Prophet, 11.32% for expanding-window Random Forest and 13.93% for expanding-window XGBoost. These protocols differ; they do not establish a universal winning model. A separate matched-origin Koyambedu comparison covers 7-, 14- and 30-day horizons, but the candidate price source remains unverified as wholesale ground truth, so those scores are exploratory. A leakage review shifted market counts, price-position features and weather features so predictors use information available before the target. The rainfall-association analysis did not find a statistically significant rainfall-anomaly coefficient in its exploratory specification; market arrivals were unavailable and the weather history is short. A four-role AgriSight pipeline now supports local price collection, recursive forecasting, optional official weather and policy feeds, and optional local-language-model report writing. On the latest offline run, the local price panel was stale and all procurement signals abstained. The retrospective procurement scenario is not a realized savings estimate and cannot establish economic value without validated prices and buyer outcomes.</w:t>
      </w:r>
    </w:p>
    <w:p>
      <w:r>
        <w:t>Keywords: vegetable prices; forecasting; procurement; Agmarknet; Tamil Nadu; explainable machine learning; Koyambedu</w:t>
      </w:r>
    </w:p>
    <w:p>
      <w:r>
        <w:br w:type="page"/>
      </w:r>
    </w:p>
    <w:p>
      <w:pPr>
        <w:pStyle w:val="Heading1"/>
      </w:pPr>
      <w:r>
        <w:t>ACKNOWLEDGEMENT</w:t>
      </w:r>
    </w:p>
    <w:p>
      <w:r>
        <w:t>I express my sincere gratitude to Anna University and the Centre for Distance and Online Education for the opportunity to undertake this project. I thank my project guide and faculty for academic guidance and constructive feedback. I acknowledge the maintainers of the secondary datasets and public information sources used. Finally, I thank my family and colleagues for their encouragement. I accept responsibility for the analysis, interpretation and any errors that may remain.</w:t>
      </w:r>
    </w:p>
    <w:p>
      <w:r>
        <w:br w:type="page"/>
      </w:r>
    </w:p>
    <w:p>
      <w:pPr>
        <w:pStyle w:val="Heading1"/>
      </w:pPr>
      <w:r>
        <w:t>TABLE OF CONTENTS</w:t>
      </w:r>
    </w:p>
    <w:p>
      <w:r>
        <w:t>Abstract</w:t>
      </w:r>
    </w:p>
    <w:p>
      <w:r>
        <w:t>Acknowledgement</w:t>
      </w:r>
    </w:p>
    <w:p>
      <w:r>
        <w:t>List of Tables</w:t>
      </w:r>
    </w:p>
    <w:p>
      <w:r>
        <w:t>List of Figures</w:t>
      </w:r>
    </w:p>
    <w:p>
      <w:r>
        <w:t>List of Abbreviations</w:t>
      </w:r>
    </w:p>
    <w:p>
      <w:r>
        <w:t>Chapter 1 - Introduction</w:t>
      </w:r>
    </w:p>
    <w:p>
      <w:r>
        <w:t>Chapter 2 - Review of Literature</w:t>
      </w:r>
    </w:p>
    <w:p>
      <w:r>
        <w:t>Chapter 3 - Research Methodology</w:t>
      </w:r>
    </w:p>
    <w:p>
      <w:r>
        <w:t>Chapter 4 - Analysis and Findings</w:t>
      </w:r>
    </w:p>
    <w:p>
      <w:r>
        <w:t>Chapter 5 - Conclusions and Recommendations</w:t>
      </w:r>
    </w:p>
    <w:p>
      <w:r>
        <w:t>References</w:t>
      </w:r>
    </w:p>
    <w:p>
      <w:r>
        <w:t>Appendices</w:t>
      </w:r>
    </w:p>
    <w:p>
      <w:r>
        <w:rPr>
          <w:i/>
        </w:rPr>
        <w:t>Page numbers populate when fields are updated in Microsoft Word.</w:t>
      </w:r>
    </w:p>
    <w:p>
      <w:r>
        <w:br w:type="page"/>
      </w:r>
    </w:p>
    <w:p>
      <w:pPr>
        <w:pStyle w:val="Heading1"/>
      </w:pPr>
      <w:r>
        <w:t>LIST OF TABLES</w:t>
      </w:r>
    </w:p>
    <w:p>
      <w:r>
        <w:t>3.1 Study design and data sources</w:t>
      </w:r>
    </w:p>
    <w:p>
      <w:r>
        <w:t>4.1 Data coverage</w:t>
      </w:r>
    </w:p>
    <w:p>
      <w:r>
        <w:t>4.2 Forecast results</w:t>
      </w:r>
    </w:p>
    <w:p>
      <w:r>
        <w:t>4.3 Matched-horizon model results</w:t>
      </w:r>
    </w:p>
    <w:p>
      <w:r>
        <w:t>A.1 Data dictionary</w:t>
      </w:r>
    </w:p>
    <w:p>
      <w:r>
        <w:t>B.1 Model inventory</w:t>
      </w:r>
    </w:p>
    <w:p>
      <w:r>
        <w:br w:type="page"/>
      </w:r>
    </w:p>
    <w:p>
      <w:pPr>
        <w:pStyle w:val="Heading1"/>
      </w:pPr>
      <w:r>
        <w:t>LIST OF FIGURES</w:t>
      </w:r>
    </w:p>
    <w:p>
      <w:r>
        <w:t>3.1 Analytical workflow (described in methodology)</w:t>
      </w:r>
    </w:p>
    <w:p>
      <w:r>
        <w:t>4.1 Forecast comparison (summary table)</w:t>
      </w:r>
    </w:p>
    <w:p>
      <w:r>
        <w:br w:type="page"/>
      </w:r>
    </w:p>
    <w:p>
      <w:pPr>
        <w:pStyle w:val="Heading1"/>
      </w:pPr>
      <w:r>
        <w:t>LIST OF ABBREVIATIONS</w:t>
      </w:r>
    </w:p>
    <w:tbl>
      <w:tblPr>
        <w:tblStyle w:val="TableGrid"/>
        <w:tblW w:type="auto" w:w="0"/>
        <w:tblLook w:firstColumn="1" w:firstRow="1" w:lastColumn="0" w:lastRow="0" w:noHBand="0" w:noVBand="1" w:val="04A0"/>
      </w:tblPr>
      <w:tblGrid>
        <w:gridCol w:w="4224"/>
        <w:gridCol w:w="4224"/>
      </w:tblGrid>
      <w:tr>
        <w:tc>
          <w:tcPr>
            <w:tcW w:type="dxa" w:w="4224"/>
            <w:shd w:fill="D9E2F3"/>
          </w:tcPr>
          <w:p>
            <w:pPr>
              <w:spacing w:line="240" w:lineRule="auto" w:after="40"/>
            </w:pPr>
            <w:r>
              <w:rPr>
                <w:rFonts w:ascii="Times New Roman" w:hAnsi="Times New Roman"/>
                <w:sz w:val="18"/>
              </w:rPr>
              <w:t>Abbreviation</w:t>
            </w:r>
          </w:p>
        </w:tc>
        <w:tc>
          <w:tcPr>
            <w:tcW w:type="dxa" w:w="4224"/>
            <w:shd w:fill="D9E2F3"/>
          </w:tcPr>
          <w:p>
            <w:pPr>
              <w:spacing w:line="240" w:lineRule="auto" w:after="40"/>
            </w:pPr>
            <w:r>
              <w:rPr>
                <w:rFonts w:ascii="Times New Roman" w:hAnsi="Times New Roman"/>
                <w:sz w:val="18"/>
              </w:rPr>
              <w:t>Meaning</w:t>
            </w:r>
          </w:p>
        </w:tc>
      </w:tr>
      <w:tr>
        <w:tc>
          <w:tcPr>
            <w:tcW w:type="dxa" w:w="4224"/>
          </w:tcPr>
          <w:p>
            <w:pPr>
              <w:spacing w:line="240" w:lineRule="auto" w:after="40"/>
            </w:pPr>
            <w:r>
              <w:rPr>
                <w:rFonts w:ascii="Times New Roman" w:hAnsi="Times New Roman"/>
                <w:sz w:val="18"/>
              </w:rPr>
              <w:t>ADF</w:t>
            </w:r>
          </w:p>
        </w:tc>
        <w:tc>
          <w:tcPr>
            <w:tcW w:type="dxa" w:w="4224"/>
          </w:tcPr>
          <w:p>
            <w:pPr>
              <w:spacing w:line="240" w:lineRule="auto" w:after="40"/>
            </w:pPr>
            <w:r>
              <w:rPr>
                <w:rFonts w:ascii="Times New Roman" w:hAnsi="Times New Roman"/>
                <w:sz w:val="18"/>
              </w:rPr>
              <w:t>Augmented Dickey-Fuller</w:t>
            </w:r>
          </w:p>
        </w:tc>
      </w:tr>
      <w:tr>
        <w:tc>
          <w:tcPr>
            <w:tcW w:type="dxa" w:w="4224"/>
          </w:tcPr>
          <w:p>
            <w:pPr>
              <w:spacing w:line="240" w:lineRule="auto" w:after="40"/>
            </w:pPr>
            <w:r>
              <w:rPr>
                <w:rFonts w:ascii="Times New Roman" w:hAnsi="Times New Roman"/>
                <w:sz w:val="18"/>
              </w:rPr>
              <w:t>Agmarknet</w:t>
            </w:r>
          </w:p>
        </w:tc>
        <w:tc>
          <w:tcPr>
            <w:tcW w:type="dxa" w:w="4224"/>
          </w:tcPr>
          <w:p>
            <w:pPr>
              <w:spacing w:line="240" w:lineRule="auto" w:after="40"/>
            </w:pPr>
            <w:r>
              <w:rPr>
                <w:rFonts w:ascii="Times New Roman" w:hAnsi="Times New Roman"/>
                <w:sz w:val="18"/>
              </w:rPr>
              <w:t>Agricultural Marketing Information Network</w:t>
            </w:r>
          </w:p>
        </w:tc>
      </w:tr>
      <w:tr>
        <w:tc>
          <w:tcPr>
            <w:tcW w:type="dxa" w:w="4224"/>
          </w:tcPr>
          <w:p>
            <w:pPr>
              <w:spacing w:line="240" w:lineRule="auto" w:after="40"/>
            </w:pPr>
            <w:r>
              <w:rPr>
                <w:rFonts w:ascii="Times New Roman" w:hAnsi="Times New Roman"/>
                <w:sz w:val="18"/>
              </w:rPr>
              <w:t>MAPE</w:t>
            </w:r>
          </w:p>
        </w:tc>
        <w:tc>
          <w:tcPr>
            <w:tcW w:type="dxa" w:w="4224"/>
          </w:tcPr>
          <w:p>
            <w:pPr>
              <w:spacing w:line="240" w:lineRule="auto" w:after="40"/>
            </w:pPr>
            <w:r>
              <w:rPr>
                <w:rFonts w:ascii="Times New Roman" w:hAnsi="Times New Roman"/>
                <w:sz w:val="18"/>
              </w:rPr>
              <w:t>Mean Absolute Percentage Error</w:t>
            </w:r>
          </w:p>
        </w:tc>
      </w:tr>
      <w:tr>
        <w:tc>
          <w:tcPr>
            <w:tcW w:type="dxa" w:w="4224"/>
          </w:tcPr>
          <w:p>
            <w:pPr>
              <w:spacing w:line="240" w:lineRule="auto" w:after="40"/>
            </w:pPr>
            <w:r>
              <w:rPr>
                <w:rFonts w:ascii="Times New Roman" w:hAnsi="Times New Roman"/>
                <w:sz w:val="18"/>
              </w:rPr>
              <w:t>MAE</w:t>
            </w:r>
          </w:p>
        </w:tc>
        <w:tc>
          <w:tcPr>
            <w:tcW w:type="dxa" w:w="4224"/>
          </w:tcPr>
          <w:p>
            <w:pPr>
              <w:spacing w:line="240" w:lineRule="auto" w:after="40"/>
            </w:pPr>
            <w:r>
              <w:rPr>
                <w:rFonts w:ascii="Times New Roman" w:hAnsi="Times New Roman"/>
                <w:sz w:val="18"/>
              </w:rPr>
              <w:t>Mean Absolute Error</w:t>
            </w:r>
          </w:p>
        </w:tc>
      </w:tr>
      <w:tr>
        <w:tc>
          <w:tcPr>
            <w:tcW w:type="dxa" w:w="4224"/>
          </w:tcPr>
          <w:p>
            <w:pPr>
              <w:spacing w:line="240" w:lineRule="auto" w:after="40"/>
            </w:pPr>
            <w:r>
              <w:rPr>
                <w:rFonts w:ascii="Times New Roman" w:hAnsi="Times New Roman"/>
                <w:sz w:val="18"/>
              </w:rPr>
              <w:t>RMSE</w:t>
            </w:r>
          </w:p>
        </w:tc>
        <w:tc>
          <w:tcPr>
            <w:tcW w:type="dxa" w:w="4224"/>
          </w:tcPr>
          <w:p>
            <w:pPr>
              <w:spacing w:line="240" w:lineRule="auto" w:after="40"/>
            </w:pPr>
            <w:r>
              <w:rPr>
                <w:rFonts w:ascii="Times New Roman" w:hAnsi="Times New Roman"/>
                <w:sz w:val="18"/>
              </w:rPr>
              <w:t>Root Mean Squared Error</w:t>
            </w:r>
          </w:p>
        </w:tc>
      </w:tr>
      <w:tr>
        <w:tc>
          <w:tcPr>
            <w:tcW w:type="dxa" w:w="4224"/>
          </w:tcPr>
          <w:p>
            <w:pPr>
              <w:spacing w:line="240" w:lineRule="auto" w:after="40"/>
            </w:pPr>
            <w:r>
              <w:rPr>
                <w:rFonts w:ascii="Times New Roman" w:hAnsi="Times New Roman"/>
                <w:sz w:val="18"/>
              </w:rPr>
              <w:t>RF</w:t>
            </w:r>
          </w:p>
        </w:tc>
        <w:tc>
          <w:tcPr>
            <w:tcW w:type="dxa" w:w="4224"/>
          </w:tcPr>
          <w:p>
            <w:pPr>
              <w:spacing w:line="240" w:lineRule="auto" w:after="40"/>
            </w:pPr>
            <w:r>
              <w:rPr>
                <w:rFonts w:ascii="Times New Roman" w:hAnsi="Times New Roman"/>
                <w:sz w:val="18"/>
              </w:rPr>
              <w:t>Random Forest</w:t>
            </w:r>
          </w:p>
        </w:tc>
      </w:tr>
      <w:tr>
        <w:tc>
          <w:tcPr>
            <w:tcW w:type="dxa" w:w="4224"/>
          </w:tcPr>
          <w:p>
            <w:pPr>
              <w:spacing w:line="240" w:lineRule="auto" w:after="40"/>
            </w:pPr>
            <w:r>
              <w:rPr>
                <w:rFonts w:ascii="Times New Roman" w:hAnsi="Times New Roman"/>
                <w:sz w:val="18"/>
              </w:rPr>
              <w:t>SARIMA</w:t>
            </w:r>
          </w:p>
        </w:tc>
        <w:tc>
          <w:tcPr>
            <w:tcW w:type="dxa" w:w="4224"/>
          </w:tcPr>
          <w:p>
            <w:pPr>
              <w:spacing w:line="240" w:lineRule="auto" w:after="40"/>
            </w:pPr>
            <w:r>
              <w:rPr>
                <w:rFonts w:ascii="Times New Roman" w:hAnsi="Times New Roman"/>
                <w:sz w:val="18"/>
              </w:rPr>
              <w:t>Seasonal ARIMA</w:t>
            </w:r>
          </w:p>
        </w:tc>
      </w:tr>
      <w:tr>
        <w:tc>
          <w:tcPr>
            <w:tcW w:type="dxa" w:w="4224"/>
          </w:tcPr>
          <w:p>
            <w:pPr>
              <w:spacing w:line="240" w:lineRule="auto" w:after="40"/>
            </w:pPr>
            <w:r>
              <w:rPr>
                <w:rFonts w:ascii="Times New Roman" w:hAnsi="Times New Roman"/>
                <w:sz w:val="18"/>
              </w:rPr>
              <w:t>SHAP</w:t>
            </w:r>
          </w:p>
        </w:tc>
        <w:tc>
          <w:tcPr>
            <w:tcW w:type="dxa" w:w="4224"/>
          </w:tcPr>
          <w:p>
            <w:pPr>
              <w:spacing w:line="240" w:lineRule="auto" w:after="40"/>
            </w:pPr>
            <w:r>
              <w:rPr>
                <w:rFonts w:ascii="Times New Roman" w:hAnsi="Times New Roman"/>
                <w:sz w:val="18"/>
              </w:rPr>
              <w:t>SHapley Additive exPlanations</w:t>
            </w:r>
          </w:p>
        </w:tc>
      </w:tr>
      <w:tr>
        <w:tc>
          <w:tcPr>
            <w:tcW w:type="dxa" w:w="4224"/>
          </w:tcPr>
          <w:p>
            <w:pPr>
              <w:spacing w:line="240" w:lineRule="auto" w:after="40"/>
            </w:pPr>
            <w:r>
              <w:rPr>
                <w:rFonts w:ascii="Times New Roman" w:hAnsi="Times New Roman"/>
                <w:sz w:val="18"/>
              </w:rPr>
              <w:t>TN</w:t>
            </w:r>
          </w:p>
        </w:tc>
        <w:tc>
          <w:tcPr>
            <w:tcW w:type="dxa" w:w="4224"/>
          </w:tcPr>
          <w:p>
            <w:pPr>
              <w:spacing w:line="240" w:lineRule="auto" w:after="40"/>
            </w:pPr>
            <w:r>
              <w:rPr>
                <w:rFonts w:ascii="Times New Roman" w:hAnsi="Times New Roman"/>
                <w:sz w:val="18"/>
              </w:rPr>
              <w:t>Tamil Nadu</w:t>
            </w:r>
          </w:p>
        </w:tc>
      </w:tr>
      <w:tr>
        <w:tc>
          <w:tcPr>
            <w:tcW w:type="dxa" w:w="4224"/>
          </w:tcPr>
          <w:p>
            <w:pPr>
              <w:spacing w:line="240" w:lineRule="auto" w:after="40"/>
            </w:pPr>
            <w:r>
              <w:rPr>
                <w:rFonts w:ascii="Times New Roman" w:hAnsi="Times New Roman"/>
                <w:sz w:val="18"/>
              </w:rPr>
              <w:t>XGBoost</w:t>
            </w:r>
          </w:p>
        </w:tc>
        <w:tc>
          <w:tcPr>
            <w:tcW w:type="dxa" w:w="4224"/>
          </w:tcPr>
          <w:p>
            <w:pPr>
              <w:spacing w:line="240" w:lineRule="auto" w:after="40"/>
            </w:pPr>
            <w:r>
              <w:rPr>
                <w:rFonts w:ascii="Times New Roman" w:hAnsi="Times New Roman"/>
                <w:sz w:val="18"/>
              </w:rPr>
              <w:t>Extreme Gradient Boosting</w:t>
            </w:r>
          </w:p>
        </w:tc>
      </w:tr>
    </w:tbl>
    <w:p>
      <w:r>
        <w:br w:type="page"/>
      </w:r>
    </w:p>
    <w:p>
      <w:pPr>
        <w:pStyle w:val="Heading1"/>
      </w:pPr>
      <w:r>
        <w:t>CHAPTER 1</w:t>
        <w:br/>
        <w:t>INTRODUCTION</w:t>
      </w:r>
    </w:p>
    <w:p>
      <w:pPr>
        <w:pStyle w:val="Heading2"/>
      </w:pPr>
      <w:r>
        <w:t>1.1 Background</w:t>
      </w:r>
    </w:p>
    <w:p>
      <w:r>
        <w:t>Vegetables are perishable, supply responds to weather and harvest cycles, and prices can move quickly across markets. Buyers must balance early purchasing against paying more later while avoiding spoilage and excess stock. Historical prices can describe movements and generate short-horizon forecasts when geographic scope, data quality and uncertainty are explicit. This project applies forecasting methods to daily secondary market prices for eight Tamil Nadu vegetables and distinguishes statewide price analysis from market-specific procurement use. The statewide observations support modelling; the Koyambedu series is assessed as a possible market-specific input.</w:t>
      </w:r>
    </w:p>
    <w:p>
      <w:pPr>
        <w:pStyle w:val="Heading2"/>
      </w:pPr>
      <w:r>
        <w:t>1.2 Problem statement</w:t>
      </w:r>
    </w:p>
    <w:p>
      <w:r>
        <w:t>Procurement decisions are made with incomplete information about near-term price direction and data reliability. The repository contains statewide prices and a Koyambedu history, but the latter is not established as a consistent wholesale series. Model scores generated under different holdout strategies cannot be compared as a controlled experiment. The problem is to develop a reproducible workflow from available secondary data, evaluate it carefully, and identify what must be verified before market-specific advice is justified.</w:t>
      </w:r>
    </w:p>
    <w:p>
      <w:pPr>
        <w:pStyle w:val="Heading2"/>
      </w:pPr>
      <w:r>
        <w:t>1.3 Objectives</w:t>
      </w:r>
    </w:p>
    <w:p>
      <w:pPr>
        <w:pStyle w:val="ListBullet"/>
      </w:pPr>
      <w:r>
        <w:t>Describe coverage and quality of price and weather records.</w:t>
      </w:r>
    </w:p>
    <w:p>
      <w:pPr>
        <w:pStyle w:val="ListBullet"/>
      </w:pPr>
      <w:r>
        <w:t>Prepare a daily dataset for eight vegetables.</w:t>
      </w:r>
    </w:p>
    <w:p>
      <w:pPr>
        <w:pStyle w:val="ListBullet"/>
      </w:pPr>
      <w:r>
        <w:t>Fit and assess statistical and machine-learning forecasts.</w:t>
      </w:r>
    </w:p>
    <w:p>
      <w:pPr>
        <w:pStyle w:val="ListBullet"/>
      </w:pPr>
      <w:r>
        <w:t>Interpret important features without causal claims.</w:t>
      </w:r>
    </w:p>
    <w:p>
      <w:pPr>
        <w:pStyle w:val="ListBullet"/>
      </w:pPr>
      <w:r>
        <w:t>Assess procurement signals and their limitations.</w:t>
      </w:r>
    </w:p>
    <w:p>
      <w:pPr>
        <w:pStyle w:val="ListBullet"/>
      </w:pPr>
      <w:r>
        <w:t>Define evidence requirements for applying the analysis to a market-specific procurement setting.</w:t>
      </w:r>
    </w:p>
    <w:p>
      <w:pPr>
        <w:pStyle w:val="ListBullet"/>
      </w:pPr>
      <w:r>
        <w:t>Recommend validation and deployment steps.</w:t>
      </w:r>
    </w:p>
    <w:p>
      <w:pPr>
        <w:pStyle w:val="Heading2"/>
      </w:pPr>
      <w:r>
        <w:t>1.4 Research questions</w:t>
      </w:r>
    </w:p>
    <w:p>
      <w:pPr>
        <w:pStyle w:val="ListNumber"/>
      </w:pPr>
      <w:r>
        <w:t>What coverage is available for the selected Tamil Nadu commodities?</w:t>
      </w:r>
    </w:p>
    <w:p>
      <w:pPr>
        <w:pStyle w:val="ListNumber"/>
      </w:pPr>
      <w:r>
        <w:t>How did implemented models perform under recorded procedures?</w:t>
      </w:r>
    </w:p>
    <w:p>
      <w:pPr>
        <w:pStyle w:val="ListNumber"/>
      </w:pPr>
      <w:r>
        <w:t>Which inputs contributed most to fitted predictions?</w:t>
      </w:r>
    </w:p>
    <w:p>
      <w:pPr>
        <w:pStyle w:val="ListNumber"/>
      </w:pPr>
      <w:r>
        <w:t>What procurement signals did the decision layer produce?</w:t>
      </w:r>
    </w:p>
    <w:p>
      <w:pPr>
        <w:pStyle w:val="ListNumber"/>
      </w:pPr>
      <w:r>
        <w:t>Can the Koyambedu extract support wholesale advice?</w:t>
      </w:r>
    </w:p>
    <w:p>
      <w:pPr>
        <w:pStyle w:val="Heading2"/>
      </w:pPr>
      <w:r>
        <w:t>1.5 Scope and delimitations</w:t>
      </w:r>
    </w:p>
    <w:p>
      <w:pPr>
        <w:pStyle w:val="Heading2"/>
      </w:pPr>
      <w:r>
        <w:t>1.6 Significance and chapter scheme</w:t>
      </w:r>
    </w:p>
    <w:p>
      <w:r>
        <w:t>The work provides an auditable workflow, separates statewide analysis from market-specific source validation, and identifies evidence gaps before recommendations are used. Chapter 2 reviews forecasting; Chapter 3 explains data and methods; Chapter 4 presents findings; Chapter 5 concludes and recommends next steps.</w:t>
      </w:r>
    </w:p>
    <w:p>
      <w:r>
        <w:br w:type="page"/>
      </w:r>
    </w:p>
    <w:p>
      <w:pPr>
        <w:pStyle w:val="Heading1"/>
      </w:pPr>
      <w:r>
        <w:t>CHAPTER 2</w:t>
        <w:br/>
        <w:t>REVIEW OF LITERATURE</w:t>
      </w:r>
    </w:p>
    <w:p>
      <w:pPr>
        <w:pStyle w:val="Heading2"/>
      </w:pPr>
      <w:r>
        <w:t>2.1 Time-series forecasting</w:t>
      </w:r>
    </w:p>
    <w:p>
      <w:r>
        <w:t>Time-series methods estimate future values while preserving temporal order. ARIMA models represent dependence through lagged values, differencing and error terms; seasonal extensions represent repeating patterns. Box, Jenkins, Reinsel and Ljung (2015) present identification, estimation and residual diagnostics as connected steps. Forecasts should be evaluated on later observations. Hyndman and Athanasopoulos (2021) describe rolling-origin cross-validation as a way to reproduce repeated forecasts. Comparisons are strongest when models share dates, horizons and metric definitions.</w:t>
      </w:r>
    </w:p>
    <w:p>
      <w:pPr>
        <w:pStyle w:val="Heading2"/>
      </w:pPr>
      <w:r>
        <w:t>2.2 Trend, seasonal and machine-learning models</w:t>
      </w:r>
    </w:p>
    <w:p>
      <w:r>
        <w:t>Prophet represents trend, seasonality and event effects in an additive framework (Taylor and Letham, 2018); short histories may not support annual cycles. Random Forests average trees trained with resampling and randomized feature subsets (Breiman, 2001). Gradient boosting builds sequential learners to reduce residual error; XGBoost is a scalable, regularized implementation (Chen and Guestrin, 2016). Lagged prices, rolling summaries, calendar variables and weather can provide predictors, but leakage control and chronological validation remain essential.</w:t>
      </w:r>
    </w:p>
    <w:p>
      <w:pPr>
        <w:pStyle w:val="Heading2"/>
      </w:pPr>
      <w:r>
        <w:t>2.3 Explainability and decision relevance</w:t>
      </w:r>
    </w:p>
    <w:p>
      <w:r>
        <w:t>SHAP assigns feature contributions using Shapley-value principles (Lundberg and Lee, 2017). A global ranking summarizes contribution within a fitted model and sample; it does not show that changing a feature causes price movement. MAPE is interpretable but can be unstable for small actual values. MAE and RMSE provide complementary absolute-error measures. Consistent benchmark comparisons matter (Makridakis, Spiliotis and Assimakopoulos, 2018). For procurement, accuracy alone is insufficient: rules should be tested against costs, service levels, spoilage and transactions. Recent agentic research also describes LLM-based agricultural reasoning and multi-agent research workflows (Zhang et al., 2026; Fagbohun et al., 2025); those studies provide context for the proposal’s planned system, but they do not describe the deterministic components implemented here.</w:t>
      </w:r>
    </w:p>
    <w:p>
      <w:pPr>
        <w:pStyle w:val="Heading2"/>
      </w:pPr>
      <w:r>
        <w:t>2.4 Agricultural data quality and research gap</w:t>
      </w:r>
    </w:p>
    <w:p>
      <w:r>
        <w:t>Records can vary by grade, unit, market level, arrival volume, date convention and collection method. A nominal price per kilogram does not establish wholesale modal price versus retail quotation. Missingness, extreme values and market aggregation affect findings. The proposal focused on Koyambedu, whereas the available pipeline trains statewide models. This report documents the statewide outputs and defines the evidence required before applying them to a specific market. Data quality and evaluation design condition each analytical stage.</w:t>
      </w:r>
    </w:p>
    <w:p>
      <w:r>
        <w:br w:type="page"/>
      </w:r>
    </w:p>
    <w:p>
      <w:pPr>
        <w:pStyle w:val="Heading1"/>
      </w:pPr>
      <w:r>
        <w:t>CHAPTER 3</w:t>
        <w:br/>
        <w:t>RESEARCH METHODOLOGY</w:t>
      </w:r>
    </w:p>
    <w:p>
      <w:pPr>
        <w:pStyle w:val="Heading2"/>
      </w:pPr>
      <w:r>
        <w:t>3.1 Research design</w:t>
      </w:r>
    </w:p>
    <w:p>
      <w:r>
        <w:t>This quantitative observational study uses secondary data and combines descriptive analysis, forecasting, model interpretation and source assessment. The statewide modelling unit is a commodity-day after aggregation from market-level records. The study is retrospective and does not manipulate supply, weather or purchases.</w:t>
      </w:r>
    </w:p>
    <w:p>
      <w:pPr>
        <w:pStyle w:val="Heading2"/>
      </w:pPr>
      <w:r>
        <w:t>3.2 Data sources</w:t>
      </w:r>
    </w:p>
    <w:tbl>
      <w:tblPr>
        <w:tblStyle w:val="TableGrid"/>
        <w:tblW w:type="auto" w:w="0"/>
        <w:tblLook w:firstColumn="1" w:firstRow="1" w:lastColumn="0" w:lastRow="0" w:noHBand="0" w:noVBand="1" w:val="04A0"/>
      </w:tblPr>
      <w:tblGrid>
        <w:gridCol w:w="2816"/>
        <w:gridCol w:w="2816"/>
        <w:gridCol w:w="2816"/>
      </w:tblGrid>
      <w:tr>
        <w:tc>
          <w:tcPr>
            <w:tcW w:type="dxa" w:w="2816"/>
            <w:shd w:fill="D9E2F3"/>
          </w:tcPr>
          <w:p>
            <w:pPr>
              <w:spacing w:line="240" w:lineRule="auto" w:after="40"/>
            </w:pPr>
            <w:r>
              <w:rPr>
                <w:rFonts w:ascii="Times New Roman" w:hAnsi="Times New Roman"/>
                <w:sz w:val="18"/>
              </w:rPr>
              <w:t>Source</w:t>
            </w:r>
          </w:p>
        </w:tc>
        <w:tc>
          <w:tcPr>
            <w:tcW w:type="dxa" w:w="2816"/>
            <w:shd w:fill="D9E2F3"/>
          </w:tcPr>
          <w:p>
            <w:pPr>
              <w:spacing w:line="240" w:lineRule="auto" w:after="40"/>
            </w:pPr>
            <w:r>
              <w:rPr>
                <w:rFonts w:ascii="Times New Roman" w:hAnsi="Times New Roman"/>
                <w:sz w:val="18"/>
              </w:rPr>
              <w:t>Use</w:t>
            </w:r>
          </w:p>
        </w:tc>
        <w:tc>
          <w:tcPr>
            <w:tcW w:type="dxa" w:w="2816"/>
            <w:shd w:fill="D9E2F3"/>
          </w:tcPr>
          <w:p>
            <w:r>
              <w:t>Coverage</w:t>
            </w:r>
          </w:p>
        </w:tc>
      </w:tr>
      <w:tr>
        <w:tc>
          <w:tcPr>
            <w:tcW w:type="dxa" w:w="2816"/>
          </w:tcPr>
          <w:p>
            <w:pPr>
              <w:spacing w:line="240" w:lineRule="auto" w:after="40"/>
            </w:pPr>
            <w:r>
              <w:rPr>
                <w:rFonts w:ascii="Times New Roman" w:hAnsi="Times New Roman"/>
                <w:sz w:val="18"/>
              </w:rPr>
              <w:t>Kaggle-hosted Agmarknet extract</w:t>
            </w:r>
          </w:p>
        </w:tc>
        <w:tc>
          <w:tcPr>
            <w:tcW w:type="dxa" w:w="2816"/>
          </w:tcPr>
          <w:p>
            <w:pPr>
              <w:spacing w:line="240" w:lineRule="auto" w:after="40"/>
            </w:pPr>
            <w:r>
              <w:rPr>
                <w:rFonts w:ascii="Times New Roman" w:hAnsi="Times New Roman"/>
                <w:sz w:val="18"/>
              </w:rPr>
              <w:t>Tamil Nadu modelling</w:t>
            </w:r>
          </w:p>
        </w:tc>
        <w:tc>
          <w:tcPr>
            <w:tcW w:type="dxa" w:w="2816"/>
          </w:tcPr>
          <w:p>
            <w:pPr>
              <w:spacing w:line="240" w:lineRule="auto" w:after="40"/>
            </w:pPr>
            <w:r>
              <w:rPr>
                <w:rFonts w:ascii="Times New Roman" w:hAnsi="Times New Roman"/>
                <w:sz w:val="18"/>
              </w:rPr>
              <w:t>414,388 rows; 451 markets; 8 commodities; 24 Jan 2024–20 Apr 2026</w:t>
            </w:r>
          </w:p>
        </w:tc>
      </w:tr>
      <w:tr>
        <w:tc>
          <w:tcPr>
            <w:tcW w:type="dxa" w:w="2816"/>
          </w:tcPr>
          <w:p>
            <w:pPr>
              <w:spacing w:line="240" w:lineRule="auto" w:after="40"/>
            </w:pPr>
            <w:r>
              <w:rPr>
                <w:rFonts w:ascii="Times New Roman" w:hAnsi="Times New Roman"/>
                <w:sz w:val="18"/>
              </w:rPr>
              <w:t>Local Chennai weather history</w:t>
            </w:r>
          </w:p>
        </w:tc>
        <w:tc>
          <w:tcPr>
            <w:tcW w:type="dxa" w:w="2816"/>
          </w:tcPr>
          <w:p>
            <w:pPr>
              <w:spacing w:line="240" w:lineRule="auto" w:after="40"/>
            </w:pPr>
            <w:r>
              <w:rPr>
                <w:rFonts w:ascii="Times New Roman" w:hAnsi="Times New Roman"/>
                <w:sz w:val="18"/>
              </w:rPr>
              <w:t>Candidate predictors</w:t>
            </w:r>
          </w:p>
        </w:tc>
        <w:tc>
          <w:tcPr>
            <w:tcW w:type="dxa" w:w="2816"/>
          </w:tcPr>
          <w:p>
            <w:pPr>
              <w:spacing w:line="240" w:lineRule="auto" w:after="40"/>
            </w:pPr>
            <w:r>
              <w:rPr>
                <w:rFonts w:ascii="Times New Roman" w:hAnsi="Times New Roman"/>
                <w:sz w:val="18"/>
              </w:rPr>
              <w:t>1,004 daily records; 1 Jan 2024–30 Sep 2026</w:t>
            </w:r>
          </w:p>
        </w:tc>
      </w:tr>
    </w:tbl>
    <w:p>
      <w:r>
        <w:t>The Kaggle-hosted file is treated as a secondary compilation. Upstream collection and transformations before local use were not independently certified.</w:t>
      </w:r>
    </w:p>
    <w:p>
      <w:pPr>
        <w:pStyle w:val="Heading2"/>
      </w:pPr>
      <w:r>
        <w:t>3.3 Variables and preparation</w:t>
      </w:r>
    </w:p>
    <w:p>
      <w:r>
        <w:t>Eight vegetables are included: Beans, Brinjal, Cabbage, Carrot, Drumstick, Onion, Potato and Tomato. The engineered dataset has 4,041 rows and 62 columns, including historical price lags, rolling summaries, calendar indicators and weather fields. The pipeline filters to Tamil Nadu and selected commodities, standardizes dates and numeric values, aggregates to daily commodity values and constructs predictors. The feature script removes values above ₹100,000; this is a code threshold, not a market-validated boundary, and should be reviewed against units and original rows.</w:t>
      </w:r>
    </w:p>
    <w:p>
      <w:r>
        <w:t>EDA flags 34 Tomato observations as rolling-z outliers. A market-level value of ₹404,000 on 8 July 2024 appears in the summary. It is a quality flag requiring review of source row, unit, market and price field, not a representative price.</w:t>
      </w:r>
    </w:p>
    <w:p>
      <w:pPr>
        <w:pStyle w:val="Heading2"/>
      </w:pPr>
      <w:r>
        <w:t>3.4 Models and evaluation</w:t>
      </w:r>
    </w:p>
    <w:p>
      <w:r>
        <w:t>The corrected implementation includes seasonal ARIMA, Prophet, Random Forest and XGBoost. Scripts 05–07 preserve the original statewide evaluation protocols, while script 14 adds a common-origin 7-, 14- and 30-day comparison for the eight mapped Koyambedu candidate series and a seasonal-naive baseline. ADF runs in the corrected SARIMA build; its per-series statistics and p-values are not currently retained in the summary. The SARIMA grid still emits convergence warnings for some candidate orders. The Koyambedu series remains source-qualified as unverified and is not a decision-grade wholesale benchmark.</w:t>
      </w:r>
    </w:p>
    <w:p>
      <w:pPr>
        <w:pStyle w:val="Heading2"/>
      </w:pPr>
      <w:r>
        <w:t>3.5 Interpretation and decision layer</w:t>
      </w:r>
    </w:p>
    <w:p>
      <w:r>
        <w:t>SHAP summarizes feature contribution. The rule layer maps direction and risk to action. It returned HOLD for all eight commodities on 20 April 2026. Savings fields are heuristic and have not been validated against actual purchases; this report estimates no realized savings.</w:t>
      </w:r>
    </w:p>
    <w:p>
      <w:pPr>
        <w:pStyle w:val="Heading2"/>
      </w:pPr>
      <w:r>
        <w:t>3.6 Market-specific scope</w:t>
      </w:r>
    </w:p>
    <w:p>
      <w:r>
        <w:t>The Koyambedu price history is kept separate from the Tamil Nadu model dataset. The available analysis does not establish it as a validated wholesale-price series, so it is not used for model training or performance claims.</w:t>
      </w:r>
    </w:p>
    <w:p>
      <w:pPr>
        <w:pStyle w:val="Heading2"/>
      </w:pPr>
      <w:r>
        <w:t>3.7 Ethics and academic practice</w:t>
      </w:r>
    </w:p>
    <w:p>
      <w:r>
        <w:t>This report identifies secondary evidence and limitations, distinguishes results from interpretation and cites methodological sources. No individual data were used. The project guide should confirm title, certificate and reference-format details before submission.</w:t>
      </w:r>
    </w:p>
    <w:p>
      <w:r>
        <w:br w:type="page"/>
      </w:r>
    </w:p>
    <w:p>
      <w:pPr>
        <w:pStyle w:val="Heading1"/>
      </w:pPr>
      <w:r>
        <w:t>CHAPTER 4</w:t>
        <w:br/>
        <w:t>ANALYSIS AND FINDINGS</w:t>
      </w:r>
    </w:p>
    <w:p>
      <w:pPr>
        <w:pStyle w:val="Heading2"/>
      </w:pPr>
      <w:r>
        <w:t>4.1 Data profile</w:t>
      </w:r>
    </w:p>
    <w:tbl>
      <w:tblPr>
        <w:tblStyle w:val="TableGrid"/>
        <w:tblW w:type="auto" w:w="0"/>
        <w:tblLook w:firstColumn="1" w:firstRow="1" w:lastColumn="0" w:lastRow="0" w:noHBand="0" w:noVBand="1" w:val="04A0"/>
      </w:tblPr>
      <w:tblGrid>
        <w:gridCol w:w="4224"/>
        <w:gridCol w:w="4224"/>
      </w:tblGrid>
      <w:tr>
        <w:tc>
          <w:tcPr>
            <w:tcW w:type="dxa" w:w="4224"/>
            <w:shd w:fill="D9E2F3"/>
          </w:tcPr>
          <w:p>
            <w:pPr>
              <w:spacing w:line="240" w:lineRule="auto" w:after="40"/>
            </w:pPr>
            <w:r>
              <w:rPr>
                <w:rFonts w:ascii="Times New Roman" w:hAnsi="Times New Roman"/>
                <w:sz w:val="18"/>
              </w:rPr>
              <w:t>Measure</w:t>
            </w:r>
          </w:p>
        </w:tc>
        <w:tc>
          <w:tcPr>
            <w:tcW w:type="dxa" w:w="4224"/>
            <w:shd w:fill="D9E2F3"/>
          </w:tcPr>
          <w:p>
            <w:pPr>
              <w:spacing w:line="240" w:lineRule="auto" w:after="40"/>
            </w:pPr>
            <w:r>
              <w:rPr>
                <w:rFonts w:ascii="Times New Roman" w:hAnsi="Times New Roman"/>
                <w:sz w:val="18"/>
              </w:rPr>
              <w:t>Finding</w:t>
            </w:r>
          </w:p>
        </w:tc>
      </w:tr>
      <w:tr>
        <w:tc>
          <w:tcPr>
            <w:tcW w:type="dxa" w:w="4224"/>
          </w:tcPr>
          <w:p>
            <w:pPr>
              <w:spacing w:line="240" w:lineRule="auto" w:after="40"/>
            </w:pPr>
            <w:r>
              <w:rPr>
                <w:rFonts w:ascii="Times New Roman" w:hAnsi="Times New Roman"/>
                <w:sz w:val="18"/>
              </w:rPr>
              <w:t>Tamil Nadu source rows</w:t>
            </w:r>
          </w:p>
        </w:tc>
        <w:tc>
          <w:tcPr>
            <w:tcW w:type="dxa" w:w="4224"/>
          </w:tcPr>
          <w:p>
            <w:pPr>
              <w:spacing w:line="240" w:lineRule="auto" w:after="40"/>
            </w:pPr>
            <w:r>
              <w:rPr>
                <w:rFonts w:ascii="Times New Roman" w:hAnsi="Times New Roman"/>
                <w:sz w:val="18"/>
              </w:rPr>
              <w:t>414,388</w:t>
            </w:r>
          </w:p>
        </w:tc>
      </w:tr>
      <w:tr>
        <w:tc>
          <w:tcPr>
            <w:tcW w:type="dxa" w:w="4224"/>
          </w:tcPr>
          <w:p>
            <w:pPr>
              <w:spacing w:line="240" w:lineRule="auto" w:after="40"/>
            </w:pPr>
            <w:r>
              <w:rPr>
                <w:rFonts w:ascii="Times New Roman" w:hAnsi="Times New Roman"/>
                <w:sz w:val="18"/>
              </w:rPr>
              <w:t>Markets</w:t>
            </w:r>
          </w:p>
        </w:tc>
        <w:tc>
          <w:tcPr>
            <w:tcW w:type="dxa" w:w="4224"/>
          </w:tcPr>
          <w:p>
            <w:pPr>
              <w:spacing w:line="240" w:lineRule="auto" w:after="40"/>
            </w:pPr>
            <w:r>
              <w:rPr>
                <w:rFonts w:ascii="Times New Roman" w:hAnsi="Times New Roman"/>
                <w:sz w:val="18"/>
              </w:rPr>
              <w:t>451</w:t>
            </w:r>
          </w:p>
        </w:tc>
      </w:tr>
      <w:tr>
        <w:tc>
          <w:tcPr>
            <w:tcW w:type="dxa" w:w="4224"/>
          </w:tcPr>
          <w:p>
            <w:pPr>
              <w:spacing w:line="240" w:lineRule="auto" w:after="40"/>
            </w:pPr>
            <w:r>
              <w:rPr>
                <w:rFonts w:ascii="Times New Roman" w:hAnsi="Times New Roman"/>
                <w:sz w:val="18"/>
              </w:rPr>
              <w:t>Commodities</w:t>
            </w:r>
          </w:p>
        </w:tc>
        <w:tc>
          <w:tcPr>
            <w:tcW w:type="dxa" w:w="4224"/>
          </w:tcPr>
          <w:p>
            <w:pPr>
              <w:spacing w:line="240" w:lineRule="auto" w:after="40"/>
            </w:pPr>
            <w:r>
              <w:rPr>
                <w:rFonts w:ascii="Times New Roman" w:hAnsi="Times New Roman"/>
                <w:sz w:val="18"/>
              </w:rPr>
              <w:t>8</w:t>
            </w:r>
          </w:p>
        </w:tc>
      </w:tr>
      <w:tr>
        <w:tc>
          <w:tcPr>
            <w:tcW w:type="dxa" w:w="4224"/>
          </w:tcPr>
          <w:p>
            <w:pPr>
              <w:spacing w:line="240" w:lineRule="auto" w:after="40"/>
            </w:pPr>
            <w:r>
              <w:rPr>
                <w:rFonts w:ascii="Times New Roman" w:hAnsi="Times New Roman"/>
                <w:sz w:val="18"/>
              </w:rPr>
              <w:t>Raw period</w:t>
            </w:r>
          </w:p>
        </w:tc>
        <w:tc>
          <w:tcPr>
            <w:tcW w:type="dxa" w:w="4224"/>
          </w:tcPr>
          <w:p>
            <w:pPr>
              <w:spacing w:line="240" w:lineRule="auto" w:after="40"/>
            </w:pPr>
            <w:r>
              <w:rPr>
                <w:rFonts w:ascii="Times New Roman" w:hAnsi="Times New Roman"/>
                <w:sz w:val="18"/>
              </w:rPr>
              <w:t>24 Jan 2024–20 Apr 2026</w:t>
            </w:r>
          </w:p>
        </w:tc>
      </w:tr>
      <w:tr>
        <w:tc>
          <w:tcPr>
            <w:tcW w:type="dxa" w:w="4224"/>
          </w:tcPr>
          <w:p>
            <w:pPr>
              <w:spacing w:line="240" w:lineRule="auto" w:after="40"/>
            </w:pPr>
            <w:r>
              <w:rPr>
                <w:rFonts w:ascii="Times New Roman" w:hAnsi="Times New Roman"/>
                <w:sz w:val="18"/>
              </w:rPr>
              <w:t>Feature table</w:t>
            </w:r>
          </w:p>
        </w:tc>
        <w:tc>
          <w:tcPr>
            <w:tcW w:type="dxa" w:w="4224"/>
          </w:tcPr>
          <w:p>
            <w:pPr>
              <w:spacing w:line="240" w:lineRule="auto" w:after="40"/>
            </w:pPr>
            <w:r>
              <w:rPr>
                <w:rFonts w:ascii="Times New Roman" w:hAnsi="Times New Roman"/>
                <w:sz w:val="18"/>
              </w:rPr>
              <w:t>4,041 rows × 62 columns</w:t>
            </w:r>
          </w:p>
        </w:tc>
      </w:tr>
      <w:tr>
        <w:tc>
          <w:tcPr>
            <w:tcW w:type="dxa" w:w="4224"/>
          </w:tcPr>
          <w:p>
            <w:pPr>
              <w:spacing w:line="240" w:lineRule="auto" w:after="40"/>
            </w:pPr>
            <w:r>
              <w:rPr>
                <w:rFonts w:ascii="Times New Roman" w:hAnsi="Times New Roman"/>
                <w:sz w:val="18"/>
              </w:rPr>
              <w:t>Weather history</w:t>
            </w:r>
          </w:p>
        </w:tc>
        <w:tc>
          <w:tcPr>
            <w:tcW w:type="dxa" w:w="4224"/>
          </w:tcPr>
          <w:p>
            <w:pPr>
              <w:spacing w:line="240" w:lineRule="auto" w:after="40"/>
            </w:pPr>
            <w:r>
              <w:rPr>
                <w:rFonts w:ascii="Times New Roman" w:hAnsi="Times New Roman"/>
                <w:sz w:val="18"/>
              </w:rPr>
              <w:t>1,004 daily records, Jan–Sep 2026</w:t>
            </w:r>
          </w:p>
        </w:tc>
      </w:tr>
    </w:tbl>
    <w:p>
      <w:r>
        <w:t>The daily feature table is smaller than the raw market-level file because observations are consolidated by commodity and date. Statewide aggregation may smooth local differences and cannot be interpreted as the daily Koyambedu price.</w:t>
      </w:r>
    </w:p>
    <w:tbl>
      <w:tblPr>
        <w:tblStyle w:val="TableGrid"/>
        <w:tblW w:type="auto" w:w="0"/>
        <w:tblLook w:firstColumn="1" w:firstRow="1" w:lastColumn="0" w:lastRow="0" w:noHBand="0" w:noVBand="1" w:val="04A0"/>
      </w:tblPr>
      <w:tblGrid>
        <w:gridCol w:w="2816"/>
        <w:gridCol w:w="2816"/>
        <w:gridCol w:w="2816"/>
      </w:tblGrid>
      <w:tr>
        <w:tc>
          <w:tcPr>
            <w:tcW w:type="dxa" w:w="2816"/>
            <w:shd w:fill="D9E2F3"/>
          </w:tcPr>
          <w:p>
            <w:pPr>
              <w:spacing w:line="240" w:lineRule="auto" w:after="40"/>
            </w:pPr>
            <w:r>
              <w:rPr>
                <w:rFonts w:ascii="Times New Roman" w:hAnsi="Times New Roman"/>
                <w:sz w:val="18"/>
              </w:rPr>
              <w:t>Model / evaluation</w:t>
            </w:r>
          </w:p>
        </w:tc>
        <w:tc>
          <w:tcPr>
            <w:tcW w:type="dxa" w:w="2816"/>
            <w:shd w:fill="D9E2F3"/>
          </w:tcPr>
          <w:p>
            <w:pPr>
              <w:spacing w:line="240" w:lineRule="auto" w:after="40"/>
            </w:pPr>
            <w:r>
              <w:rPr>
                <w:rFonts w:ascii="Times New Roman" w:hAnsi="Times New Roman"/>
                <w:sz w:val="18"/>
              </w:rPr>
              <w:t>Mean MAPE</w:t>
            </w:r>
          </w:p>
        </w:tc>
        <w:tc>
          <w:tcPr>
            <w:tcW w:type="dxa" w:w="2816"/>
            <w:shd w:fill="D9E2F3"/>
          </w:tcPr>
          <w:p>
            <w:pPr>
              <w:spacing w:line="240" w:lineRule="auto" w:after="40"/>
            </w:pPr>
            <w:r>
              <w:rPr>
                <w:rFonts w:ascii="Times New Roman" w:hAnsi="Times New Roman"/>
                <w:sz w:val="18"/>
              </w:rPr>
              <w:t>Interpretation</w:t>
            </w:r>
          </w:p>
        </w:tc>
      </w:tr>
      <w:tr>
        <w:tc>
          <w:tcPr>
            <w:tcW w:type="dxa" w:w="2816"/>
          </w:tcPr>
          <w:p>
            <w:pPr>
              <w:spacing w:line="240" w:lineRule="auto" w:after="40"/>
            </w:pPr>
            <w:r>
              <w:rPr>
                <w:rFonts w:ascii="Times New Roman" w:hAnsi="Times New Roman"/>
                <w:sz w:val="18"/>
              </w:rPr>
              <w:t>SARIMA, static 90-day</w:t>
            </w:r>
          </w:p>
        </w:tc>
        <w:tc>
          <w:tcPr>
            <w:tcW w:type="dxa" w:w="2816"/>
          </w:tcPr>
          <w:p>
            <w:pPr>
              <w:spacing w:line="240" w:lineRule="auto" w:after="40"/>
            </w:pPr>
            <w:r>
              <w:rPr>
                <w:rFonts w:ascii="Times New Roman" w:hAnsi="Times New Roman"/>
                <w:sz w:val="18"/>
              </w:rPr>
              <w:t>33.60%</w:t>
            </w:r>
          </w:p>
        </w:tc>
        <w:tc>
          <w:tcPr>
            <w:tcW w:type="dxa" w:w="2816"/>
          </w:tcPr>
          <w:p>
            <w:pPr>
              <w:spacing w:line="240" w:lineRule="auto" w:after="40"/>
            </w:pPr>
            <w:r>
              <w:rPr>
                <w:rFonts w:ascii="Times New Roman" w:hAnsi="Times New Roman"/>
                <w:sz w:val="18"/>
              </w:rPr>
              <w:t>Baseline; convergence warnings</w:t>
            </w:r>
          </w:p>
        </w:tc>
      </w:tr>
      <w:tr>
        <w:tc>
          <w:tcPr>
            <w:tcW w:type="dxa" w:w="2816"/>
          </w:tcPr>
          <w:p>
            <w:pPr>
              <w:spacing w:line="240" w:lineRule="auto" w:after="40"/>
            </w:pPr>
            <w:r>
              <w:rPr>
                <w:rFonts w:ascii="Times New Roman" w:hAnsi="Times New Roman"/>
                <w:sz w:val="18"/>
              </w:rPr>
              <w:t>SARIMA, 7-day walk-forward</w:t>
            </w:r>
          </w:p>
        </w:tc>
        <w:tc>
          <w:tcPr>
            <w:tcW w:type="dxa" w:w="2816"/>
          </w:tcPr>
          <w:p>
            <w:pPr>
              <w:spacing w:line="240" w:lineRule="auto" w:after="40"/>
            </w:pPr>
            <w:r>
              <w:rPr>
                <w:rFonts w:ascii="Times New Roman" w:hAnsi="Times New Roman"/>
                <w:sz w:val="18"/>
              </w:rPr>
              <w:t>10.77%</w:t>
            </w:r>
          </w:p>
        </w:tc>
        <w:tc>
          <w:tcPr>
            <w:tcW w:type="dxa" w:w="2816"/>
          </w:tcPr>
          <w:p>
            <w:pPr>
              <w:spacing w:line="240" w:lineRule="auto" w:after="40"/>
            </w:pPr>
            <w:r>
              <w:rPr>
                <w:rFonts w:ascii="Times New Roman" w:hAnsi="Times New Roman"/>
                <w:sz w:val="18"/>
              </w:rPr>
              <w:t>Different design</w:t>
            </w:r>
          </w:p>
        </w:tc>
      </w:tr>
      <w:tr>
        <w:tc>
          <w:tcPr>
            <w:tcW w:type="dxa" w:w="2816"/>
          </w:tcPr>
          <w:p>
            <w:pPr>
              <w:spacing w:line="240" w:lineRule="auto" w:after="40"/>
            </w:pPr>
            <w:r>
              <w:rPr>
                <w:rFonts w:ascii="Times New Roman" w:hAnsi="Times New Roman"/>
                <w:sz w:val="18"/>
              </w:rPr>
              <w:t>Prophet, static 90-day</w:t>
            </w:r>
          </w:p>
        </w:tc>
        <w:tc>
          <w:tcPr>
            <w:tcW w:type="dxa" w:w="2816"/>
          </w:tcPr>
          <w:p>
            <w:pPr>
              <w:spacing w:line="240" w:lineRule="auto" w:after="40"/>
            </w:pPr>
            <w:r>
              <w:rPr>
                <w:rFonts w:ascii="Times New Roman" w:hAnsi="Times New Roman"/>
                <w:sz w:val="18"/>
              </w:rPr>
              <w:t>18.77%</w:t>
            </w:r>
          </w:p>
        </w:tc>
        <w:tc>
          <w:tcPr>
            <w:tcW w:type="dxa" w:w="2816"/>
          </w:tcPr>
          <w:p>
            <w:pPr>
              <w:spacing w:line="240" w:lineRule="auto" w:after="40"/>
            </w:pPr>
            <w:r>
              <w:rPr>
                <w:rFonts w:ascii="Times New Roman" w:hAnsi="Times New Roman"/>
                <w:sz w:val="18"/>
              </w:rPr>
              <w:t>Annual-seasonality warning</w:t>
            </w:r>
          </w:p>
        </w:tc>
      </w:tr>
      <w:tr>
        <w:tc>
          <w:tcPr>
            <w:tcW w:type="dxa" w:w="2816"/>
          </w:tcPr>
          <w:p>
            <w:pPr>
              <w:spacing w:line="240" w:lineRule="auto" w:after="40"/>
            </w:pPr>
            <w:r>
              <w:rPr>
                <w:rFonts w:ascii="Times New Roman" w:hAnsi="Times New Roman"/>
                <w:sz w:val="18"/>
              </w:rPr>
              <w:t>Random Forest, expanding 30-day blocks</w:t>
            </w:r>
          </w:p>
        </w:tc>
        <w:tc>
          <w:tcPr>
            <w:tcW w:type="dxa" w:w="2816"/>
          </w:tcPr>
          <w:p>
            <w:pPr>
              <w:spacing w:line="240" w:lineRule="auto" w:after="40"/>
            </w:pPr>
            <w:r>
              <w:rPr>
                <w:rFonts w:ascii="Times New Roman" w:hAnsi="Times New Roman"/>
                <w:sz w:val="18"/>
              </w:rPr>
              <w:t>8.72%</w:t>
            </w:r>
          </w:p>
        </w:tc>
        <w:tc>
          <w:tcPr>
            <w:tcW w:type="dxa" w:w="2816"/>
          </w:tcPr>
          <w:p>
            <w:pPr>
              <w:spacing w:line="240" w:lineRule="auto" w:after="40"/>
            </w:pPr>
            <w:r>
              <w:rPr>
                <w:rFonts w:ascii="Times New Roman" w:hAnsi="Times New Roman"/>
                <w:sz w:val="18"/>
              </w:rPr>
              <w:t>Tree-model summary</w:t>
            </w:r>
          </w:p>
        </w:tc>
      </w:tr>
      <w:tr>
        <w:tc>
          <w:tcPr>
            <w:tcW w:type="dxa" w:w="2816"/>
          </w:tcPr>
          <w:p>
            <w:pPr>
              <w:spacing w:line="240" w:lineRule="auto" w:after="40"/>
            </w:pPr>
            <w:r>
              <w:rPr>
                <w:rFonts w:ascii="Times New Roman" w:hAnsi="Times New Roman"/>
                <w:sz w:val="18"/>
              </w:rPr>
              <w:t>XGBoost, expanding 30-day blocks</w:t>
            </w:r>
          </w:p>
        </w:tc>
        <w:tc>
          <w:tcPr>
            <w:tcW w:type="dxa" w:w="2816"/>
          </w:tcPr>
          <w:p>
            <w:pPr>
              <w:spacing w:line="240" w:lineRule="auto" w:after="40"/>
            </w:pPr>
            <w:r>
              <w:rPr>
                <w:rFonts w:ascii="Times New Roman" w:hAnsi="Times New Roman"/>
                <w:sz w:val="18"/>
              </w:rPr>
              <w:t>6.40%</w:t>
            </w:r>
          </w:p>
        </w:tc>
        <w:tc>
          <w:tcPr>
            <w:tcW w:type="dxa" w:w="2816"/>
          </w:tcPr>
          <w:p>
            <w:pPr>
              <w:spacing w:line="240" w:lineRule="auto" w:after="40"/>
            </w:pPr>
            <w:r>
              <w:rPr>
                <w:rFonts w:ascii="Times New Roman" w:hAnsi="Times New Roman"/>
                <w:sz w:val="18"/>
              </w:rPr>
              <w:t>Lowest recorded mean under its protocol</w:t>
            </w:r>
          </w:p>
        </w:tc>
      </w:tr>
    </w:tbl>
    <w:p>
      <w:r>
        <w:t>In the corrected statewide model run, Random Forest recorded mean MAPE of 11.32% and XGBoost 13.93% under the same expanding-window evaluation; Random Forest had lower MAPE for all eight commodities. This comparison uses only that shared tree-model protocol. SARIMA and Prophet use different evaluation designs, and the short statewide history limits generalization.</w:t>
      </w:r>
    </w:p>
    <w:p>
      <w:pPr>
        <w:pStyle w:val="Heading2"/>
      </w:pPr>
      <w:r>
        <w:t>4.3 Diagnostics and SHAP</w:t>
      </w:r>
    </w:p>
    <w:p>
      <w:r>
        <w:t>The corrected SARIMA script runs the Augmented Dickey-Fuller test to choose non-seasonal differencing; its archived output does not retain each series’ test statistic or p-value. The saved process log contains a FutureWarning and candidate-fit convergence warnings, not an ADF execution failure. SHAP rankings changed after leakage-safe feature construction: position_52w remained among the leading features but was not the top feature for every commodity. SHAP attribution describes model behavior, not causal effect or statistical significance.</w:t>
      </w:r>
    </w:p>
    <w:p>
      <w:pPr>
        <w:pStyle w:val="Heading2"/>
      </w:pPr>
      <w:r>
        <w:t>4.4 Procurement outputs</w:t>
      </w:r>
    </w:p>
    <w:tbl>
      <w:tblPr>
        <w:tblStyle w:val="TableGrid"/>
        <w:tblW w:type="auto" w:w="0"/>
        <w:tblLook w:firstColumn="1" w:firstRow="1" w:lastColumn="0" w:lastRow="0" w:noHBand="0" w:noVBand="1" w:val="04A0"/>
      </w:tblPr>
      <w:tblGrid>
        <w:gridCol w:w="2816"/>
        <w:gridCol w:w="2816"/>
        <w:gridCol w:w="2816"/>
      </w:tblGrid>
      <w:tr>
        <w:tc>
          <w:tcPr>
            <w:tcW w:type="dxa" w:w="2816"/>
            <w:shd w:fill="D9E2F3"/>
          </w:tcPr>
          <w:p>
            <w:pPr>
              <w:spacing w:line="240" w:lineRule="auto" w:after="40"/>
            </w:pPr>
            <w:r>
              <w:rPr>
                <w:rFonts w:ascii="Times New Roman" w:hAnsi="Times New Roman"/>
                <w:sz w:val="18"/>
              </w:rPr>
              <w:t>Commodity</w:t>
            </w:r>
          </w:p>
        </w:tc>
        <w:tc>
          <w:tcPr>
            <w:tcW w:type="dxa" w:w="2816"/>
            <w:shd w:fill="D9E2F3"/>
          </w:tcPr>
          <w:p>
            <w:pPr>
              <w:spacing w:line="240" w:lineRule="auto" w:after="40"/>
            </w:pPr>
            <w:r>
              <w:rPr>
                <w:rFonts w:ascii="Times New Roman" w:hAnsi="Times New Roman"/>
                <w:sz w:val="18"/>
              </w:rPr>
              <w:t>Action at latest date</w:t>
            </w:r>
          </w:p>
        </w:tc>
        <w:tc>
          <w:tcPr>
            <w:tcW w:type="dxa" w:w="2816"/>
            <w:shd w:fill="D9E2F3"/>
          </w:tcPr>
          <w:p>
            <w:pPr>
              <w:spacing w:line="240" w:lineRule="auto" w:after="40"/>
            </w:pPr>
            <w:r>
              <w:rPr>
                <w:rFonts w:ascii="Times New Roman" w:hAnsi="Times New Roman"/>
                <w:sz w:val="18"/>
              </w:rPr>
              <w:t>Risk</w:t>
            </w:r>
          </w:p>
        </w:tc>
      </w:tr>
      <w:tr>
        <w:tc>
          <w:tcPr>
            <w:tcW w:type="dxa" w:w="2816"/>
          </w:tcPr>
          <w:p>
            <w:pPr>
              <w:spacing w:line="240" w:lineRule="auto" w:after="40"/>
            </w:pPr>
            <w:r>
              <w:rPr>
                <w:rFonts w:ascii="Times New Roman" w:hAnsi="Times New Roman"/>
                <w:sz w:val="18"/>
              </w:rPr>
              <w:t>Beans</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Medium</w:t>
            </w:r>
          </w:p>
        </w:tc>
      </w:tr>
      <w:tr>
        <w:tc>
          <w:tcPr>
            <w:tcW w:type="dxa" w:w="2816"/>
          </w:tcPr>
          <w:p>
            <w:pPr>
              <w:spacing w:line="240" w:lineRule="auto" w:after="40"/>
            </w:pPr>
            <w:r>
              <w:rPr>
                <w:rFonts w:ascii="Times New Roman" w:hAnsi="Times New Roman"/>
                <w:sz w:val="18"/>
              </w:rPr>
              <w:t>Brinjal</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Low</w:t>
            </w:r>
          </w:p>
        </w:tc>
      </w:tr>
      <w:tr>
        <w:tc>
          <w:tcPr>
            <w:tcW w:type="dxa" w:w="2816"/>
          </w:tcPr>
          <w:p>
            <w:pPr>
              <w:spacing w:line="240" w:lineRule="auto" w:after="40"/>
            </w:pPr>
            <w:r>
              <w:rPr>
                <w:rFonts w:ascii="Times New Roman" w:hAnsi="Times New Roman"/>
                <w:sz w:val="18"/>
              </w:rPr>
              <w:t>Cabbage</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Low</w:t>
            </w:r>
          </w:p>
        </w:tc>
      </w:tr>
      <w:tr>
        <w:tc>
          <w:tcPr>
            <w:tcW w:type="dxa" w:w="2816"/>
          </w:tcPr>
          <w:p>
            <w:pPr>
              <w:spacing w:line="240" w:lineRule="auto" w:after="40"/>
            </w:pPr>
            <w:r>
              <w:rPr>
                <w:rFonts w:ascii="Times New Roman" w:hAnsi="Times New Roman"/>
                <w:sz w:val="18"/>
              </w:rPr>
              <w:t>Carrot</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Low</w:t>
            </w:r>
          </w:p>
        </w:tc>
      </w:tr>
      <w:tr>
        <w:tc>
          <w:tcPr>
            <w:tcW w:type="dxa" w:w="2816"/>
          </w:tcPr>
          <w:p>
            <w:pPr>
              <w:spacing w:line="240" w:lineRule="auto" w:after="40"/>
            </w:pPr>
            <w:r>
              <w:rPr>
                <w:rFonts w:ascii="Times New Roman" w:hAnsi="Times New Roman"/>
                <w:sz w:val="18"/>
              </w:rPr>
              <w:t>Drumstick</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Low</w:t>
            </w:r>
          </w:p>
        </w:tc>
      </w:tr>
      <w:tr>
        <w:tc>
          <w:tcPr>
            <w:tcW w:type="dxa" w:w="2816"/>
          </w:tcPr>
          <w:p>
            <w:pPr>
              <w:spacing w:line="240" w:lineRule="auto" w:after="40"/>
            </w:pPr>
            <w:r>
              <w:rPr>
                <w:rFonts w:ascii="Times New Roman" w:hAnsi="Times New Roman"/>
                <w:sz w:val="18"/>
              </w:rPr>
              <w:t>Onion</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Low</w:t>
            </w:r>
          </w:p>
        </w:tc>
      </w:tr>
      <w:tr>
        <w:tc>
          <w:tcPr>
            <w:tcW w:type="dxa" w:w="2816"/>
          </w:tcPr>
          <w:p>
            <w:pPr>
              <w:spacing w:line="240" w:lineRule="auto" w:after="40"/>
            </w:pPr>
            <w:r>
              <w:rPr>
                <w:rFonts w:ascii="Times New Roman" w:hAnsi="Times New Roman"/>
                <w:sz w:val="18"/>
              </w:rPr>
              <w:t>Potato</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Low</w:t>
            </w:r>
          </w:p>
        </w:tc>
      </w:tr>
      <w:tr>
        <w:tc>
          <w:tcPr>
            <w:tcW w:type="dxa" w:w="2816"/>
          </w:tcPr>
          <w:p>
            <w:pPr>
              <w:spacing w:line="240" w:lineRule="auto" w:after="40"/>
            </w:pPr>
            <w:r>
              <w:rPr>
                <w:rFonts w:ascii="Times New Roman" w:hAnsi="Times New Roman"/>
                <w:sz w:val="18"/>
              </w:rPr>
              <w:t>Tomato</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Medium</w:t>
            </w:r>
          </w:p>
        </w:tc>
      </w:tr>
    </w:tbl>
    <w:p>
      <w:r>
        <w:t>The offline AgriSight run reads the latest local price records, recursively generates 7- and 14-day forecasts, and marks freshness status. Because the processed input was 179 days old on that run, all eight recommendations abstained rather than presenting stale forecasts as current procurement advice.</w:t>
      </w:r>
    </w:p>
    <w:p>
      <w:pPr>
        <w:pStyle w:val="Heading2"/>
      </w:pPr>
      <w:r>
        <w:t>4.5 Market-specific interpretation</w:t>
      </w:r>
    </w:p>
    <w:p>
      <w:pPr>
        <w:pStyle w:val="Heading2"/>
      </w:pPr>
      <w:r>
        <w:t>4.6 Findings against research questions</w:t>
      </w:r>
    </w:p>
    <w:p>
      <w:r>
        <w:t>The corrected statewide run and matched-horizon evaluation now answer the implementation parts of the model-comparison objective. The matched Koyambedu scores use common origins and targets, but the price source remains unverified and the published reference reports a different monthly design; no cross-study accuracy claim is made. The rainfall-anomaly analysis is exploratory and inconclusive, the four-agent software path is implemented with opt-in external integrations, and the procurement scenario is not an economic-impact estimate. The evidence gaps remain source reconciliation, longer weather history, arrival volumes, live-service validation and buyer outcomes.</w:t>
      </w:r>
    </w:p>
    <w:p>
      <w:r>
        <w:br w:type="page"/>
      </w:r>
    </w:p>
    <w:p>
      <w:pPr>
        <w:pStyle w:val="Heading2"/>
      </w:pPr>
      <w:r>
        <w:t>4.5 Statistical tools and interpretation</w:t>
      </w:r>
    </w:p>
    <w:p>
      <w:pPr/>
      <w:r>
        <w:t>The analysis combines descriptive statistics, time-series tests, forecast-error measures and model-explanation tools. Descriptive summaries characterize the repository sample, not a census of Tamil Nadu transactions. The preparation code aggregates prices by commodity and date, constructs lagged and rolling features, and shifts market_count so it records the previous day’s count of reporting markets. That field is not arrival volume. Rolling z-scores screen unusual values; they do not prove data errors.</w:t>
      </w:r>
    </w:p>
    <w:p>
      <w:pPr/>
      <w:r>
        <w:t>The Augmented Dickey-Fuller (ADF) unit-root test guides non-seasonal SARIMA differencing: the script chooses d=0 for p&lt;0.05 and d=1 otherwise, and fixes weekly seasonal differencing at D=1, m=7. A low p-value is evidence against a unit root under test assumptions, not proof that a complete series is stationary. The saved summary omits individual ADF statistics and p-values. AIC compares candidate fits for the same series; the smallest AIC is not an out-of-sample accuracy test.</w:t>
      </w:r>
    </w:p>
    <w:p>
      <w:pPr/>
      <w:r>
        <w:t>Forecast accuracy is reported using RMSE, MAE and MAPE. MAE is average absolute error in the source price unit; RMSE uses the same unit and penalizes large errors more; MAPE is a percentage and can be unstable when actual prices are small. In the corrected statewide run, mean MAPE was 33.60% for static 90-day SARIMA, 10.77% for seven-day-block SARIMA, 18.77% for static 90-day Prophet, 11.32% for expanding-window Random Forest and 13.93% for expanding-window XGBoost. These designs differ, so compare Random Forest and XGBoost only under their shared tree-model protocol; Random Forest was lower for all eight commodities in this run.</w:t>
      </w:r>
    </w:p>
    <w:p>
      <w:pPr/>
      <w:r>
        <w:t>The statewide model code uses a final 90-row tree-model window with expanding 30-day refits; Prophet uses a static 90-day holdout; SARIMA reports static and seven-day-block walk-forward scores. A separate matched-origin evaluation in script 14 uses the same four forecast origins, target dates and model families for each horizon, with a seasonal-naive baseline. It summarizes performance by commodity and horizon but uses a Koyambedu candidate series that the source-validation review rejects as verified wholesale ground truth. The average MAPE table is therefore exploratory. SHAP TreeExplainer shows within-model feature attribution; after leakage correction, position_52w remains important for some commodities, while lagged cross-commodity and EMA features lead elsewhere. No t-test, ANOVA, chi-square test or causal regression design was used.</w:t>
      </w:r>
    </w:p>
    <w:p>
      <w:pPr/>
      <w:r>
        <w:t>For procurement interpretation, the code combines recent price level and variability with price forecasts to assign risk bands and action labels. The new pipeline abstains when the local price input is more than three days old. Script 14 also runs a 14-day rule-based retrospective scenario at 13 origins. Because its input series has an unresolved wholesale/retail basis and no purchase invoices or service outcomes are available, its source-unit differences cannot be called savings or economic value.</w:t>
      </w:r>
    </w:p>
    <w:p>
      <w:pPr>
        <w:pStyle w:val="Heading2"/>
      </w:pPr>
      <w:r>
        <w:t>4.6 Weather inputs and the multi-agent decision pipeline</w:t>
      </w:r>
    </w:p>
    <w:p>
      <w:pPr/>
      <w:r>
        <w:t>Historical weather is acquired by the project script from the Open-Meteo Historical Weather API for Chennai. Feature construction now shifts precipitation rollups and maximum temperature by one day, so target-day realized weather is not used as a predictor. The model uses seven-day and 30-day precipitation totals, prior-day maximum temperature and broad southwest/northeast monsoon calendar flags. These are lagged historical observations, not generated weather predictions. The optional live mode of script 15 separately retrieves a seven-day Chennai forecast for the brief; it does not feed that forecast into the trained price model. Script 14 estimates within-month rainfall anomalies using the short local record and runs HAC regressions for seven-day price returns with lagged price momentum. No rainfall anomaly was significant at the 5% level in the eight commodity specifications (p-values ranged from 0.26 to 0.92). This is not evidence that weather has no effect: the source series is unverified, the weather window is short, and market arrival volume is unavailable.</w:t>
      </w:r>
    </w:p>
    <w:p>
      <w:pPr/>
      <w:r>
        <w:t>Script 15 implements the proposal’s four roles: Data Collector reads the local price and weather artifacts and can retrieve a live weather forecast; Price Forecaster recursively generates 7- and 14-day predictions from saved tree models; News Reader can retrieve and filter official PIB RSS items; Report Writer creates a buyer brief and can call a locally hosted Ollama-compatible model. Its default is offline. It does not call a hosted LLM. The offline run generated forecasts for eight commodities, retrieved no news and did not request a local model. A three-day freshness gate prevented recommendations from stale local prices. The live endpoints and a local model have not been exercised in this run, so operational completion remains pending.</w:t>
      </w:r>
    </w:p>
    <w:p>
      <w:pPr>
        <w:pStyle w:val="Heading2"/>
      </w:pPr>
      <w:r>
        <w:t>4.7 Proposal objective-to-report and code status</w:t>
      </w:r>
    </w:p>
    <w:p>
      <w:pPr/>
      <w:r>
        <w:t>The table below maps the approved proposal objectives to the updated report, code and generated evidence. “Implementation complete” means the code path exists; it does not imply the source or economic claim has been validated.</w:t>
      </w:r>
    </w:p>
    <w:p>
      <w:pPr>
        <w:pStyle w:val="Heading2"/>
      </w:pPr>
      <w:r>
        <w:t>4.8 Matched-horizon evaluation and implementation findings</w:t>
      </w:r>
    </w:p>
    <w:p>
      <w:pPr/>
      <w:r>
        <w:t>Script 14 evaluated four forecasting methods at common origins for eight one-to-one commodity series. Mean MAPE is averaged equally across commodities and the four origins. The seasonal-naive baseline is included to show the value of model complexity against simple persistence. The source is unverified for wholesale use, so these scores describe method behavior on the available candidate file only.</w:t>
      </w:r>
    </w:p>
    <w:tbl>
      <w:tblPr>
        <w:tblStyle w:val="TableGrid"/>
        <w:tblW w:type="auto" w:w="0"/>
        <w:jc w:val="center"/>
        <w:tblLook w:firstColumn="1" w:firstRow="1" w:lastColumn="0" w:lastRow="0" w:noHBand="0" w:noVBand="1" w:val="04A0"/>
      </w:tblPr>
      <w:tblGrid>
        <w:gridCol w:w="1408"/>
        <w:gridCol w:w="1408"/>
        <w:gridCol w:w="1408"/>
        <w:gridCol w:w="1408"/>
        <w:gridCol w:w="1408"/>
        <w:gridCol w:w="1408"/>
      </w:tblGrid>
      <w:tr>
        <w:tc>
          <w:tcPr>
            <w:tcW w:type="dxa" w:w="1408"/>
            <w:vAlign w:val="center"/>
          </w:tcPr>
          <w:p>
            <w:r>
              <w:rPr>
                <w:sz w:val="18"/>
              </w:rPr>
              <w:t>Horizon</w:t>
            </w:r>
          </w:p>
        </w:tc>
        <w:tc>
          <w:tcPr>
            <w:tcW w:type="dxa" w:w="1408"/>
            <w:vAlign w:val="center"/>
          </w:tcPr>
          <w:p>
            <w:r>
              <w:rPr>
                <w:sz w:val="18"/>
              </w:rPr>
              <w:t>SARIMA</w:t>
            </w:r>
          </w:p>
        </w:tc>
        <w:tc>
          <w:tcPr>
            <w:tcW w:type="dxa" w:w="1408"/>
            <w:vAlign w:val="center"/>
          </w:tcPr>
          <w:p>
            <w:r>
              <w:rPr>
                <w:sz w:val="18"/>
              </w:rPr>
              <w:t>Prophet</w:t>
            </w:r>
          </w:p>
        </w:tc>
        <w:tc>
          <w:tcPr>
            <w:tcW w:type="dxa" w:w="1408"/>
            <w:vAlign w:val="center"/>
          </w:tcPr>
          <w:p>
            <w:r>
              <w:rPr>
                <w:sz w:val="18"/>
              </w:rPr>
              <w:t>Random Forest</w:t>
            </w:r>
          </w:p>
        </w:tc>
        <w:tc>
          <w:tcPr>
            <w:tcW w:type="dxa" w:w="1408"/>
            <w:vAlign w:val="center"/>
          </w:tcPr>
          <w:p>
            <w:r>
              <w:rPr>
                <w:sz w:val="18"/>
              </w:rPr>
              <w:t>XGBoost</w:t>
            </w:r>
          </w:p>
        </w:tc>
        <w:tc>
          <w:tcPr>
            <w:tcW w:type="dxa" w:w="1408"/>
            <w:vAlign w:val="center"/>
          </w:tcPr>
          <w:p>
            <w:r>
              <w:rPr>
                <w:sz w:val="18"/>
              </w:rPr>
              <w:t>Seasonal naive</w:t>
            </w:r>
          </w:p>
        </w:tc>
      </w:tr>
      <w:tr>
        <w:tc>
          <w:tcPr>
            <w:tcW w:type="dxa" w:w="1408"/>
            <w:vAlign w:val="center"/>
          </w:tcPr>
          <w:p>
            <w:r>
              <w:rPr>
                <w:sz w:val="18"/>
              </w:rPr>
              <w:t>7 days</w:t>
            </w:r>
          </w:p>
        </w:tc>
        <w:tc>
          <w:tcPr>
            <w:tcW w:type="dxa" w:w="1408"/>
            <w:vAlign w:val="center"/>
          </w:tcPr>
          <w:p>
            <w:r>
              <w:rPr>
                <w:sz w:val="18"/>
              </w:rPr>
              <w:t>8.90%</w:t>
            </w:r>
          </w:p>
        </w:tc>
        <w:tc>
          <w:tcPr>
            <w:tcW w:type="dxa" w:w="1408"/>
            <w:vAlign w:val="center"/>
          </w:tcPr>
          <w:p>
            <w:r>
              <w:rPr>
                <w:sz w:val="18"/>
              </w:rPr>
              <w:t>17.97%</w:t>
            </w:r>
          </w:p>
        </w:tc>
        <w:tc>
          <w:tcPr>
            <w:tcW w:type="dxa" w:w="1408"/>
            <w:vAlign w:val="center"/>
          </w:tcPr>
          <w:p>
            <w:r>
              <w:rPr>
                <w:sz w:val="18"/>
              </w:rPr>
              <w:t>12.27%</w:t>
            </w:r>
          </w:p>
        </w:tc>
        <w:tc>
          <w:tcPr>
            <w:tcW w:type="dxa" w:w="1408"/>
            <w:vAlign w:val="center"/>
          </w:tcPr>
          <w:p>
            <w:r>
              <w:rPr>
                <w:sz w:val="18"/>
              </w:rPr>
              <w:t>12.05%</w:t>
            </w:r>
          </w:p>
        </w:tc>
        <w:tc>
          <w:tcPr>
            <w:tcW w:type="dxa" w:w="1408"/>
            <w:vAlign w:val="center"/>
          </w:tcPr>
          <w:p>
            <w:r>
              <w:rPr>
                <w:sz w:val="18"/>
              </w:rPr>
              <w:t>8.75%</w:t>
            </w:r>
          </w:p>
        </w:tc>
      </w:tr>
      <w:tr>
        <w:tc>
          <w:tcPr>
            <w:tcW w:type="dxa" w:w="1408"/>
            <w:vAlign w:val="center"/>
          </w:tcPr>
          <w:p>
            <w:r>
              <w:rPr>
                <w:sz w:val="18"/>
              </w:rPr>
              <w:t>14 days</w:t>
            </w:r>
          </w:p>
        </w:tc>
        <w:tc>
          <w:tcPr>
            <w:tcW w:type="dxa" w:w="1408"/>
            <w:vAlign w:val="center"/>
          </w:tcPr>
          <w:p>
            <w:r>
              <w:rPr>
                <w:sz w:val="18"/>
              </w:rPr>
              <w:t>13.66%</w:t>
            </w:r>
          </w:p>
        </w:tc>
        <w:tc>
          <w:tcPr>
            <w:tcW w:type="dxa" w:w="1408"/>
            <w:vAlign w:val="center"/>
          </w:tcPr>
          <w:p>
            <w:r>
              <w:rPr>
                <w:sz w:val="18"/>
              </w:rPr>
              <w:t>20.24%</w:t>
            </w:r>
          </w:p>
        </w:tc>
        <w:tc>
          <w:tcPr>
            <w:tcW w:type="dxa" w:w="1408"/>
            <w:vAlign w:val="center"/>
          </w:tcPr>
          <w:p>
            <w:r>
              <w:rPr>
                <w:sz w:val="18"/>
              </w:rPr>
              <w:t>15.47%</w:t>
            </w:r>
          </w:p>
        </w:tc>
        <w:tc>
          <w:tcPr>
            <w:tcW w:type="dxa" w:w="1408"/>
            <w:vAlign w:val="center"/>
          </w:tcPr>
          <w:p>
            <w:r>
              <w:rPr>
                <w:sz w:val="18"/>
              </w:rPr>
              <w:t>15.54%</w:t>
            </w:r>
          </w:p>
        </w:tc>
        <w:tc>
          <w:tcPr>
            <w:tcW w:type="dxa" w:w="1408"/>
            <w:vAlign w:val="center"/>
          </w:tcPr>
          <w:p>
            <w:r>
              <w:rPr>
                <w:sz w:val="18"/>
              </w:rPr>
              <w:t>13.47%</w:t>
            </w:r>
          </w:p>
        </w:tc>
      </w:tr>
      <w:tr>
        <w:tc>
          <w:tcPr>
            <w:tcW w:type="dxa" w:w="1408"/>
            <w:vAlign w:val="center"/>
          </w:tcPr>
          <w:p>
            <w:r>
              <w:rPr>
                <w:sz w:val="18"/>
              </w:rPr>
              <w:t>30 days</w:t>
            </w:r>
          </w:p>
        </w:tc>
        <w:tc>
          <w:tcPr>
            <w:tcW w:type="dxa" w:w="1408"/>
            <w:vAlign w:val="center"/>
          </w:tcPr>
          <w:p>
            <w:r>
              <w:rPr>
                <w:sz w:val="18"/>
              </w:rPr>
              <w:t>19.64%</w:t>
            </w:r>
          </w:p>
        </w:tc>
        <w:tc>
          <w:tcPr>
            <w:tcW w:type="dxa" w:w="1408"/>
            <w:vAlign w:val="center"/>
          </w:tcPr>
          <w:p>
            <w:r>
              <w:rPr>
                <w:sz w:val="18"/>
              </w:rPr>
              <w:t>27.54%</w:t>
            </w:r>
          </w:p>
        </w:tc>
        <w:tc>
          <w:tcPr>
            <w:tcW w:type="dxa" w:w="1408"/>
            <w:vAlign w:val="center"/>
          </w:tcPr>
          <w:p>
            <w:r>
              <w:rPr>
                <w:sz w:val="18"/>
              </w:rPr>
              <w:t>22.82%</w:t>
            </w:r>
          </w:p>
        </w:tc>
        <w:tc>
          <w:tcPr>
            <w:tcW w:type="dxa" w:w="1408"/>
            <w:vAlign w:val="center"/>
          </w:tcPr>
          <w:p>
            <w:r>
              <w:rPr>
                <w:sz w:val="18"/>
              </w:rPr>
              <w:t>20.13%</w:t>
            </w:r>
          </w:p>
        </w:tc>
        <w:tc>
          <w:tcPr>
            <w:tcW w:type="dxa" w:w="1408"/>
            <w:vAlign w:val="center"/>
          </w:tcPr>
          <w:p>
            <w:r>
              <w:rPr>
                <w:sz w:val="18"/>
              </w:rPr>
              <w:t>19.89%</w:t>
            </w:r>
          </w:p>
        </w:tc>
      </w:tr>
    </w:tbl>
    <w:p>
      <w:pPr/>
      <w:r>
        <w:t>On this unverified candidate series, the seasonal-naive baseline was slightly lower than SARIMA at the 7- and 14-day horizons; SARIMA was slightly lower than the baseline at 30 days. These small differences are not a model-selection result because the source is unvalidated and only four rolling origins were evaluated. The published Koyambedu comparison is monthly and does not support a direct daily-horizon delta.</w:t>
      </w:r>
    </w:p>
    <w:p>
      <w:pPr/>
      <w:r>
        <w:t>The rainfall-association output covered eight commodities and found no within-sample rainfall-anomaly coefficient significant at the 5% level; this does not establish absence of weather effects. The market-arrival variable required by the proposal was not available. The retrospective procurement output produced 13 scenario cases, but source-price uncertainty and missing buyer outcomes prevent a defensible savings estimate.</w:t>
      </w:r>
    </w:p>
    <w:p>
      <w:pPr>
        <w:pStyle w:val="Heading1"/>
      </w:pPr>
      <w:r>
        <w:t>CHAPTER 5</w:t>
        <w:br/>
        <w:t>CONCLUSIONS AND RECOMMENDATIONS</w:t>
      </w:r>
    </w:p>
    <w:p>
      <w:pPr>
        <w:pStyle w:val="Heading2"/>
      </w:pPr>
      <w:r>
        <w:t>5.1 Conclusion</w:t>
      </w:r>
    </w:p>
    <w:p>
      <w:r>
        <w:t>The project now contains a leakage-reviewed statewide modelling workflow, a common-origin four-model comparison for 7-, 14- and 30-day horizons, an exploratory rainfall-association analysis, a four-role agent pipeline and a retrospective procurement scenario. In the corrected statewide expanding-window evaluation, Random Forest had a lower mean MAPE than XGBoost (11.32% versus 13.93%) and lower error for each of the eight commodities. The separate Koyambedu comparison is not a validated wholesale result because the candidate source remains unresolved. The four-agent pipeline is implemented, but live feeds and the local language model were not exercised; the current price input is stale and all actions abstain. The procurement scenario does not establish buyer savings. These data and service limitations prevent treating the prototype as an operational procurement system.</w:t>
      </w:r>
    </w:p>
    <w:p>
      <w:pPr>
        <w:pStyle w:val="Heading2"/>
      </w:pPr>
      <w:r>
        <w:t>5.2 Recommendations</w:t>
      </w:r>
    </w:p>
    <w:p>
      <w:pPr>
        <w:pStyle w:val="ListNumber"/>
      </w:pPr>
      <w:r>
        <w:t>Document source provenance, licence, field meanings, price type and unit; retain raw data and a data dictionary.</w:t>
      </w:r>
    </w:p>
    <w:p>
      <w:pPr>
        <w:pStyle w:val="ListNumber"/>
      </w:pPr>
      <w:r>
        <w:t>Use the implemented common-origin evaluation for model comparison, then rerun it with a reconciled market-price source and a published benchmark that uses compatible frequency and forecast horizons.</w:t>
      </w:r>
    </w:p>
    <w:p>
      <w:pPr>
        <w:pStyle w:val="ListNumber"/>
      </w:pPr>
      <w:r>
        <w:t>Retain ADF statistics and p-values in future summaries; inspect SARIMA convergence and residual diagnostics before drawing conclusions.</w:t>
      </w:r>
    </w:p>
    <w:p>
      <w:pPr>
        <w:pStyle w:val="ListNumber"/>
      </w:pPr>
      <w:r>
        <w:t>Review the ₹100,000 exclusion against original units and market rows; preserve and log flagged records.</w:t>
      </w:r>
    </w:p>
    <w:p>
      <w:pPr>
        <w:pStyle w:val="ListNumber"/>
      </w:pPr>
      <w:r>
        <w:t>Verify Koyambedu provider, market definition, grade, quote type, date/time, unit and collection method; compare synchronized prices prospectively with a wholesale reference.</w:t>
      </w:r>
    </w:p>
    <w:p>
      <w:pPr>
        <w:pStyle w:val="ListNumber"/>
      </w:pPr>
      <w:r>
        <w:t>Resolve conflicting procurement timing and quantity text. Display source date, horizon, expected range, uncertainty and rule.</w:t>
      </w:r>
    </w:p>
    <w:p>
      <w:pPr>
        <w:pStyle w:val="ListNumber"/>
      </w:pPr>
      <w:r>
        <w:t>Run a prospective buyer pilot recording purchase time, quantity, grade, invoice price, transport, spoilage and stockouts; define a baseline before estimating savings.</w:t>
      </w:r>
    </w:p>
    <w:p>
      <w:pPr>
        <w:pStyle w:val="ListNumber"/>
      </w:pPr>
      <w:r>
        <w:t>Monitor missing dates, unit changes, market coverage shifts and outliers; revalidate as data arrive.</w:t>
      </w:r>
    </w:p>
    <w:p>
      <w:pPr>
        <w:pStyle w:val="Heading2"/>
      </w:pPr>
      <w:r>
        <w:t>5.3 Limitations</w:t>
      </w:r>
    </w:p>
    <w:p>
      <w:pPr>
        <w:pStyle w:val="ListBullet"/>
      </w:pPr>
      <w:r>
        <w:t>Statewide aggregated data do not represent verified Koyambedu transactions.</w:t>
      </w:r>
    </w:p>
    <w:p>
      <w:pPr>
        <w:pStyle w:val="ListBullet"/>
      </w:pPr>
      <w:r>
        <w:t>Upstream collection of the secondary Agmarknet compilation was not independently audited.</w:t>
      </w:r>
    </w:p>
    <w:p>
      <w:pPr>
        <w:pStyle w:val="ListBullet"/>
      </w:pPr>
      <w:r>
        <w:t>Short history limits annual seasonality and rare-shock inference.</w:t>
      </w:r>
    </w:p>
    <w:p>
      <w:pPr>
        <w:pStyle w:val="ListBullet"/>
      </w:pPr>
      <w:r>
        <w:t>Evaluation strategies differ; scores are not a common benchmark.</w:t>
      </w:r>
    </w:p>
    <w:p>
      <w:pPr>
        <w:pStyle w:val="ListBullet"/>
      </w:pPr>
      <w:r>
        <w:t>The SARIMA script ran the Augmented Dickey-Fuller test on each training series and selected the non-seasonal differencing order from its p-value rule. The saved run did not preserve the individual test statistics or p-values; the archived log reports a FutureWarning, not an ADF failure. Seasonal differencing was fixed at D=1 with a seven-day period. Some candidate fits may not converge, so fitted residual diagnostics and a reproducible order-selection record remain necessary.</w:t>
      </w:r>
    </w:p>
    <w:p>
      <w:pPr>
        <w:pStyle w:val="ListBullet"/>
      </w:pPr>
      <w:r>
        <w:t>Tomato extremes and threshold exclusion need row-level review.</w:t>
      </w:r>
    </w:p>
    <w:p>
      <w:pPr>
        <w:pStyle w:val="ListBullet"/>
      </w:pPr>
      <w:r>
        <w:t>SHAP is model-specific and non-causal.</w:t>
      </w:r>
    </w:p>
    <w:p>
      <w:pPr>
        <w:pStyle w:val="ListBullet"/>
      </w:pPr>
      <w:r>
        <w:t>Procurement rules and savings fields lack outcome validation.</w:t>
      </w:r>
    </w:p>
    <w:p>
      <w:pPr>
        <w:pStyle w:val="ListBullet"/>
      </w:pPr>
      <w:r>
        <w:t>Local comparisons may differ in grade, market level or timing.</w:t>
      </w:r>
    </w:p>
    <w:p>
      <w:pPr>
        <w:pStyle w:val="Heading2"/>
      </w:pPr>
      <w:r>
        <w:t>5.4 Future research</w:t>
      </w:r>
    </w:p>
    <w:p>
      <w:r>
        <w:t>Create a verified Koyambedu panel with timestamped wholesale quotations and consistent grades; extend history; add arrivals and supply indicators where available; evaluate probabilistic forecasts; compare seasonal-naive and last-observation baselines; and measure outcomes prospectively. Later work can test whether forecast-informed purchasing lowers delivered cost while maintaining service and limiting spoilage.</w:t>
      </w:r>
    </w:p>
    <w:p>
      <w:pPr>
        <w:pStyle w:val="Heading2"/>
      </w:pPr>
      <w:r>
        <w:t>5.5 Final statement</w:t>
      </w:r>
    </w:p>
    <w:p>
      <w:r>
        <w:t>AgriSight is best positioned as a transparent research prototype for statewide monitoring. The next step is improving provenance and evaluation consistency, then validating market-specific recommendations with buyer records.</w:t>
      </w:r>
    </w:p>
    <w:p>
      <w:r>
        <w:br w:type="page"/>
      </w:r>
    </w:p>
    <w:p>
      <w:pPr>
        <w:pStyle w:val="Heading1"/>
      </w:pPr>
      <w:r>
        <w:t>REFERENCES</w:t>
      </w:r>
    </w:p>
    <w:p>
      <w:pPr/>
      <w:r>
        <w:t>Tamilselvi, C., &amp; Mohan Naidu, G. (2020). Forecasting of vegetable arrivals and wholesale prices of Koyambedu Market in Chennai using SARIMA approach. International Journal of Current Microbiology and Applied Sciences, 9(10), 3059–3068. https://doi.org/10.20546/ijcmas.2020.910.368</w:t>
      </w:r>
    </w:p>
    <w:p>
      <w:pPr/>
      <w:r>
        <w:t>Manogna, R. L., Dharmaji, V., &amp; Sarang, S. (2025). Enhancing agricultural commodity price forecasting with deep learning. Scientific Reports, 15, Article 20903. https://doi.org/10.1038/s41598-025-05103-z</w:t>
      </w:r>
    </w:p>
    <w:p>
      <w:pPr/>
      <w:r>
        <w:t>Mantaw, C. S., Prahadeeswaran, M., Karthick, V., Sumathi, C. S., &amp; Patil, S. G. (2024). Leveraging machine learning for accurate groundnut price forecasting in Tamil Nadu: An XGBoost approach. Research Square preprint. https://doi.org/10.21203/rs.3.rs-4293571/v1</w:t>
      </w:r>
    </w:p>
    <w:p>
      <w:pPr/>
      <w:r>
        <w:t>Box, G. E. P., Jenkins, G. M., Reinsel, G. C., &amp; Ljung, G. M. (2015). Time Series Analysis: Forecasting and Control (5th ed.). Wiley.</w:t>
      </w:r>
    </w:p>
    <w:p>
      <w:pPr/>
      <w:r>
        <w:t>Breiman, L. (2001). Random forests. Machine Learning, 45, 5–32. https://doi.org/10.1023/A:1010933404324</w:t>
      </w:r>
    </w:p>
    <w:p>
      <w:pPr/>
      <w:r>
        <w:t>Chen, T., &amp; Guestrin, C. (2016). XGBoost: A scalable tree boosting system. Proceedings of the 22nd ACM SIGKDD International Conference on Knowledge Discovery and Data Mining, 785–794. https://doi.org/10.1145/2939672.2939785</w:t>
      </w:r>
    </w:p>
    <w:p>
      <w:pPr/>
      <w:r>
        <w:t>Hyndman, R. J., &amp; Athanasopoulos, G. (2021). Forecasting: Principles and Practice (3rd ed.). OTexts. https://otexts.com/fpp3/</w:t>
      </w:r>
    </w:p>
    <w:p>
      <w:pPr/>
      <w:r>
        <w:t>Lundberg, S. M., &amp; Lee, S.-I. (2017). A unified approach to interpreting model predictions. Advances in Neural Information Processing Systems, 30, 4765–4774.</w:t>
      </w:r>
    </w:p>
    <w:p>
      <w:pPr/>
      <w:r>
        <w:t>Makridakis, S., Spiliotis, E., &amp; Assimakopoulos, V. (2018). The M4 Competition: Results, findings, conclusion and way forward. International Journal of Forecasting, 34(4), 802–808. https://doi.org/10.1016/j.ijforecast.2018.06.001</w:t>
      </w:r>
    </w:p>
    <w:p>
      <w:pPr/>
      <w:r>
        <w:t>Taylor, S. J., &amp; Letham, B. (2018). Forecasting at scale. The American Statistician, 72(1), 37–45. https://doi.org/10.1080/00031305.2017.1380080</w:t>
      </w:r>
    </w:p>
    <w:p>
      <w:r>
        <w:t>Zhang, Z., Zhang, J., Liu, H., Lv, Q., Yang, J., Cai, K., &amp; Wang, K. (2026). AgriWorld: A World Tools Protocol framework for verifiable agricultural reasoning with code-executing LLM agents. arXiv:2602.15325. https://doi.org/10.48550/arXiv.2602.15325</w:t>
      </w:r>
    </w:p>
    <w:p>
      <w:r>
        <w:t>Fagbohun, O., Yashwanth, S., Akintola, A. S., Wurola, I., Shittu, L., Inyang, A., Odubola, O., Offia, U., Olanrewaju, S., Toluwaleke, O., Abutu, I., &amp; Akinbolaji, T. (2025). GreenIQ: A deep search platform for comprehensive carbon market analysis and automated report generation. arXiv:2503.16041. https://doi.org/10.48550/arXiv.2503.16041</w:t>
      </w:r>
    </w:p>
    <w:p>
      <w:r>
        <w:t>Open-Meteo. (n.d.). Historical Weather API documentation. https://open-meteo.com/en/docs/historical-weather-api</w:t>
      </w:r>
    </w:p>
    <w:p>
      <w:pPr>
        <w:pStyle w:val="Heading1"/>
      </w:pPr>
      <w:r>
        <w:t>APPENDIX A - DATA DICTIONARY</w:t>
      </w:r>
    </w:p>
    <w:tbl>
      <w:tblPr>
        <w:tblStyle w:val="TableGrid"/>
        <w:tblW w:type="auto" w:w="0"/>
        <w:tblLook w:firstColumn="1" w:firstRow="1" w:lastColumn="0" w:lastRow="0" w:noHBand="0" w:noVBand="1" w:val="04A0"/>
      </w:tblPr>
      <w:tblGrid>
        <w:gridCol w:w="2816"/>
        <w:gridCol w:w="2816"/>
        <w:gridCol w:w="2816"/>
      </w:tblGrid>
      <w:tr>
        <w:tc>
          <w:tcPr>
            <w:tcW w:type="dxa" w:w="2816"/>
            <w:shd w:fill="D9E2F3"/>
          </w:tcPr>
          <w:p>
            <w:pPr>
              <w:spacing w:line="240" w:lineRule="auto" w:after="40"/>
            </w:pPr>
            <w:r>
              <w:rPr>
                <w:rFonts w:ascii="Times New Roman" w:hAnsi="Times New Roman"/>
                <w:sz w:val="18"/>
              </w:rPr>
              <w:t>Field</w:t>
            </w:r>
          </w:p>
        </w:tc>
        <w:tc>
          <w:tcPr>
            <w:tcW w:type="dxa" w:w="2816"/>
            <w:shd w:fill="D9E2F3"/>
          </w:tcPr>
          <w:p>
            <w:pPr>
              <w:spacing w:line="240" w:lineRule="auto" w:after="40"/>
            </w:pPr>
            <w:r>
              <w:rPr>
                <w:rFonts w:ascii="Times New Roman" w:hAnsi="Times New Roman"/>
                <w:sz w:val="18"/>
              </w:rPr>
              <w:t>Meaning</w:t>
            </w:r>
          </w:p>
        </w:tc>
        <w:tc>
          <w:tcPr>
            <w:tcW w:type="dxa" w:w="2816"/>
            <w:shd w:fill="D9E2F3"/>
          </w:tcPr>
          <w:p>
            <w:pPr>
              <w:spacing w:line="240" w:lineRule="auto" w:after="40"/>
            </w:pPr>
            <w:r>
              <w:rPr>
                <w:rFonts w:ascii="Times New Roman" w:hAnsi="Times New Roman"/>
                <w:sz w:val="18"/>
              </w:rPr>
              <w:t>Caution</w:t>
            </w:r>
          </w:p>
        </w:tc>
      </w:tr>
      <w:tr>
        <w:tc>
          <w:tcPr>
            <w:tcW w:type="dxa" w:w="2816"/>
          </w:tcPr>
          <w:p>
            <w:pPr>
              <w:spacing w:line="240" w:lineRule="auto" w:after="40"/>
            </w:pPr>
            <w:r>
              <w:rPr>
                <w:rFonts w:ascii="Times New Roman" w:hAnsi="Times New Roman"/>
                <w:sz w:val="18"/>
              </w:rPr>
              <w:t>Commodity</w:t>
            </w:r>
          </w:p>
        </w:tc>
        <w:tc>
          <w:tcPr>
            <w:tcW w:type="dxa" w:w="2816"/>
          </w:tcPr>
          <w:p>
            <w:pPr>
              <w:spacing w:line="240" w:lineRule="auto" w:after="40"/>
            </w:pPr>
            <w:r>
              <w:rPr>
                <w:rFonts w:ascii="Times New Roman" w:hAnsi="Times New Roman"/>
                <w:sz w:val="18"/>
              </w:rPr>
              <w:t>Selected vegetable</w:t>
            </w:r>
          </w:p>
        </w:tc>
        <w:tc>
          <w:tcPr>
            <w:tcW w:type="dxa" w:w="2816"/>
          </w:tcPr>
          <w:p>
            <w:pPr>
              <w:spacing w:line="240" w:lineRule="auto" w:after="40"/>
            </w:pPr>
            <w:r>
              <w:rPr>
                <w:rFonts w:ascii="Times New Roman" w:hAnsi="Times New Roman"/>
                <w:sz w:val="18"/>
              </w:rPr>
              <w:t>Standardize spelling and market equivalence</w:t>
            </w:r>
          </w:p>
        </w:tc>
      </w:tr>
      <w:tr>
        <w:tc>
          <w:tcPr>
            <w:tcW w:type="dxa" w:w="2816"/>
          </w:tcPr>
          <w:p>
            <w:pPr>
              <w:spacing w:line="240" w:lineRule="auto" w:after="40"/>
            </w:pPr>
            <w:r>
              <w:rPr>
                <w:rFonts w:ascii="Times New Roman" w:hAnsi="Times New Roman"/>
                <w:sz w:val="18"/>
              </w:rPr>
              <w:t>Date</w:t>
            </w:r>
          </w:p>
        </w:tc>
        <w:tc>
          <w:tcPr>
            <w:tcW w:type="dxa" w:w="2816"/>
          </w:tcPr>
          <w:p>
            <w:pPr>
              <w:spacing w:line="240" w:lineRule="auto" w:after="40"/>
            </w:pPr>
            <w:r>
              <w:rPr>
                <w:rFonts w:ascii="Times New Roman" w:hAnsi="Times New Roman"/>
                <w:sz w:val="18"/>
              </w:rPr>
              <w:t>Source record date</w:t>
            </w:r>
          </w:p>
        </w:tc>
        <w:tc>
          <w:tcPr>
            <w:tcW w:type="dxa" w:w="2816"/>
          </w:tcPr>
          <w:p>
            <w:pPr>
              <w:spacing w:line="240" w:lineRule="auto" w:after="40"/>
            </w:pPr>
            <w:r>
              <w:rPr>
                <w:rFonts w:ascii="Times New Roman" w:hAnsi="Times New Roman"/>
                <w:sz w:val="18"/>
              </w:rPr>
              <w:t>Confirm convention</w:t>
            </w:r>
          </w:p>
        </w:tc>
      </w:tr>
      <w:tr>
        <w:tc>
          <w:tcPr>
            <w:tcW w:type="dxa" w:w="2816"/>
          </w:tcPr>
          <w:p>
            <w:pPr>
              <w:spacing w:line="240" w:lineRule="auto" w:after="40"/>
            </w:pPr>
            <w:r>
              <w:rPr>
                <w:rFonts w:ascii="Times New Roman" w:hAnsi="Times New Roman"/>
                <w:sz w:val="18"/>
              </w:rPr>
              <w:t>Price</w:t>
            </w:r>
          </w:p>
        </w:tc>
        <w:tc>
          <w:tcPr>
            <w:tcW w:type="dxa" w:w="2816"/>
          </w:tcPr>
          <w:p>
            <w:pPr>
              <w:spacing w:line="240" w:lineRule="auto" w:after="40"/>
            </w:pPr>
            <w:r>
              <w:rPr>
                <w:rFonts w:ascii="Times New Roman" w:hAnsi="Times New Roman"/>
                <w:sz w:val="18"/>
              </w:rPr>
              <w:t>Reported measure</w:t>
            </w:r>
          </w:p>
        </w:tc>
        <w:tc>
          <w:tcPr>
            <w:tcW w:type="dxa" w:w="2816"/>
          </w:tcPr>
          <w:p>
            <w:pPr>
              <w:spacing w:line="240" w:lineRule="auto" w:after="40"/>
            </w:pPr>
            <w:r>
              <w:rPr>
                <w:rFonts w:ascii="Times New Roman" w:hAnsi="Times New Roman"/>
                <w:sz w:val="18"/>
              </w:rPr>
              <w:t>Confirm min/modal/max and market level</w:t>
            </w:r>
          </w:p>
        </w:tc>
      </w:tr>
      <w:tr>
        <w:tc>
          <w:tcPr>
            <w:tcW w:type="dxa" w:w="2816"/>
          </w:tcPr>
          <w:p>
            <w:pPr>
              <w:spacing w:line="240" w:lineRule="auto" w:after="40"/>
            </w:pPr>
            <w:r>
              <w:rPr>
                <w:rFonts w:ascii="Times New Roman" w:hAnsi="Times New Roman"/>
                <w:sz w:val="18"/>
              </w:rPr>
              <w:t>Market</w:t>
            </w:r>
          </w:p>
        </w:tc>
        <w:tc>
          <w:tcPr>
            <w:tcW w:type="dxa" w:w="2816"/>
          </w:tcPr>
          <w:p>
            <w:pPr>
              <w:spacing w:line="240" w:lineRule="auto" w:after="40"/>
            </w:pPr>
            <w:r>
              <w:rPr>
                <w:rFonts w:ascii="Times New Roman" w:hAnsi="Times New Roman"/>
                <w:sz w:val="18"/>
              </w:rPr>
              <w:t>Reported market name</w:t>
            </w:r>
          </w:p>
        </w:tc>
        <w:tc>
          <w:tcPr>
            <w:tcW w:type="dxa" w:w="2816"/>
          </w:tcPr>
          <w:p>
            <w:pPr>
              <w:spacing w:line="240" w:lineRule="auto" w:after="40"/>
            </w:pPr>
            <w:r>
              <w:rPr>
                <w:rFonts w:ascii="Times New Roman" w:hAnsi="Times New Roman"/>
                <w:sz w:val="18"/>
              </w:rPr>
              <w:t>451 TN market names</w:t>
            </w:r>
          </w:p>
        </w:tc>
      </w:tr>
      <w:tr>
        <w:tc>
          <w:tcPr>
            <w:tcW w:type="dxa" w:w="2816"/>
          </w:tcPr>
          <w:p>
            <w:pPr>
              <w:spacing w:line="240" w:lineRule="auto" w:after="40"/>
            </w:pPr>
            <w:r>
              <w:rPr>
                <w:rFonts w:ascii="Times New Roman" w:hAnsi="Times New Roman"/>
                <w:sz w:val="18"/>
              </w:rPr>
              <w:t>Lag price</w:t>
            </w:r>
          </w:p>
        </w:tc>
        <w:tc>
          <w:tcPr>
            <w:tcW w:type="dxa" w:w="2816"/>
          </w:tcPr>
          <w:p>
            <w:pPr>
              <w:spacing w:line="240" w:lineRule="auto" w:after="40"/>
            </w:pPr>
            <w:r>
              <w:rPr>
                <w:rFonts w:ascii="Times New Roman" w:hAnsi="Times New Roman"/>
                <w:sz w:val="18"/>
              </w:rPr>
              <w:t>Past observed value</w:t>
            </w:r>
          </w:p>
        </w:tc>
        <w:tc>
          <w:tcPr>
            <w:tcW w:type="dxa" w:w="2816"/>
          </w:tcPr>
          <w:p>
            <w:pPr>
              <w:spacing w:line="240" w:lineRule="auto" w:after="40"/>
            </w:pPr>
            <w:r>
              <w:rPr>
                <w:rFonts w:ascii="Times New Roman" w:hAnsi="Times New Roman"/>
                <w:sz w:val="18"/>
              </w:rPr>
              <w:t>Use past data only</w:t>
            </w:r>
          </w:p>
        </w:tc>
      </w:tr>
      <w:tr>
        <w:tc>
          <w:tcPr>
            <w:tcW w:type="dxa" w:w="2816"/>
          </w:tcPr>
          <w:p>
            <w:pPr>
              <w:spacing w:line="240" w:lineRule="auto" w:after="40"/>
            </w:pPr>
            <w:r>
              <w:rPr>
                <w:rFonts w:ascii="Times New Roman" w:hAnsi="Times New Roman"/>
                <w:sz w:val="18"/>
              </w:rPr>
              <w:t>Rolling statistic</w:t>
            </w:r>
          </w:p>
        </w:tc>
        <w:tc>
          <w:tcPr>
            <w:tcW w:type="dxa" w:w="2816"/>
          </w:tcPr>
          <w:p>
            <w:pPr>
              <w:spacing w:line="240" w:lineRule="auto" w:after="40"/>
            </w:pPr>
            <w:r>
              <w:rPr>
                <w:rFonts w:ascii="Times New Roman" w:hAnsi="Times New Roman"/>
                <w:sz w:val="18"/>
              </w:rPr>
              <w:t>Windowed historical summary</w:t>
            </w:r>
          </w:p>
        </w:tc>
        <w:tc>
          <w:tcPr>
            <w:tcW w:type="dxa" w:w="2816"/>
          </w:tcPr>
          <w:p>
            <w:pPr>
              <w:spacing w:line="240" w:lineRule="auto" w:after="40"/>
            </w:pPr>
            <w:r>
              <w:rPr>
                <w:rFonts w:ascii="Times New Roman" w:hAnsi="Times New Roman"/>
                <w:sz w:val="18"/>
              </w:rPr>
              <w:t>Exclude future observations</w:t>
            </w:r>
          </w:p>
        </w:tc>
      </w:tr>
      <w:tr>
        <w:tc>
          <w:tcPr>
            <w:tcW w:type="dxa" w:w="2816"/>
          </w:tcPr>
          <w:p>
            <w:pPr>
              <w:spacing w:line="240" w:lineRule="auto" w:after="40"/>
            </w:pPr>
            <w:r>
              <w:rPr>
                <w:rFonts w:ascii="Times New Roman" w:hAnsi="Times New Roman"/>
                <w:sz w:val="18"/>
              </w:rPr>
              <w:t>Weather</w:t>
            </w:r>
          </w:p>
        </w:tc>
        <w:tc>
          <w:tcPr>
            <w:tcW w:type="dxa" w:w="2816"/>
          </w:tcPr>
          <w:p>
            <w:pPr>
              <w:spacing w:line="240" w:lineRule="auto" w:after="40"/>
            </w:pPr>
            <w:r>
              <w:rPr>
                <w:rFonts w:ascii="Times New Roman" w:hAnsi="Times New Roman"/>
                <w:sz w:val="18"/>
              </w:rPr>
              <w:t>Local Chennai fields</w:t>
            </w:r>
          </w:p>
        </w:tc>
        <w:tc>
          <w:tcPr>
            <w:tcW w:type="dxa" w:w="2816"/>
          </w:tcPr>
          <w:p>
            <w:pPr>
              <w:spacing w:line="240" w:lineRule="auto" w:after="40"/>
            </w:pPr>
            <w:r>
              <w:rPr>
                <w:rFonts w:ascii="Times New Roman" w:hAnsi="Times New Roman"/>
                <w:sz w:val="18"/>
              </w:rPr>
              <w:t>Geographic proxy, not market-specific</w:t>
            </w:r>
          </w:p>
        </w:tc>
      </w:tr>
    </w:tbl>
    <w:p>
      <w:r>
        <w:br w:type="page"/>
      </w:r>
    </w:p>
    <w:p>
      <w:pPr>
        <w:pStyle w:val="Heading1"/>
      </w:pPr>
      <w:r>
        <w:t>APPENDIX B - MODEL AND DECISION RULES</w:t>
      </w:r>
    </w:p>
    <w:tbl>
      <w:tblPr>
        <w:tblStyle w:val="TableGrid"/>
        <w:tblW w:type="auto" w:w="0"/>
        <w:tblLook w:firstColumn="1" w:firstRow="1" w:lastColumn="0" w:lastRow="0" w:noHBand="0" w:noVBand="1" w:val="04A0"/>
      </w:tblPr>
      <w:tblGrid>
        <w:gridCol w:w="2816"/>
        <w:gridCol w:w="2816"/>
        <w:gridCol w:w="2816"/>
      </w:tblGrid>
      <w:tr>
        <w:tc>
          <w:tcPr>
            <w:tcW w:type="dxa" w:w="2816"/>
            <w:shd w:fill="D9E2F3"/>
          </w:tcPr>
          <w:p>
            <w:pPr>
              <w:spacing w:line="240" w:lineRule="auto" w:after="40"/>
            </w:pPr>
            <w:r>
              <w:rPr>
                <w:rFonts w:ascii="Times New Roman" w:hAnsi="Times New Roman"/>
                <w:sz w:val="18"/>
              </w:rPr>
              <w:t>Component</w:t>
            </w:r>
          </w:p>
        </w:tc>
        <w:tc>
          <w:tcPr>
            <w:tcW w:type="dxa" w:w="2816"/>
            <w:shd w:fill="D9E2F3"/>
          </w:tcPr>
          <w:p>
            <w:pPr>
              <w:spacing w:line="240" w:lineRule="auto" w:after="40"/>
            </w:pPr>
            <w:r>
              <w:rPr>
                <w:rFonts w:ascii="Times New Roman" w:hAnsi="Times New Roman"/>
                <w:sz w:val="18"/>
              </w:rPr>
              <w:t>Approach</w:t>
            </w:r>
          </w:p>
        </w:tc>
        <w:tc>
          <w:tcPr>
            <w:tcW w:type="dxa" w:w="2816"/>
            <w:shd w:fill="D9E2F3"/>
          </w:tcPr>
          <w:p>
            <w:pPr>
              <w:spacing w:line="240" w:lineRule="auto" w:after="40"/>
            </w:pPr>
            <w:r>
              <w:rPr>
                <w:rFonts w:ascii="Times New Roman" w:hAnsi="Times New Roman"/>
                <w:sz w:val="18"/>
              </w:rPr>
              <w:t>Limitation</w:t>
            </w:r>
          </w:p>
        </w:tc>
      </w:tr>
      <w:tr>
        <w:tc>
          <w:tcPr>
            <w:tcW w:type="dxa" w:w="2816"/>
          </w:tcPr>
          <w:p>
            <w:pPr>
              <w:spacing w:line="240" w:lineRule="auto" w:after="40"/>
            </w:pPr>
            <w:r>
              <w:rPr>
                <w:rFonts w:ascii="Times New Roman" w:hAnsi="Times New Roman"/>
                <w:sz w:val="18"/>
              </w:rPr>
              <w:t>SARIMA</w:t>
            </w:r>
          </w:p>
        </w:tc>
        <w:tc>
          <w:tcPr>
            <w:tcW w:type="dxa" w:w="2816"/>
          </w:tcPr>
          <w:p>
            <w:pPr>
              <w:spacing w:line="240" w:lineRule="auto" w:after="40"/>
            </w:pPr>
            <w:r>
              <w:rPr>
                <w:rFonts w:ascii="Times New Roman" w:hAnsi="Times New Roman"/>
                <w:sz w:val="18"/>
              </w:rPr>
              <w:t>Seasonal ARIMA baseline</w:t>
            </w:r>
          </w:p>
        </w:tc>
        <w:tc>
          <w:tcPr>
            <w:tcW w:type="dxa" w:w="2816"/>
          </w:tcPr>
          <w:p>
            <w:pPr>
              <w:spacing w:line="240" w:lineRule="auto" w:after="40"/>
            </w:pPr>
            <w:r>
              <w:rPr>
                <w:rFonts w:ascii="Times New Roman" w:hAnsi="Times New Roman"/>
                <w:sz w:val="18"/>
              </w:rPr>
              <w:t>Convergence and diagnostics</w:t>
            </w:r>
          </w:p>
        </w:tc>
      </w:tr>
      <w:tr>
        <w:tc>
          <w:tcPr>
            <w:tcW w:type="dxa" w:w="2816"/>
          </w:tcPr>
          <w:p>
            <w:pPr>
              <w:spacing w:line="240" w:lineRule="auto" w:after="40"/>
            </w:pPr>
            <w:r>
              <w:rPr>
                <w:rFonts w:ascii="Times New Roman" w:hAnsi="Times New Roman"/>
                <w:sz w:val="18"/>
              </w:rPr>
              <w:t>Prophet</w:t>
            </w:r>
          </w:p>
        </w:tc>
        <w:tc>
          <w:tcPr>
            <w:tcW w:type="dxa" w:w="2816"/>
          </w:tcPr>
          <w:p>
            <w:pPr>
              <w:spacing w:line="240" w:lineRule="auto" w:after="40"/>
            </w:pPr>
            <w:r>
              <w:rPr>
                <w:rFonts w:ascii="Times New Roman" w:hAnsi="Times New Roman"/>
                <w:sz w:val="18"/>
              </w:rPr>
              <w:t>Trend and seasonal components</w:t>
            </w:r>
          </w:p>
        </w:tc>
        <w:tc>
          <w:tcPr>
            <w:tcW w:type="dxa" w:w="2816"/>
          </w:tcPr>
          <w:p>
            <w:pPr>
              <w:spacing w:line="240" w:lineRule="auto" w:after="40"/>
            </w:pPr>
            <w:r>
              <w:rPr>
                <w:rFonts w:ascii="Times New Roman" w:hAnsi="Times New Roman"/>
                <w:sz w:val="18"/>
              </w:rPr>
              <w:t>Annual-seasonality warning</w:t>
            </w:r>
          </w:p>
        </w:tc>
      </w:tr>
      <w:tr>
        <w:tc>
          <w:tcPr>
            <w:tcW w:type="dxa" w:w="2816"/>
          </w:tcPr>
          <w:p>
            <w:pPr>
              <w:spacing w:line="240" w:lineRule="auto" w:after="40"/>
            </w:pPr>
            <w:r>
              <w:rPr>
                <w:rFonts w:ascii="Times New Roman" w:hAnsi="Times New Roman"/>
                <w:sz w:val="18"/>
              </w:rPr>
              <w:t>Random Forest</w:t>
            </w:r>
          </w:p>
        </w:tc>
        <w:tc>
          <w:tcPr>
            <w:tcW w:type="dxa" w:w="2816"/>
          </w:tcPr>
          <w:p>
            <w:pPr>
              <w:spacing w:line="240" w:lineRule="auto" w:after="40"/>
            </w:pPr>
            <w:r>
              <w:rPr>
                <w:rFonts w:ascii="Times New Roman" w:hAnsi="Times New Roman"/>
                <w:sz w:val="18"/>
              </w:rPr>
              <w:t>Tree ensemble</w:t>
            </w:r>
          </w:p>
        </w:tc>
        <w:tc>
          <w:tcPr>
            <w:tcW w:type="dxa" w:w="2816"/>
          </w:tcPr>
          <w:p>
            <w:r>
              <w:t>Lower MAPE than XGBoost in the corrected run</w:t>
            </w:r>
          </w:p>
        </w:tc>
      </w:tr>
      <w:tr>
        <w:tc>
          <w:tcPr>
            <w:tcW w:type="dxa" w:w="2816"/>
          </w:tcPr>
          <w:p>
            <w:pPr>
              <w:spacing w:line="240" w:lineRule="auto" w:after="40"/>
            </w:pPr>
            <w:r>
              <w:rPr>
                <w:rFonts w:ascii="Times New Roman" w:hAnsi="Times New Roman"/>
                <w:sz w:val="18"/>
              </w:rPr>
              <w:t>XGBoost</w:t>
            </w:r>
          </w:p>
        </w:tc>
        <w:tc>
          <w:tcPr>
            <w:tcW w:type="dxa" w:w="2816"/>
          </w:tcPr>
          <w:p>
            <w:pPr>
              <w:spacing w:line="240" w:lineRule="auto" w:after="40"/>
            </w:pPr>
            <w:r>
              <w:rPr>
                <w:rFonts w:ascii="Times New Roman" w:hAnsi="Times New Roman"/>
                <w:sz w:val="18"/>
              </w:rPr>
              <w:t>Gradient-boosted trees</w:t>
            </w:r>
          </w:p>
        </w:tc>
        <w:tc>
          <w:tcPr>
            <w:tcW w:type="dxa" w:w="2816"/>
          </w:tcPr>
          <w:p>
            <w:r>
              <w:t>Higher MAPE than Random Forest in the corrected run</w:t>
            </w:r>
          </w:p>
        </w:tc>
      </w:tr>
      <w:tr>
        <w:tc>
          <w:tcPr>
            <w:tcW w:type="dxa" w:w="2816"/>
          </w:tcPr>
          <w:p>
            <w:pPr>
              <w:spacing w:line="240" w:lineRule="auto" w:after="40"/>
            </w:pPr>
            <w:r>
              <w:rPr>
                <w:rFonts w:ascii="Times New Roman" w:hAnsi="Times New Roman"/>
                <w:sz w:val="18"/>
              </w:rPr>
              <w:t>SHAP</w:t>
            </w:r>
          </w:p>
        </w:tc>
        <w:tc>
          <w:tcPr>
            <w:tcW w:type="dxa" w:w="2816"/>
          </w:tcPr>
          <w:p>
            <w:pPr>
              <w:spacing w:line="240" w:lineRule="auto" w:after="40"/>
            </w:pPr>
            <w:r>
              <w:rPr>
                <w:rFonts w:ascii="Times New Roman" w:hAnsi="Times New Roman"/>
                <w:sz w:val="18"/>
              </w:rPr>
              <w:t>Feature contribution</w:t>
            </w:r>
          </w:p>
        </w:tc>
        <w:tc>
          <w:tcPr>
            <w:tcW w:type="dxa" w:w="2816"/>
          </w:tcPr>
          <w:p>
            <w:pPr>
              <w:spacing w:line="240" w:lineRule="auto" w:after="40"/>
            </w:pPr>
            <w:r>
              <w:rPr>
                <w:rFonts w:ascii="Times New Roman" w:hAnsi="Times New Roman"/>
                <w:sz w:val="18"/>
              </w:rPr>
              <w:t>Not causal</w:t>
            </w:r>
          </w:p>
        </w:tc>
      </w:tr>
      <w:tr>
        <w:tc>
          <w:tcPr>
            <w:tcW w:type="dxa" w:w="2816"/>
          </w:tcPr>
          <w:p>
            <w:pPr>
              <w:spacing w:line="240" w:lineRule="auto" w:after="40"/>
            </w:pPr>
            <w:r>
              <w:rPr>
                <w:rFonts w:ascii="Times New Roman" w:hAnsi="Times New Roman"/>
                <w:sz w:val="18"/>
              </w:rPr>
              <w:t>Procurement layer</w:t>
            </w:r>
          </w:p>
        </w:tc>
        <w:tc>
          <w:tcPr>
            <w:tcW w:type="dxa" w:w="2816"/>
          </w:tcPr>
          <w:p>
            <w:pPr>
              <w:spacing w:line="240" w:lineRule="auto" w:after="40"/>
            </w:pPr>
            <w:r>
              <w:rPr>
                <w:rFonts w:ascii="Times New Roman" w:hAnsi="Times New Roman"/>
                <w:sz w:val="18"/>
              </w:rPr>
              <w:t>Rule-based action</w:t>
            </w:r>
          </w:p>
        </w:tc>
        <w:tc>
          <w:tcPr>
            <w:tcW w:type="dxa" w:w="2816"/>
          </w:tcPr>
          <w:p>
            <w:pPr>
              <w:spacing w:line="240" w:lineRule="auto" w:after="40"/>
            </w:pPr>
            <w:r>
              <w:rPr>
                <w:rFonts w:ascii="Times New Roman" w:hAnsi="Times New Roman"/>
                <w:sz w:val="18"/>
              </w:rPr>
              <w:t>HOLD; no outcome validation</w:t>
            </w:r>
          </w:p>
        </w:tc>
      </w:tr>
    </w:tbl>
    <w:p>
      <w:r>
        <w:t>A decision aid should show source date, forecast horizon, expected range, uncertainty and triggering rule. It should abstain when data are stale, mapping is ambiguous or inputs fall outside the validated range.</w:t>
      </w:r>
    </w:p>
    <w:p>
      <w:r>
        <w:br w:type="page"/>
      </w:r>
    </w:p>
    <w:p>
      <w:pPr>
        <w:pStyle w:val="Heading1"/>
      </w:pPr>
      <w:r>
        <w:t>APPENDIX C - REPRODUCIBILITY AND VIVA CERTIFICATE</w:t>
      </w:r>
    </w:p>
    <w:p>
      <w:r>
        <w:t>Analytical outputs reviewed for this report are stored in the local end-to-end run folder dated 15 October 2026, with source extracts, processed data, figures, model outputs, logs and dashboard records. The Streamlit process used for the run has been stopped. Re-runs should record environment and package versions, source hashes, timestamp and commands.</w:t>
      </w:r>
    </w:p>
    <w:p>
      <w:r>
        <w:t>Viva voce examination certificate</w:t>
      </w:r>
    </w:p>
    <w:p>
      <w:r>
        <w:t>This project report submitted by Vignesh Natarajan (Roll No. 24060BA0046; Registration No. 69124100162) has been examined on __________________. The project is approved / not approved for the MBA degree, Anna University.</w:t>
      </w:r>
    </w:p>
    <w:tbl>
      <w:tblPr>
        <w:tblStyle w:val="TableGrid"/>
        <w:tblW w:type="auto" w:w="0"/>
        <w:tblLook w:firstColumn="1" w:firstRow="1" w:lastColumn="0" w:lastRow="0" w:noHBand="0" w:noVBand="1" w:val="04A0"/>
      </w:tblPr>
      <w:tblGrid>
        <w:gridCol w:w="4224"/>
        <w:gridCol w:w="4224"/>
      </w:tblGrid>
      <w:tr>
        <w:tc>
          <w:tcPr>
            <w:tcW w:type="dxa" w:w="4224"/>
            <w:shd w:fill="D9E2F3"/>
          </w:tcPr>
          <w:p>
            <w:pPr>
              <w:spacing w:line="240" w:lineRule="auto" w:after="40"/>
            </w:pPr>
            <w:r>
              <w:rPr>
                <w:rFonts w:ascii="Times New Roman" w:hAnsi="Times New Roman"/>
                <w:sz w:val="18"/>
              </w:rPr>
              <w:t>Internal Examiner</w:t>
            </w:r>
          </w:p>
        </w:tc>
        <w:tc>
          <w:tcPr>
            <w:tcW w:type="dxa" w:w="4224"/>
            <w:shd w:fill="D9E2F3"/>
          </w:tcPr>
          <w:p>
            <w:pPr>
              <w:spacing w:line="240" w:lineRule="auto" w:after="40"/>
            </w:pPr>
            <w:r>
              <w:rPr>
                <w:rFonts w:ascii="Times New Roman" w:hAnsi="Times New Roman"/>
                <w:sz w:val="18"/>
              </w:rPr>
              <w:t>External Examiner</w:t>
            </w:r>
          </w:p>
        </w:tc>
      </w:tr>
      <w:tr>
        <w:tc>
          <w:tcPr>
            <w:tcW w:type="dxa" w:w="4224"/>
          </w:tcPr>
          <w:p>
            <w:pPr>
              <w:spacing w:line="240" w:lineRule="auto" w:after="40"/>
            </w:pPr>
            <w:r>
              <w:rPr>
                <w:rFonts w:ascii="Times New Roman" w:hAnsi="Times New Roman"/>
                <w:sz w:val="18"/>
              </w:rPr>
              <w:t>Name: __________________</w:t>
            </w:r>
          </w:p>
        </w:tc>
        <w:tc>
          <w:tcPr>
            <w:tcW w:type="dxa" w:w="4224"/>
          </w:tcPr>
          <w:p>
            <w:pPr>
              <w:spacing w:line="240" w:lineRule="auto" w:after="40"/>
            </w:pPr>
            <w:r>
              <w:rPr>
                <w:rFonts w:ascii="Times New Roman" w:hAnsi="Times New Roman"/>
                <w:sz w:val="18"/>
              </w:rPr>
              <w:t>Name: __________________</w:t>
            </w:r>
          </w:p>
        </w:tc>
      </w:tr>
      <w:tr>
        <w:tc>
          <w:tcPr>
            <w:tcW w:type="dxa" w:w="4224"/>
          </w:tcPr>
          <w:p>
            <w:pPr>
              <w:spacing w:line="240" w:lineRule="auto" w:after="40"/>
            </w:pPr>
            <w:r>
              <w:rPr>
                <w:rFonts w:ascii="Times New Roman" w:hAnsi="Times New Roman"/>
                <w:sz w:val="18"/>
              </w:rPr>
              <w:t>Signature: ______________</w:t>
            </w:r>
          </w:p>
        </w:tc>
        <w:tc>
          <w:tcPr>
            <w:tcW w:type="dxa" w:w="4224"/>
          </w:tcPr>
          <w:p>
            <w:pPr>
              <w:spacing w:line="240" w:lineRule="auto" w:after="40"/>
            </w:pPr>
            <w:r>
              <w:rPr>
                <w:rFonts w:ascii="Times New Roman" w:hAnsi="Times New Roman"/>
                <w:sz w:val="18"/>
              </w:rPr>
              <w:t>Signature: ______________</w:t>
            </w:r>
          </w:p>
        </w:tc>
      </w:tr>
      <w:tr>
        <w:tc>
          <w:tcPr>
            <w:tcW w:type="dxa" w:w="4224"/>
          </w:tcPr>
          <w:p>
            <w:pPr>
              <w:spacing w:line="240" w:lineRule="auto" w:after="40"/>
            </w:pPr>
            <w:r>
              <w:rPr>
                <w:rFonts w:ascii="Times New Roman" w:hAnsi="Times New Roman"/>
                <w:sz w:val="18"/>
              </w:rPr>
              <w:t>Date: __________________</w:t>
            </w:r>
          </w:p>
        </w:tc>
        <w:tc>
          <w:tcPr>
            <w:tcW w:type="dxa" w:w="4224"/>
          </w:tcPr>
          <w:p>
            <w:pPr>
              <w:spacing w:line="240" w:lineRule="auto" w:after="40"/>
            </w:pPr>
            <w:r>
              <w:rPr>
                <w:rFonts w:ascii="Times New Roman" w:hAnsi="Times New Roman"/>
                <w:sz w:val="18"/>
              </w:rPr>
              <w:t>Date: __________________</w:t>
            </w:r>
          </w:p>
        </w:tc>
      </w:tr>
    </w:tbl>
    <w:p>
      <w:r>
        <w:br w:type="page"/>
      </w:r>
    </w:p>
    <w:p>
      <w:pPr>
        <w:pStyle w:val="Title"/>
      </w:pPr>
      <w:r>
        <w:t>APPENDIX D - EXTENDED RESEARCH DESIGN AND ANALYTICAL PROTOCOL</w:t>
      </w:r>
    </w:p>
    <w:p>
      <w:pPr>
        <w:pStyle w:val="Heading1"/>
      </w:pPr>
      <w:r>
        <w:t>D.1 Research logic and analytical boundaries</w:t>
      </w:r>
    </w:p>
    <w:p>
      <w:r>
        <w:t>The research logic begins with a distinction between a forecasting question and a source-validity question. Forecasting asks whether historical observations contain useful information about later values under a defined geographic scope and horizon. Source validation asks what each observation represents and whether its meaning is stable over time. A high-volume dataset can support the first question while still having limitations for the second. Accordingly, statewide forecasting results in this project are not used as indirect proof of the Koyambedu series. This separation is essential because geographic aggregation can obscure local price differences and because the two source streams do not share an independently verified market definition.</w:t>
      </w:r>
    </w:p>
    <w:p>
      <w:r>
        <w:t>The study is retrospective and observational. Its estimates describe relationships in the supplied historical records under particular software implementations. They do not measure the effect of using a forecast on a buyer’s costs, and they do not identify causal drivers of commodity prices. Weather features, calendar variables and lagged prices can be useful predictors even when their causal interpretation is not established. The report therefore uses terms such as association, model contribution and recorded error, and avoids interpreting them as policy effects or guaranteed procurement savings.</w:t>
      </w:r>
    </w:p>
    <w:p>
      <w:r>
        <w:t>The practical unit of a procurement decision is more detailed than a commodity-day average. Buyers usually consider grade, supplier, quantity, delivery time, transport, payment terms and expected spoilage. The model series does not contain all these fields. A statewide price forecast can be a contextual signal, but it cannot by itself choose a supplier or determine an economically optimal purchase quantity. This difference defines the boundary between the current research prototype and a validated decision system.</w:t>
      </w:r>
    </w:p>
    <w:p>
      <w:pPr>
        <w:pStyle w:val="Heading1"/>
      </w:pPr>
      <w:r>
        <w:t>D.2 Study design matrix</w:t>
      </w:r>
    </w:p>
    <w:p>
      <w:r>
        <w:t>The descriptive component profiles sample size, dates, markets, commodities and completeness. Its output is a coverage statement rather than a population estimate of every Tamil Nadu transaction. Market counts indicate breadth of names represented in the filtered source, not equal coverage of each market or continuous daily trading for every commodity. Any comparison of markets should therefore include observation counts and date coverage rather than relying only on average prices.</w:t>
      </w:r>
    </w:p>
    <w:p>
      <w:r>
        <w:t>The predictive component estimates next-period prices from prior information. Its credibility depends on the order of splitting, the exact forecast horizon, feature construction and the handling of missing observations. Features must be available at the time a forecast would have been issued. Where rolling windows are used, they must exclude future values. A retrospective pipeline can inadvertently violate this rule if aggregation, imputation or feature calculation uses the full time series; the code should be audited to confirm temporal isolation.</w:t>
      </w:r>
    </w:p>
    <w:p>
      <w:r>
        <w:t>The interpretive component examines feature attribution within fitted tree models. This answers which inputs the fitted model used relatively strongly over the analysed data. It does not answer which intervention would change prices, nor does it establish that the feature will remain dominant in a later season. Repeated evaluation across time windows and sensitivity checks would show whether the ranking is stable.</w:t>
      </w:r>
    </w:p>
    <w:p>
      <w:r>
        <w:t>The source-assessment component considers whether local price information can be interpreted and applied to a defined market. It does not substitute for provider documentation or a prospective matched comparison. Source meaning and collection practice must be established before the information is treated as wholesale ground truth.</w:t>
      </w:r>
    </w:p>
    <w:p>
      <w:pPr>
        <w:pStyle w:val="Heading1"/>
      </w:pPr>
      <w:r>
        <w:t>D.3 Population, sample and unit of analysis</w:t>
      </w:r>
    </w:p>
    <w:p>
      <w:r>
        <w:t>The source population of interest is the stream of vegetable price observations represented in the local Agmarknet compilation. The analysed frame narrows this population to Tamil Nadu and eight selected commodities. The data include 414,388 filtered raw records, but a raw row is not necessarily a unique daily price for a commodity-market pair. Duplicate handling, market-specific coverage and field definitions should be verified from the raw schema. The project’s daily analytical table then aggregates information to 4,041 commodity-date rows, so the modelling sample is an aggregate series rather than a panel retaining every market as an independent unit.</w:t>
      </w:r>
    </w:p>
    <w:p>
      <w:r>
        <w:t>Aggregation changes the estimand. A forecast of a daily statewide summary represents the next value of that constructed summary under the pipeline’s aggregation rule. It is not a forecast for a randomly selected trader, a specific wholesale yard, or a buyer’s invoice. This distinction matters when interpreting an error percentage. A good aggregate forecast can coexist with large errors for particular markets; conversely, local volatility may be smoothed in the aggregate.</w:t>
      </w:r>
    </w:p>
    <w:p>
      <w:pPr>
        <w:pStyle w:val="Heading1"/>
      </w:pPr>
      <w:r>
        <w:t>D.4 Variable taxonomy and timing rules</w:t>
      </w:r>
    </w:p>
    <w:p>
      <w:r>
        <w:t>Outcome variables are the price measures used as targets by the modeling scripts. Their interpretation depends on the source field: a minimum, maximum, modal or average price can have different distributions and operational meaning. The project report treats the target as the pipeline’s reported price measure and recommends confirming this definition in the source metadata before future analysis. No target should be relabelled as a wholesale modal price unless the upstream documentation supports that description.</w:t>
      </w:r>
    </w:p>
    <w:p>
      <w:r>
        <w:t>Historical price predictors include lagged values and rolling summaries. A lag at one day means the prior available observation only if the series is complete and indexed on calendar days; otherwise, it may mean the prior trading observation. Rolling features also depend on the window convention and missing-day treatment. These choices should be explicit in code comments and the data dictionary because they alter the information presented to the model.</w:t>
      </w:r>
    </w:p>
    <w:p>
      <w:r>
        <w:t>Calendar predictors encode recurring timing, such as month, weekday or festival proximity. They capture regularities in the recorded sample but may also proxy for unmeasured supply and demand cycles. Weather predictors may represent Chennai conditions joined to a broader Tamil Nadu series. The spatial mismatch means that weather should be treated as a local proxy, not a statewide measurement. A future design should obtain weather observations at or near the relevant markets and record the join distance and source date.</w:t>
      </w:r>
    </w:p>
    <w:p>
      <w:r>
        <w:t>The as-of-time rule governs every predictor: a variable is eligible only if a buyer could know it at the forecast issue time. Realized weather values for the target date would constitute future information for a real-time forecast unless they are replaced with a weather forecast available then. This distinction is particularly important when the local weather file contains historical actuals that extend beyond a training cut-off.</w:t>
      </w:r>
    </w:p>
    <w:p>
      <w:pPr>
        <w:pStyle w:val="Heading1"/>
      </w:pPr>
      <w:r>
        <w:t>D.5 Data-quality control framework</w:t>
      </w:r>
    </w:p>
    <w:p>
      <w:r>
        <w:t>At field level, data checks should distinguish missing, zero, negative and unusually large values. Zero may be a valid code or a missing-value placeholder depending on the source. Negative prices would usually require investigation but should not be silently removed without checking semantics. Extreme values should be linked to original record identifiers, commodity, market, date and all source price fields. The Tomato value identified in the local EDA summary should be handled through this traceable review rather than an undocumented blanket exclusion.</w:t>
      </w:r>
    </w:p>
    <w:p>
      <w:r>
        <w:t>At time-series level, checks should identify gaps by commodity and market, abrupt changes in the number of reporting markets, repeated values that may signal stale feeds, and discontinuities around source or schema changes. A statewide aggregate can change because prices move or because the set of contributing markets changes. The number of markets contributing to each daily aggregate should therefore be stored alongside the price.</w:t>
      </w:r>
    </w:p>
    <w:p>
      <w:r>
        <w:t>At merge time, checks should validate key uniqueness, date alignment, units and join coverage. A weather join should report the proportion of price dates with weather values and identify whether a single Chennai series is copied across all markets. If a join multiplies rows, the pipeline should fail rather than silently alter the sample. These controls make the output reproducible and help distinguish genuine market movements from data-processing artifacts.</w:t>
      </w:r>
    </w:p>
    <w:p>
      <w:r>
        <w:br w:type="page"/>
      </w:r>
    </w:p>
    <w:p>
      <w:pPr>
        <w:pStyle w:val="Title"/>
      </w:pPr>
      <w:r>
        <w:t>APPENDIX E - EXTENDED MODEL VALIDATION AND FORECAST USE</w:t>
      </w:r>
    </w:p>
    <w:p>
      <w:pPr>
        <w:pStyle w:val="Heading1"/>
      </w:pPr>
      <w:r>
        <w:t>E.1 Why chronological validation is required</w:t>
      </w:r>
    </w:p>
    <w:p>
      <w:r>
        <w:t>Price forecasting is a temporal prediction task. A random train-test split can place later observations in training while earlier observations are used for testing, allowing information from the future to influence an apparent past prediction. Even when direct leakage is absent, random splits can place adjacent, highly similar dates in both sets and overstate how well a model handles a genuinely later period. A chronological split preserves the forecasting direction and better represents deployment, where only past observations are known.</w:t>
      </w:r>
    </w:p>
    <w:p>
      <w:r>
        <w:t>A single terminal holdout is useful as a first check but can be unusually easy or difficult depending on the period. Agricultural prices can exhibit seasonal cycles, abrupt supply changes and temporary spikes. Repeating the forecast from several historical cut-off dates provides a more informative distribution of errors. Each origin should use only observations available up to that date, produce a fixed forecast horizon and score predictions against the corresponding later observations.</w:t>
      </w:r>
    </w:p>
    <w:p>
      <w:r>
        <w:t>The saved pipeline contains more than one validation design. The static 90-day summaries, the seven-day block walk-forward result, and the expanding 30-day blocks should be presented as separate experiments. Averaging them into one leaderboard would imply equivalence that has not been established. The reported values in this report retain the run’s labels and are used to motivate a common future evaluation rather than to select a winner.</w:t>
      </w:r>
    </w:p>
    <w:p>
      <w:pPr>
        <w:pStyle w:val="Heading1"/>
      </w:pPr>
      <w:r>
        <w:t>E.2 Proposed common rolling-origin protocol</w:t>
      </w:r>
    </w:p>
    <w:p>
      <w:r>
        <w:t>For a future benchmark, define the forecast use case first. If a buyer plans one-week purchasing, the primary horizon should be seven days; if planning a month, use a separate 30-day horizon. Do not pool horizon-specific errors. Choose a minimum training history that permits the candidate seasonal structure to be estimated, then set a sequence of cut-off dates spaced by a week or month. At every origin, refit each candidate model from the same training dates and forecast the same target dates.</w:t>
      </w:r>
    </w:p>
    <w:p>
      <w:r>
        <w:t>All feature transformations should be fitted on the training slice only. Imputation parameters, scaling, commodity mappings and any data-driven thresholds must be learned without access to the test period. The target aggregation rule must remain identical across models. The benchmark should include simple persistence and seasonal-naive baselines, because a complex model is useful only if it adds value over straightforward rules that buyers can understand.</w:t>
      </w:r>
    </w:p>
    <w:p>
      <w:r>
        <w:t>For each commodity, report the number of scored days, MAE, RMSE and MAPE with clear zero/near-zero handling. Show the median error across origins as well as its range or interquartile interval. A pooled score should state whether it weights each date equally, each commodity equally or each unit of price equally. This prevents a high-volume series or a commodity with larger price magnitudes from silently dominating the overall result.</w:t>
      </w:r>
    </w:p>
    <w:p>
      <w:r>
        <w:t>After the benchmark is frozen, preserve the cut-off dates, model parameters, software versions and forecast files. Any subsequent tuning should use a separate development period or nested time-series procedure. This reduces the risk of repeatedly looking at the final holdout and tailoring choices to it.</w:t>
      </w:r>
    </w:p>
    <w:p>
      <w:pPr>
        <w:pStyle w:val="Heading1"/>
      </w:pPr>
      <w:r>
        <w:t>E.3 Interpreting the recorded MAPE values</w:t>
      </w:r>
    </w:p>
    <w:p>
      <w:r>
        <w:t>The recorded mean MAPE of 6.40% for XGBoost is the lowest value among the selected pipeline summaries, but it is not a universal estimate of future error. It is conditional on the processed sample, the feature set, the window design and the metric implementation. Because the SARIMA and Prophet summaries use a static 90-day holdout while tree models use expanding blocks, the numerical values do not represent an apples-to-apples comparison. The report therefore avoids the statement that XGBoost is proven best.</w:t>
      </w:r>
    </w:p>
    <w:p>
      <w:r>
        <w:t>MAPE has intuitive units but can become very large when actual values are close to zero. It is also asymmetric in practical interpretation: a percentage error on a low-priced commodity may have a small rupee consequence, while a similar percentage on a high-priced commodity may matter more to a buyer. A complete procurement evaluation should pair percentage error with rupee-denominated MAE and a buyer-weighted loss reflecting actual purchase volumes and the relative cost of under- versus over-forecasting.</w:t>
      </w:r>
    </w:p>
    <w:p>
      <w:r>
        <w:t>Aggregate means can conceal commodity-level weakness. The project output indicates that XGBoost has lower MAPE than Random Forest on six of eight commodities, with Beans and Onion as exceptions. This demonstrates why a single overall score should not determine deployment. Commodity-specific performance, data sufficiency and the consequence of errors should guide whether a model is enabled for a given item.</w:t>
      </w:r>
    </w:p>
    <w:p>
      <w:pPr>
        <w:pStyle w:val="Heading1"/>
      </w:pPr>
      <w:r>
        <w:t>E.4 Baselines, uncertainty and forecast presentation</w:t>
      </w:r>
    </w:p>
    <w:p>
      <w:r>
        <w:t>A useful benchmark begins with simple methods: last observation carried forward, recent moving average and seasonal-naive values where enough comparable history exists. These methods create a transparent performance floor. If a complex method does not outperform a baseline consistently across rolling origins, the simpler method may be safer and easier to maintain. Baselines also help detect whether a reported score is unusually strong because a series changes slowly.</w:t>
      </w:r>
    </w:p>
    <w:p>
      <w:r>
        <w:t>Point forecasts alone hide uncertainty. A buyer needs to know whether the forecast is stable or whether a wide range of future prices is plausible. Future work should estimate prediction intervals and assess their coverage: for example, whether a nominal interval contains the observed price at the expected rate across test dates. Interval width matters too; extremely wide intervals may be calibrated but not useful. The current project outputs do not establish calibrated intervals, so none are presented as such.</w:t>
      </w:r>
    </w:p>
    <w:p>
      <w:r>
        <w:t>Forecast displays should state the origin date, the last observed data date, the horizon, the target definition and the method. They should separate the actual historical value from the forecast and visually distinguish uncertainty. If the input data are stale or the target commodity mapping is uncertain, the system should display a data-quality status and withhold the action rather than produce a confident-looking recommendation.</w:t>
      </w:r>
    </w:p>
    <w:p>
      <w:pPr>
        <w:pStyle w:val="Heading1"/>
      </w:pPr>
      <w:r>
        <w:t>E.5 Error review and model monitoring</w:t>
      </w:r>
    </w:p>
    <w:p>
      <w:r>
        <w:t>An error review should inspect the largest absolute misses and identify whether they coincide with source gaps, unusual market coverage, sudden price shocks or a data-processing change. The review should retain both absolute and percentage error so small denominators do not dominate interpretation. Error categories should be recorded consistently and assigned to an owner for follow-up.</w:t>
      </w:r>
    </w:p>
    <w:p>
      <w:r>
        <w:t>In production, model performance can change as reporting markets, commodity grades or supply patterns shift. Monitoring should track data freshness, missingness, market counts, input ranges, forecast errors after outcomes arrive and the frequency of each decision action. A change in the input distribution is a warning to investigate, not automatic evidence that the model is wrong. Retraining should follow documented criteria and a fresh evaluation, not a calendar trigger alone.</w:t>
      </w:r>
    </w:p>
    <w:p>
      <w:r>
        <w:t>Every model release should have a version identifier and a rollback path. The system should preserve previous forecasts and the data state from which they were generated. Without that record, it is difficult to explain why a recommendation changed or to evaluate whether the system improved. The present local run provides a useful snapshot; the next iteration should make these artifacts a standard pipeline output.</w:t>
      </w:r>
    </w:p>
    <w:p>
      <w:pPr>
        <w:pStyle w:val="Heading1"/>
      </w:pPr>
      <w:r>
        <w:t>E.6 Diagnostic and implementation repairs</w:t>
      </w:r>
    </w:p>
    <w:p>
      <w:r>
        <w:t>The recorded Augmented Dickey-Fuller failure is an implementation error rather than evidence for or against stationarity. The script should be checked against the installed statsmodels return contract, with explicit handling of the statistic, p-value and critical values. A diagnostic should also record the sample size and any differencing or missing-value treatment. Even a successful stationarity test would not prove a forecasting model is appropriate; it is one diagnostic among several.</w:t>
      </w:r>
    </w:p>
    <w:p>
      <w:r>
        <w:t>SARIMA convergence warnings should be retained in model status and investigated through residual diagnostics, alternative initialization, parameter constraints and a reasonable search space. The system should not silently treat a warning run as equivalent to a clean fit. If a model fails, the fallback baseline and status should be explicit. The Prophet annual-seasonality warning suggests that annual terms should be disabled or interpreted cautiously when history is too short to estimate a stable yearly cycle.</w:t>
      </w:r>
    </w:p>
    <w:p>
      <w:r>
        <w:t>The feature-stage ₹100,000 cutoff requires a source-level audit. Review each affected row in context, compare it with related min/modal/max fields, verify units and determine whether the record is a valid extreme or a data error. If a robust cap or transformation is ultimately chosen, document its rationale and estimate its effect on both training coverage and forecast errors. The threshold should not be described as a validated market boundary unless independent evidence supports it.</w:t>
      </w:r>
    </w:p>
    <w:p>
      <w:pPr>
        <w:pStyle w:val="Heading1"/>
      </w:pPr>
      <w:r>
        <w:t>E.7 SHAP interpretation and stability</w:t>
      </w:r>
    </w:p>
    <w:p>
      <w:r>
        <w:t>The common top ranking for the 52-week relative-price-position feature indicates that recent historical position is informative to the fitted tree models. It may summarize several related signals, including level relative to the past year and recent market regime. Its prominence is consistent with autoregressive information being useful in short-horizon prices, but it does not identify a structural cause. A feature can be predictive because it proxies for unobserved variables or because of its correlation with other inputs.</w:t>
      </w:r>
    </w:p>
    <w:p>
      <w:r>
        <w:t>A robust interpretation should compare rankings across commodities, rolling-origin windows and model versions. It should examine direction and distribution of SHAP contributions, not only mean absolute importance. Dependence plots can show whether a feature’s contribution varies nonlinearly, but correlated predictors can make individual attributions unstable. Permutation checks on held-out periods can complement SHAP, provided that temporal structure and feature correlation are considered.</w:t>
      </w:r>
    </w:p>
    <w:p>
      <w:r>
        <w:t>Explainability should serve the buyer’s understanding rather than create a false impression of certainty. A concise explanation may say that a forecast is influenced by recent relative price position and recent lags, while noting that the model does not establish a causal mechanism. The system should avoid statements such as “weather caused the predicted increase” unless a causal study with an appropriate design supports that claim.</w:t>
      </w:r>
    </w:p>
    <w:p>
      <w:r>
        <w:br w:type="page"/>
      </w:r>
    </w:p>
    <w:p>
      <w:pPr>
        <w:pStyle w:val="Title"/>
      </w:pPr>
      <w:r>
        <w:t>APPENDIX F - KOYAMBEDU SOURCE VERIFICATION AND PROCUREMENT PILOT</w:t>
      </w:r>
    </w:p>
    <w:p>
      <w:pPr>
        <w:pStyle w:val="Heading1"/>
      </w:pPr>
      <w:r>
        <w:t>F.1 Source verification questions</w:t>
      </w:r>
    </w:p>
    <w:p>
      <w:r>
        <w:t>Before Koyambedu values are used as a procurement reference, the provider should identify the source of every observation and state whether it is collected directly, transcribed from another source, calculated, or displayed as an indicative price. The responsible organisation, collection channel and date on which the data were first published should be documented. If the provider cannot answer these questions, the series should remain a contextual reference and not be presented as an independently verified wholesale quote.</w:t>
      </w:r>
    </w:p>
    <w:p>
      <w:r>
        <w:t>The market definition should specify the physical market or trading area, whether the observation represents wholesale, retail or another segment, and whether the quote is observed at the market gate, a trader counter, an online storefront or a consumer listing. The data should state whether the displayed measure is a minimum, maximum, modal, mean or single quotation. “Price per kilogram” describes a unit but not the transaction concept.</w:t>
      </w:r>
    </w:p>
    <w:p>
      <w:r>
        <w:t>Commodity identity requires equivalent care. The provider should define local and common names, variety, grade, size, maturity, origin and packaging. A price for one grade of tomato is not necessarily comparable with another. If the source combines varieties or grades, the aggregation rule should be supplied. A change in naming or product mix may produce a time-series discontinuity even when individual prices are unchanged.</w:t>
      </w:r>
    </w:p>
    <w:p>
      <w:r>
        <w:t>Time information should include the observation date, time of collection, publication time, time zone and any rule for carrying forward a stale quote. A date-only history can conceal intraday variation or delayed updates. The provider should explain whether a value persists on non-trading days and how missing dates are distinguished from a market holiday or no report.</w:t>
      </w:r>
    </w:p>
    <w:p>
      <w:pPr>
        <w:pStyle w:val="Heading1"/>
      </w:pPr>
      <w:r>
        <w:t>F.2 Reconciliation plan for local comparisons</w:t>
      </w:r>
    </w:p>
    <w:p>
      <w:r>
        <w:t>A prospective reconciliation should collect the Koyambedu value and an independent wholesale reference on the same date, within a defined time window, for the same commodity grade and unit. It should record the exact outlet or market section and quote type. This turns a general comparison into a matched pair and allows differences to be interpreted fairly.</w:t>
      </w:r>
    </w:p>
    <w:p>
      <w:r>
        <w:t>The comparison log should retain the original published value, a copy or archived reference, publication timestamp, reporter or provider, market location and any range rather than a single point. When a report describes a range, the log should preserve both bounds and record whether the Koyambedu value lies within it. A range should not be converted to its midpoint without a predeclared reason.</w:t>
      </w:r>
    </w:p>
    <w:p>
      <w:r>
        <w:t>Reconciliation should span ordinary and volatile periods and cover all priority commodities, rather than selecting only dates where sources are readily available. The sample plan should be set before the values are inspected. Each unresolved mismatch should be classified as possible grade mismatch, time mismatch, market mismatch, unit conversion, transcription error or unexplained difference. Unexplained cases should remain visible in the final validation summary.</w:t>
      </w:r>
    </w:p>
    <w:p>
      <w:r>
        <w:t>The decision threshold for acceptance should be pre-registered with the guide and project stakeholders. It can specify tolerable absolute or relative differences and minimum matched coverage, but the threshold must reflect the intended procurement use and source variability. The current handful of retrospective checks is not enough to estimate such a threshold reliably, so this report does not invent an acceptance percentage.</w:t>
      </w:r>
    </w:p>
    <w:p>
      <w:pPr>
        <w:pStyle w:val="Heading1"/>
      </w:pPr>
      <w:r>
        <w:t>F.3 Handling missing and anomalous observations</w:t>
      </w:r>
    </w:p>
    <w:p>
      <w:r>
        <w:t>For historical charts, any imputation should be visually marked and documented. Carrying a previous price forward can make a line look stable when no observation was available; interpolation can imply knowledge of a path that was never observed. Imputed values should not be used as verified targets for model scoring. The preferred analytical representation is to preserve nulls and let methods that can handle gaps or a predeclared treatment operate transparently.</w:t>
      </w:r>
    </w:p>
    <w:p>
      <w:r>
        <w:t>Anomalous values should be traced to the source page and compared with adjacent dates, related commodities, and independent reports where available. If a correction is made, the original value should remain in an audit field with the correction reason and date. That version history makes it possible to reproduce analyses made before and after a correction.</w:t>
      </w:r>
    </w:p>
    <w:p>
      <w:pPr>
        <w:pStyle w:val="Heading1"/>
      </w:pPr>
      <w:r>
        <w:t>F.4 Prospective procurement pilot design</w:t>
      </w:r>
    </w:p>
    <w:p>
      <w:r>
        <w:t>A buyer pilot should begin with a decision protocol, not with a target savings claim. Define participating buyers, product grades, order cadence, minimum service level, typical purchase size and the decisions that the dashboard is allowed to inform. Decide whether the system is advisory only or whether buyers may follow a recommendation without additional approval. During the early phase, advice should be logged in parallel with normal practice so the system does not introduce unmeasured operational risk.</w:t>
      </w:r>
    </w:p>
    <w:p>
      <w:r>
        <w:t>The observation record should capture buyer, date and time, commodity, grade, quantity, supplier, quoted price, final invoice price, delivery cost, payment terms, rejected quantity, usable quantity, spoilage and any stockout. It should also record the forecast shown, data freshness, uncertainty, recommendation, buyer’s chosen action and reason for overriding it. Without these fields, it will be impossible to distinguish forecast quality from negotiation, supplier availability or execution effects.</w:t>
      </w:r>
    </w:p>
    <w:p>
      <w:r>
        <w:t>Where feasible, compare forecast-informed purchasing with a baseline over matched buyer-days or use a phased introduction. A simple before-after comparison can be confounded by season, supplier changes and broader market movements. The evaluation plan should therefore define a comparison group or matching strategy, retain the pre-intervention period and log factors that affect delivered cost. The academic guide should review the design before any buyer data are collected.</w:t>
      </w:r>
    </w:p>
    <w:p>
      <w:r>
        <w:t>Primary outcomes should include total delivered cost for equivalent usable quantity, spoilage-adjusted cost, stockout frequency and service level. Secondary measures can include forecast error, recommendation acceptance, override reasons and buyer time spent. A lower quoted price alone is not sufficient if transport, quality loss or stockouts increase. Results should report uncertainty and sample size, and should not claim causal benefit unless the design supports that conclusion.</w:t>
      </w:r>
    </w:p>
    <w:p>
      <w:pPr>
        <w:pStyle w:val="Heading1"/>
      </w:pPr>
      <w:r>
        <w:t>F.5 Procurement decision framework</w:t>
      </w:r>
    </w:p>
    <w:p>
      <w:r>
        <w:t>A transparent rule should connect a forecast to a decision only through explicit business assumptions. For a perishable item, relevant inputs include expected consumption, current usable stock, lead time, supplier reliability, remaining shelf life and the cost of a stockout. Price direction is one input among these. A forecast that prices may rise does not automatically imply an early purchase when the buyer has adequate stock or limited storage.</w:t>
      </w:r>
    </w:p>
    <w:p>
      <w:r>
        <w:t>An economic comparison can be expressed without assigning unsupported numerical values. Let expected total cost under the current purchasing policy be compared with expected total cost under a candidate policy. The latter includes purchase expenditure, delivery, holding, spoilage, shortage and transaction costs. Any claimed benefit is the difference between comparable policies under equivalent service requirements. The model currently lacks transaction and inventory fields to estimate this quantity; the equation is a design framework for future data collection, not a result of this study.</w:t>
      </w:r>
    </w:p>
    <w:p>
      <w:r>
        <w:t>Action thresholds should be calibrated on past data and reviewed with buyers. A HOLD action can mean that the forecast does not justify changing the normal replenishment cycle; it should not be interpreted as “do nothing” if stock is low. The user interface should make that distinction. Rules should be commodity-specific only when there is enough historical evidence and a clear business rationale for the difference.</w:t>
      </w:r>
    </w:p>
    <w:p>
      <w:r>
        <w:t>The decision layer should include an abstention state. It should withhold a directional recommendation when the latest data are stale, the prediction interval is too wide, source validation is incomplete, the model fails diagnostics or the observed input is outside the training range. An abstention is a valid system outcome and can protect the buyer from false precision.</w:t>
      </w:r>
    </w:p>
    <w:p>
      <w:pPr>
        <w:pStyle w:val="Heading1"/>
      </w:pPr>
      <w:r>
        <w:t>F.6 Pilot governance and participant protection</w:t>
      </w:r>
    </w:p>
    <w:p>
      <w:r>
        <w:t>Any buyer pilot should explain what information is collected, who can access it, how long it is retained and how results will be reported. Invoices and supplier terms can be commercially sensitive. Use unique study identifiers in analytical files, restrict identifiable data to approved personnel and aggregate results where possible. Participation should be voluntary and should not affect a buyer’s access to suppliers or the dashboard.</w:t>
      </w:r>
    </w:p>
    <w:p>
      <w:r>
        <w:t>The pilot should avoid promising financial gains. Participants should be told that the forecast is under evaluation and that they retain decision authority. If an action could materially change order size or stock levels, the buyer should follow existing internal controls. Adverse outcomes, including avoidable spoilage or missed purchases, should be recorded and reviewed rather than omitted from the evaluation.</w:t>
      </w:r>
    </w:p>
    <w:p>
      <w:r>
        <w:t>The academic project should seek any institutional or programme guidance required before collecting primary business records. Consent wording, data handling, access permissions and retention should be settled in advance. These steps make the work more credible and protect the businesses that provide evidence.</w:t>
      </w:r>
    </w:p>
    <w:p>
      <w:r>
        <w:br w:type="page"/>
      </w:r>
    </w:p>
    <w:p>
      <w:pPr>
        <w:pStyle w:val="Title"/>
      </w:pPr>
      <w:r>
        <w:t>APPENDIX G - IMPLEMENTATION, DASHBOARD AND GOVERNANCE SPECIFICATION</w:t>
      </w:r>
    </w:p>
    <w:p>
      <w:pPr>
        <w:pStyle w:val="Heading1"/>
      </w:pPr>
      <w:r>
        <w:t>G.1 System boundary and data flow</w:t>
      </w:r>
    </w:p>
    <w:p>
      <w:r>
        <w:t>The analytical system should be understood as a chain of controlled transformations. Source acquisition creates a dated copy of each input. Validation checks schema, units, dates, uniqueness and coverage. Preparation produces a documented daily target and feature table. Model fitting uses a frozen configuration and chronological training window. Forecast generation writes a dated output with uncertainty and diagnostics. The decision layer evaluates explicit rules and emits an action or abstention. The dashboard presents the outputs with source date and limitations. Each stage should write an auditable record so a user can trace an action back to the data and model that produced it.</w:t>
      </w:r>
    </w:p>
    <w:p>
      <w:r>
        <w:t>The current end-to-end run demonstrates that the scripts, data products and dashboard can be assembled locally. A repeatable research run is not yet the same as a continuously refreshed production service. Production would require scheduling, credential handling if protected sources are introduced, feed monitoring, error notification, data retention and an owner responsible for resolving failures. Until these are in place, users should treat the dashboard as a local analytical interface and not assume its values refresh automatically.</w:t>
      </w:r>
    </w:p>
    <w:p>
      <w:r>
        <w:t>Each transformation should have an explicit input contract and output contract. The contract should state the required columns, types, allowed commodity values, date range, unit, uniqueness key and behavior when the contract fails. A breaking schema change should stop the pipeline with a clear message rather than create partially valid features. The process should write a run manifest that records file hashes, row counts, versions and status for each step.</w:t>
      </w:r>
    </w:p>
    <w:p>
      <w:pPr>
        <w:pStyle w:val="Heading1"/>
      </w:pPr>
      <w:r>
        <w:t>G.2 Dashboard content requirements</w:t>
      </w:r>
    </w:p>
    <w:p>
      <w:r>
        <w:t>The first screen should state the scope in plain language: statewide Tamil Nadu analysis, selected commodities, last observed date and price definition. A visible data-freshness indicator should distinguish the latest observation date from the time the dashboard was opened. If the underlying series is not Koyambedu-specific, the screen should not label the result as a Koyambedu quote. Clear scope prevents a user from applying a state-level forecast to a single market without noticing the change in geography.</w:t>
      </w:r>
    </w:p>
    <w:p>
      <w:r>
        <w:t>Each commodity view should display the recent actual series, forecast horizon, forecast value or range, model identifier, training cut-off and quality status. The chart should visually distinguish observations from forecasts and show uncertainty if validated intervals become available. The view should include a compact statement of the current action rule and the reason it fired. It should also show when no action is recommended and explain why the system is abstaining.</w:t>
      </w:r>
    </w:p>
    <w:p>
      <w:r>
        <w:t>Users should be able to inspect source coverage and important caveats without leaving the workflow. A data-quality panel can show missingness, outlier flags and the number of markets contributing to the daily aggregate. It should not overwhelm the decision screen; concise summaries can link to a detailed audit table. Exported reports should retain the date of generation and carry the same scope and limitation notes as the screen.</w:t>
      </w:r>
    </w:p>
    <w:p>
      <w:r>
        <w:t>Interaction controls should not silently alter the statistical target. Commodity selection and date filters are appropriate; an aggregation option should describe how it changes the value. If the dashboard permits an alternative model or time horizon, it should show the evaluation evidence for that option and avoid presenting an unvalidated combination as production-ready. Every control that changes a result should be reproducible from saved parameters.</w:t>
      </w:r>
    </w:p>
    <w:p>
      <w:pPr>
        <w:pStyle w:val="Heading1"/>
      </w:pPr>
      <w:r>
        <w:t>G.3 Decision and safety controls</w:t>
      </w:r>
    </w:p>
    <w:p>
      <w:r>
        <w:t>The current rule output has all eight commodities at HOLD. That should be interpreted as no change under the implemented rule, not as a conclusion that prices are stable, procurement is unnecessary or stock is adequate. The user’s inventory position is not included. The dashboard should state which variables the rule does and does not use, so users do not assume the action reflects stock or supplier conditions.</w:t>
      </w:r>
    </w:p>
    <w:p>
      <w:r>
        <w:t>A recommendation should include an explanation in terms of measurable inputs and a rule identifier. For example, the system can state that a threshold was not crossed or that forecast uncertainty prevented a directional signal. It should avoid generic text such as “buy now” unless the supporting rule, horizon and evidence have been reviewed. Advice should be phrased as an analytical signal requiring buyer judgment, especially while the model remains in retrospective evaluation.</w:t>
      </w:r>
    </w:p>
    <w:p>
      <w:r>
        <w:t>Access to manual overrides is useful, but overrides should be logged with user, time and reason. A log enables future evaluation of whether users rejected recommendations because of known operational facts or because the system was hard to interpret. Manual input should not retroactively alter the stored forecast. The forecast and the actual decision should remain separate records.</w:t>
      </w:r>
    </w:p>
    <w:p>
      <w:r>
        <w:t>If a data or model check fails, the dashboard should clearly identify the affected commodity and display the last valid date. It should not quietly reuse a stale value without labeling it. A visible warning is preferable to a precise-looking number whose inputs are no longer current.</w:t>
      </w:r>
    </w:p>
    <w:p>
      <w:pPr>
        <w:pStyle w:val="Heading1"/>
      </w:pPr>
      <w:r>
        <w:t>G.4 Model release and change management</w:t>
      </w:r>
    </w:p>
    <w:p>
      <w:r>
        <w:t>A candidate model should move through distinct stages: development, retrospective validation, shadow operation, limited pilot and monitored use. In development, analysts can tune features and parameters. In retrospective validation, the evaluation protocol is frozen. Shadow operation records forecasts without influencing purchases. A limited pilot evaluates the human workflow and realized outcomes with safeguards. Broader use should follow documented acceptance criteria approved by the project owner and guide.</w:t>
      </w:r>
    </w:p>
    <w:p>
      <w:r>
        <w:t>Every release should have a model card describing its intended use, geography, commodities, target, horizon, training dates, evaluation design, known limitations and contact owner. The card should include the exact package versions and the source data snapshot or hashes. A release should also carry a change log that explains alterations in feature engineering, thresholds and decision rules.</w:t>
      </w:r>
    </w:p>
    <w:p>
      <w:r>
        <w:t>Rollback should be possible if a new version fails a data check, degrades on the agreed monitoring metric or produces implausible outputs. The prior model and its outputs should be retained rather than overwritten. A rollback trigger should be established before deployment so that the response does not depend on informal judgment after a poor outcome.</w:t>
      </w:r>
    </w:p>
    <w:p>
      <w:r>
        <w:t>Changes to source definitions deserve the same care as model changes. A revised unit, product name, market coverage or quote type can invalidate historical comparability. Such changes should create a new data version and may require a new training series. The dashboard should communicate when a source revision affects continuity.</w:t>
      </w:r>
    </w:p>
    <w:p>
      <w:pPr>
        <w:pStyle w:val="Heading1"/>
      </w:pPr>
      <w:r>
        <w:t>G.5 Project implementation sequence</w:t>
      </w:r>
    </w:p>
    <w:p>
      <w:r>
        <w:t>Phase one is evidence hardening. Confirm dataset provenance and licenses, verify the outcome field and units, review duplicates and extremes, repair diagnostics and document the aggregation rule. The deliverable is a versioned analysis dataset with a quality report. This phase should not optimize a procurement rule until the target and source meaning are clear.</w:t>
      </w:r>
    </w:p>
    <w:p>
      <w:r>
        <w:t>Phase two is benchmark repair. Freeze the common rolling-origin evaluation plan, implement the seasonal-naive and persistence baselines, align all candidate methods on the same cut-offs and horizons, and report per-commodity metrics. Review prediction intervals and error cases. The deliverable is a model comparison that can support a defensible choice or show that a simple baseline is adequate.</w:t>
      </w:r>
    </w:p>
    <w:p>
      <w:r>
        <w:t>Phase three is Koyambedu verification. Obtain provider documentation, create a matched prospective comparison, and record grade, market, time and quote type. Set an acceptance criterion with the guide before analysis. The outcome may be acceptance, conditional use or rejection for wholesale decisions; all three are valid evidence-based conclusions.</w:t>
      </w:r>
    </w:p>
    <w:p>
      <w:r>
        <w:t>Phase four is buyer workflow design. Interview or consult intended users, define the purchase decision and service constraints, prototype explanation text, and test whether users understand the signal and limitations. The system should remain in shadow mode while interface defects and rule inconsistencies are corrected.</w:t>
      </w:r>
    </w:p>
    <w:p>
      <w:r>
        <w:t>Phase five is outcome evaluation. Run a prospective pilot with a predefined comparator and collect transaction, delivery, quality and inventory outcomes. Estimate effect only if the design supports it. If evidence is inconclusive, extend the study or narrow the claim; do not turn an uncertain estimate into a savings promise.</w:t>
      </w:r>
    </w:p>
    <w:p>
      <w:pPr>
        <w:pStyle w:val="Heading1"/>
      </w:pPr>
      <w:r>
        <w:t>G.6 Operational ownership and governance</w:t>
      </w:r>
    </w:p>
    <w:p>
      <w:r>
        <w:t>A named data owner should be responsible for source permission, retrieval, schema changes and issue escalation. A model owner should maintain code, evaluation and release records. A business owner should define how actions relate to purchasing constraints and who approves exceptions. These roles can be held by a small project team, but responsibilities should be explicit so that a technical forecast is not mistaken for an approved purchase instruction.</w:t>
      </w:r>
    </w:p>
    <w:p>
      <w:r>
        <w:t>Governance should include a periodic review of model usefulness, input quality and user overrides. The review should consider performance by commodity and season, not only a pooled score. It should document whether a model continues to serve the intended geographic scope. If market coverage changes or the Koyambedu source is validated later, that should trigger a formal scope revision rather than an informal relabeling.</w:t>
      </w:r>
    </w:p>
    <w:p>
      <w:r>
        <w:t>When the system is used for academic demonstration, the user interface should identify the analysis date and the secondary nature of the evidence. It should not hide material caveats in a separate appendix. A short explanation at the point of use protects users from assuming that model output is a direct observation or a guarantee.</w:t>
      </w:r>
    </w:p>
    <w:p>
      <w:r>
        <w:br w:type="page"/>
      </w:r>
    </w:p>
    <w:p>
      <w:pPr>
        <w:pStyle w:val="Title"/>
      </w:pPr>
      <w:r>
        <w:t>APPENDIX H - RESEARCH INSTRUMENTS AND QUALITY TEMPLATES</w:t>
      </w:r>
    </w:p>
    <w:p>
      <w:pPr>
        <w:pStyle w:val="Heading1"/>
      </w:pPr>
      <w:r>
        <w:t>H.1 Source registration form</w:t>
      </w:r>
    </w:p>
    <w:p>
      <w:r>
        <w:t>Every source entering a repeat run should have a registration record. The record should be completed before processing begins and revised only through a documented change. It supports traceability and ensures the analyst does not infer a measurement definition from a column label alone. The form below is a project control template, not a claim that all fields have already been verified.</w:t>
      </w:r>
    </w:p>
    <w:tbl>
      <w:tblPr>
        <w:tblStyle w:val="TableGrid"/>
        <w:tblW w:type="auto" w:w="0"/>
        <w:tblLook w:firstColumn="1" w:firstRow="1" w:lastColumn="0" w:lastRow="0" w:noHBand="0" w:noVBand="1" w:val="04A0"/>
      </w:tblPr>
      <w:tblGrid>
        <w:gridCol w:w="4224"/>
        <w:gridCol w:w="4224"/>
      </w:tblGrid>
      <w:tr>
        <w:tc>
          <w:tcPr>
            <w:tcW w:type="dxa" w:w="4224"/>
          </w:tcPr>
          <w:p>
            <w:pPr>
              <w:spacing w:line="240" w:lineRule="auto"/>
            </w:pPr>
            <w:r>
              <w:rPr>
                <w:sz w:val="18"/>
              </w:rPr>
              <w:t>Field</w:t>
            </w:r>
          </w:p>
        </w:tc>
        <w:tc>
          <w:tcPr>
            <w:tcW w:type="dxa" w:w="4224"/>
          </w:tcPr>
          <w:p>
            <w:pPr>
              <w:spacing w:line="240" w:lineRule="auto"/>
            </w:pPr>
            <w:r>
              <w:rPr>
                <w:sz w:val="18"/>
              </w:rPr>
              <w:t>Entry to capture</w:t>
            </w:r>
          </w:p>
        </w:tc>
      </w:tr>
      <w:tr>
        <w:tc>
          <w:tcPr>
            <w:tcW w:type="dxa" w:w="4224"/>
          </w:tcPr>
          <w:p>
            <w:pPr>
              <w:spacing w:line="240" w:lineRule="auto"/>
            </w:pPr>
            <w:r>
              <w:rPr>
                <w:sz w:val="18"/>
              </w:rPr>
              <w:t>Source name / provider</w:t>
            </w:r>
          </w:p>
        </w:tc>
        <w:tc>
          <w:tcPr>
            <w:tcW w:type="dxa" w:w="4224"/>
          </w:tcPr>
          <w:p>
            <w:pPr>
              <w:spacing w:line="240" w:lineRule="auto"/>
            </w:pPr>
            <w:r>
              <w:rPr>
                <w:sz w:val="18"/>
              </w:rPr>
            </w:r>
          </w:p>
        </w:tc>
      </w:tr>
      <w:tr>
        <w:tc>
          <w:tcPr>
            <w:tcW w:type="dxa" w:w="4224"/>
          </w:tcPr>
          <w:p>
            <w:pPr>
              <w:spacing w:line="240" w:lineRule="auto"/>
            </w:pPr>
            <w:r>
              <w:rPr>
                <w:sz w:val="18"/>
              </w:rPr>
              <w:t>Source URL or local path</w:t>
            </w:r>
          </w:p>
        </w:tc>
        <w:tc>
          <w:tcPr>
            <w:tcW w:type="dxa" w:w="4224"/>
          </w:tcPr>
          <w:p>
            <w:pPr>
              <w:spacing w:line="240" w:lineRule="auto"/>
            </w:pPr>
            <w:r>
              <w:rPr>
                <w:sz w:val="18"/>
              </w:rPr>
            </w:r>
          </w:p>
        </w:tc>
      </w:tr>
      <w:tr>
        <w:tc>
          <w:tcPr>
            <w:tcW w:type="dxa" w:w="4224"/>
          </w:tcPr>
          <w:p>
            <w:pPr>
              <w:spacing w:line="240" w:lineRule="auto"/>
            </w:pPr>
            <w:r>
              <w:rPr>
                <w:sz w:val="18"/>
              </w:rPr>
              <w:t>Retrieval date and time</w:t>
            </w:r>
          </w:p>
        </w:tc>
        <w:tc>
          <w:tcPr>
            <w:tcW w:type="dxa" w:w="4224"/>
          </w:tcPr>
          <w:p>
            <w:pPr>
              <w:spacing w:line="240" w:lineRule="auto"/>
            </w:pPr>
            <w:r>
              <w:rPr>
                <w:sz w:val="18"/>
              </w:rPr>
            </w:r>
          </w:p>
        </w:tc>
      </w:tr>
      <w:tr>
        <w:tc>
          <w:tcPr>
            <w:tcW w:type="dxa" w:w="4224"/>
          </w:tcPr>
          <w:p>
            <w:pPr>
              <w:spacing w:line="240" w:lineRule="auto"/>
            </w:pPr>
            <w:r>
              <w:rPr>
                <w:sz w:val="18"/>
              </w:rPr>
              <w:t>Owner and permission status</w:t>
            </w:r>
          </w:p>
        </w:tc>
        <w:tc>
          <w:tcPr>
            <w:tcW w:type="dxa" w:w="4224"/>
          </w:tcPr>
          <w:p>
            <w:pPr>
              <w:spacing w:line="240" w:lineRule="auto"/>
            </w:pPr>
            <w:r>
              <w:rPr>
                <w:sz w:val="18"/>
              </w:rPr>
            </w:r>
          </w:p>
        </w:tc>
      </w:tr>
      <w:tr>
        <w:tc>
          <w:tcPr>
            <w:tcW w:type="dxa" w:w="4224"/>
          </w:tcPr>
          <w:p>
            <w:r>
              <w:t>Unit / target definition</w:t>
            </w:r>
          </w:p>
        </w:tc>
        <w:tc>
          <w:tcPr>
            <w:tcW w:type="dxa" w:w="4224"/>
          </w:tcPr>
          <w:p>
            <w:pPr>
              <w:spacing w:line="240" w:lineRule="auto"/>
            </w:pPr>
            <w:r>
              <w:rPr>
                <w:sz w:val="18"/>
              </w:rPr>
            </w:r>
          </w:p>
        </w:tc>
      </w:tr>
      <w:tr>
        <w:tc>
          <w:tcPr>
            <w:tcW w:type="dxa" w:w="4224"/>
          </w:tcPr>
          <w:p>
            <w:pPr>
              <w:spacing w:line="240" w:lineRule="auto"/>
            </w:pPr>
            <w:r>
              <w:rPr>
                <w:sz w:val="18"/>
              </w:rPr>
              <w:t>Market and geography</w:t>
            </w:r>
          </w:p>
        </w:tc>
        <w:tc>
          <w:tcPr>
            <w:tcW w:type="dxa" w:w="4224"/>
          </w:tcPr>
          <w:p>
            <w:pPr>
              <w:spacing w:line="240" w:lineRule="auto"/>
            </w:pPr>
            <w:r>
              <w:rPr>
                <w:sz w:val="18"/>
              </w:rPr>
            </w:r>
          </w:p>
        </w:tc>
      </w:tr>
      <w:tr>
        <w:tc>
          <w:tcPr>
            <w:tcW w:type="dxa" w:w="4224"/>
          </w:tcPr>
          <w:p>
            <w:pPr>
              <w:spacing w:line="240" w:lineRule="auto"/>
            </w:pPr>
            <w:r>
              <w:rPr>
                <w:sz w:val="18"/>
              </w:rPr>
              <w:t>Commodity / grade mapping</w:t>
            </w:r>
          </w:p>
        </w:tc>
        <w:tc>
          <w:tcPr>
            <w:tcW w:type="dxa" w:w="4224"/>
          </w:tcPr>
          <w:p>
            <w:pPr>
              <w:spacing w:line="240" w:lineRule="auto"/>
            </w:pPr>
            <w:r>
              <w:rPr>
                <w:sz w:val="18"/>
              </w:rPr>
            </w:r>
          </w:p>
        </w:tc>
      </w:tr>
      <w:tr>
        <w:tc>
          <w:tcPr>
            <w:tcW w:type="dxa" w:w="4224"/>
          </w:tcPr>
          <w:p>
            <w:pPr>
              <w:spacing w:line="240" w:lineRule="auto"/>
            </w:pPr>
            <w:r>
              <w:rPr>
                <w:sz w:val="18"/>
              </w:rPr>
              <w:t>Update frequency and publication lag</w:t>
            </w:r>
          </w:p>
        </w:tc>
        <w:tc>
          <w:tcPr>
            <w:tcW w:type="dxa" w:w="4224"/>
          </w:tcPr>
          <w:p>
            <w:pPr>
              <w:spacing w:line="240" w:lineRule="auto"/>
            </w:pPr>
            <w:r>
              <w:rPr>
                <w:sz w:val="18"/>
              </w:rPr>
            </w:r>
          </w:p>
        </w:tc>
      </w:tr>
      <w:tr>
        <w:tc>
          <w:tcPr>
            <w:tcW w:type="dxa" w:w="4224"/>
          </w:tcPr>
          <w:p>
            <w:pPr>
              <w:spacing w:line="240" w:lineRule="auto"/>
            </w:pPr>
            <w:r>
              <w:rPr>
                <w:sz w:val="18"/>
              </w:rPr>
              <w:t>File hash and source version</w:t>
            </w:r>
          </w:p>
        </w:tc>
        <w:tc>
          <w:tcPr>
            <w:tcW w:type="dxa" w:w="4224"/>
          </w:tcPr>
          <w:p>
            <w:pPr>
              <w:spacing w:line="240" w:lineRule="auto"/>
            </w:pPr>
            <w:r>
              <w:rPr>
                <w:sz w:val="18"/>
              </w:rPr>
            </w:r>
          </w:p>
        </w:tc>
      </w:tr>
      <w:tr>
        <w:tc>
          <w:tcPr>
            <w:tcW w:type="dxa" w:w="4224"/>
          </w:tcPr>
          <w:p>
            <w:pPr>
              <w:spacing w:line="240" w:lineRule="auto"/>
            </w:pPr>
            <w:r>
              <w:rPr>
                <w:sz w:val="18"/>
              </w:rPr>
              <w:t>Known transformations upstream</w:t>
            </w:r>
          </w:p>
        </w:tc>
        <w:tc>
          <w:tcPr>
            <w:tcW w:type="dxa" w:w="4224"/>
          </w:tcPr>
          <w:p>
            <w:pPr>
              <w:spacing w:line="240" w:lineRule="auto"/>
            </w:pPr>
            <w:r>
              <w:rPr>
                <w:sz w:val="18"/>
              </w:rPr>
            </w:r>
          </w:p>
        </w:tc>
      </w:tr>
    </w:tbl>
    <w:p>
      <w:pPr>
        <w:pStyle w:val="Heading1"/>
      </w:pPr>
      <w:r>
        <w:t>H.2 Raw-data inspection checklist</w:t>
      </w:r>
    </w:p>
    <w:p>
      <w:r>
        <w:t>An inspection checklist provides a consistent review before feature construction. It should be saved with the run, including checks that pass and checks that require action. A failed check should identify the affected field, number of records, example identifiers and resolution status. If no correction is appropriate, the reason for retaining the records should also be recorded.</w:t>
      </w:r>
    </w:p>
    <w:tbl>
      <w:tblPr>
        <w:tblStyle w:val="TableGrid"/>
        <w:tblW w:type="auto" w:w="0"/>
        <w:tblLook w:firstColumn="1" w:firstRow="1" w:lastColumn="0" w:lastRow="0" w:noHBand="0" w:noVBand="1" w:val="04A0"/>
      </w:tblPr>
      <w:tblGrid>
        <w:gridCol w:w="2816"/>
        <w:gridCol w:w="2816"/>
        <w:gridCol w:w="2816"/>
      </w:tblGrid>
      <w:tr>
        <w:tc>
          <w:tcPr>
            <w:tcW w:type="dxa" w:w="2816"/>
          </w:tcPr>
          <w:p>
            <w:pPr>
              <w:spacing w:line="240" w:lineRule="auto"/>
            </w:pPr>
            <w:r>
              <w:rPr>
                <w:sz w:val="18"/>
              </w:rPr>
              <w:t>Check</w:t>
            </w:r>
          </w:p>
        </w:tc>
        <w:tc>
          <w:tcPr>
            <w:tcW w:type="dxa" w:w="2816"/>
          </w:tcPr>
          <w:p>
            <w:pPr>
              <w:spacing w:line="240" w:lineRule="auto"/>
            </w:pPr>
            <w:r>
              <w:rPr>
                <w:sz w:val="18"/>
              </w:rPr>
              <w:t>Evidence recorded</w:t>
            </w:r>
          </w:p>
        </w:tc>
        <w:tc>
          <w:tcPr>
            <w:tcW w:type="dxa" w:w="2816"/>
          </w:tcPr>
          <w:p>
            <w:pPr>
              <w:spacing w:line="240" w:lineRule="auto"/>
            </w:pPr>
            <w:r>
              <w:rPr>
                <w:sz w:val="18"/>
              </w:rPr>
              <w:t>Pass / follow-up</w:t>
            </w:r>
          </w:p>
        </w:tc>
      </w:tr>
      <w:tr>
        <w:tc>
          <w:tcPr>
            <w:tcW w:type="dxa" w:w="2816"/>
          </w:tcPr>
          <w:p>
            <w:pPr>
              <w:spacing w:line="240" w:lineRule="auto"/>
            </w:pPr>
            <w:r>
              <w:rPr>
                <w:sz w:val="18"/>
              </w:rPr>
              <w:t>File readable; schema matches contract</w:t>
            </w:r>
          </w:p>
        </w:tc>
        <w:tc>
          <w:tcPr>
            <w:tcW w:type="dxa" w:w="2816"/>
          </w:tcPr>
          <w:p>
            <w:pPr>
              <w:spacing w:line="240" w:lineRule="auto"/>
            </w:pPr>
            <w:r>
              <w:rPr>
                <w:sz w:val="18"/>
              </w:rPr>
              <w:t>Columns, types, file hash</w:t>
            </w:r>
          </w:p>
        </w:tc>
        <w:tc>
          <w:tcPr>
            <w:tcW w:type="dxa" w:w="2816"/>
          </w:tcPr>
          <w:p>
            <w:pPr>
              <w:spacing w:line="240" w:lineRule="auto"/>
            </w:pPr>
            <w:r>
              <w:rPr>
                <w:sz w:val="18"/>
              </w:rPr>
            </w:r>
          </w:p>
        </w:tc>
      </w:tr>
      <w:tr>
        <w:tc>
          <w:tcPr>
            <w:tcW w:type="dxa" w:w="2816"/>
          </w:tcPr>
          <w:p>
            <w:pPr>
              <w:spacing w:line="240" w:lineRule="auto"/>
            </w:pPr>
            <w:r>
              <w:rPr>
                <w:sz w:val="18"/>
              </w:rPr>
              <w:t>Dates parse and fall in expected range</w:t>
            </w:r>
          </w:p>
        </w:tc>
        <w:tc>
          <w:tcPr>
            <w:tcW w:type="dxa" w:w="2816"/>
          </w:tcPr>
          <w:p>
            <w:pPr>
              <w:spacing w:line="240" w:lineRule="auto"/>
            </w:pPr>
            <w:r>
              <w:rPr>
                <w:sz w:val="18"/>
              </w:rPr>
              <w:t>Min/max and invalid count</w:t>
            </w:r>
          </w:p>
        </w:tc>
        <w:tc>
          <w:tcPr>
            <w:tcW w:type="dxa" w:w="2816"/>
          </w:tcPr>
          <w:p>
            <w:pPr>
              <w:spacing w:line="240" w:lineRule="auto"/>
            </w:pPr>
            <w:r>
              <w:rPr>
                <w:sz w:val="18"/>
              </w:rPr>
            </w:r>
          </w:p>
        </w:tc>
      </w:tr>
      <w:tr>
        <w:tc>
          <w:tcPr>
            <w:tcW w:type="dxa" w:w="2816"/>
          </w:tcPr>
          <w:p>
            <w:pPr>
              <w:spacing w:line="240" w:lineRule="auto"/>
            </w:pPr>
            <w:r>
              <w:rPr>
                <w:sz w:val="18"/>
              </w:rPr>
              <w:t>Observation keys are unique or duplicates explained</w:t>
            </w:r>
          </w:p>
        </w:tc>
        <w:tc>
          <w:tcPr>
            <w:tcW w:type="dxa" w:w="2816"/>
          </w:tcPr>
          <w:p>
            <w:pPr>
              <w:spacing w:line="240" w:lineRule="auto"/>
            </w:pPr>
            <w:r>
              <w:rPr>
                <w:sz w:val="18"/>
              </w:rPr>
              <w:t>Duplicate key count</w:t>
            </w:r>
          </w:p>
        </w:tc>
        <w:tc>
          <w:tcPr>
            <w:tcW w:type="dxa" w:w="2816"/>
          </w:tcPr>
          <w:p>
            <w:pPr>
              <w:spacing w:line="240" w:lineRule="auto"/>
            </w:pPr>
            <w:r>
              <w:rPr>
                <w:sz w:val="18"/>
              </w:rPr>
            </w:r>
          </w:p>
        </w:tc>
      </w:tr>
      <w:tr>
        <w:tc>
          <w:tcPr>
            <w:tcW w:type="dxa" w:w="2816"/>
          </w:tcPr>
          <w:p>
            <w:pPr>
              <w:spacing w:line="240" w:lineRule="auto"/>
            </w:pPr>
            <w:r>
              <w:rPr>
                <w:sz w:val="18"/>
              </w:rPr>
              <w:t>Price values numeric and units documented</w:t>
            </w:r>
          </w:p>
        </w:tc>
        <w:tc>
          <w:tcPr>
            <w:tcW w:type="dxa" w:w="2816"/>
          </w:tcPr>
          <w:p>
            <w:pPr>
              <w:spacing w:line="240" w:lineRule="auto"/>
            </w:pPr>
            <w:r>
              <w:rPr>
                <w:sz w:val="18"/>
              </w:rPr>
              <w:t>Invalid, zero, negative counts</w:t>
            </w:r>
          </w:p>
        </w:tc>
        <w:tc>
          <w:tcPr>
            <w:tcW w:type="dxa" w:w="2816"/>
          </w:tcPr>
          <w:p>
            <w:pPr>
              <w:spacing w:line="240" w:lineRule="auto"/>
            </w:pPr>
            <w:r>
              <w:rPr>
                <w:sz w:val="18"/>
              </w:rPr>
            </w:r>
          </w:p>
        </w:tc>
      </w:tr>
      <w:tr>
        <w:tc>
          <w:tcPr>
            <w:tcW w:type="dxa" w:w="2816"/>
          </w:tcPr>
          <w:p>
            <w:pPr>
              <w:spacing w:line="240" w:lineRule="auto"/>
            </w:pPr>
            <w:r>
              <w:rPr>
                <w:sz w:val="18"/>
              </w:rPr>
              <w:t>Missingness mapped by date and commodity</w:t>
            </w:r>
          </w:p>
        </w:tc>
        <w:tc>
          <w:tcPr>
            <w:tcW w:type="dxa" w:w="2816"/>
          </w:tcPr>
          <w:p>
            <w:pPr>
              <w:spacing w:line="240" w:lineRule="auto"/>
            </w:pPr>
            <w:r>
              <w:rPr>
                <w:sz w:val="18"/>
              </w:rPr>
              <w:t>Gap counts and heat map</w:t>
            </w:r>
          </w:p>
        </w:tc>
        <w:tc>
          <w:tcPr>
            <w:tcW w:type="dxa" w:w="2816"/>
          </w:tcPr>
          <w:p>
            <w:pPr>
              <w:spacing w:line="240" w:lineRule="auto"/>
            </w:pPr>
            <w:r>
              <w:rPr>
                <w:sz w:val="18"/>
              </w:rPr>
            </w:r>
          </w:p>
        </w:tc>
      </w:tr>
      <w:tr>
        <w:tc>
          <w:tcPr>
            <w:tcW w:type="dxa" w:w="2816"/>
          </w:tcPr>
          <w:p>
            <w:pPr>
              <w:spacing w:line="240" w:lineRule="auto"/>
            </w:pPr>
            <w:r>
              <w:rPr>
                <w:sz w:val="18"/>
              </w:rPr>
              <w:t>Market participation recorded per date</w:t>
            </w:r>
          </w:p>
        </w:tc>
        <w:tc>
          <w:tcPr>
            <w:tcW w:type="dxa" w:w="2816"/>
          </w:tcPr>
          <w:p>
            <w:pPr>
              <w:spacing w:line="240" w:lineRule="auto"/>
            </w:pPr>
            <w:r>
              <w:rPr>
                <w:sz w:val="18"/>
              </w:rPr>
              <w:t>Contributing market counts</w:t>
            </w:r>
          </w:p>
        </w:tc>
        <w:tc>
          <w:tcPr>
            <w:tcW w:type="dxa" w:w="2816"/>
          </w:tcPr>
          <w:p>
            <w:pPr>
              <w:spacing w:line="240" w:lineRule="auto"/>
            </w:pPr>
            <w:r>
              <w:rPr>
                <w:sz w:val="18"/>
              </w:rPr>
            </w:r>
          </w:p>
        </w:tc>
      </w:tr>
      <w:tr>
        <w:tc>
          <w:tcPr>
            <w:tcW w:type="dxa" w:w="2816"/>
          </w:tcPr>
          <w:p>
            <w:pPr>
              <w:spacing w:line="240" w:lineRule="auto"/>
            </w:pPr>
            <w:r>
              <w:rPr>
                <w:sz w:val="18"/>
              </w:rPr>
              <w:t>Extreme records traceable to source rows</w:t>
            </w:r>
          </w:p>
        </w:tc>
        <w:tc>
          <w:tcPr>
            <w:tcW w:type="dxa" w:w="2816"/>
          </w:tcPr>
          <w:p>
            <w:pPr>
              <w:spacing w:line="240" w:lineRule="auto"/>
            </w:pPr>
            <w:r>
              <w:rPr>
                <w:sz w:val="18"/>
              </w:rPr>
              <w:t>Identifiers and review outcome</w:t>
            </w:r>
          </w:p>
        </w:tc>
        <w:tc>
          <w:tcPr>
            <w:tcW w:type="dxa" w:w="2816"/>
          </w:tcPr>
          <w:p>
            <w:pPr>
              <w:spacing w:line="240" w:lineRule="auto"/>
            </w:pPr>
            <w:r>
              <w:rPr>
                <w:sz w:val="18"/>
              </w:rPr>
            </w:r>
          </w:p>
        </w:tc>
      </w:tr>
      <w:tr>
        <w:tc>
          <w:tcPr>
            <w:tcW w:type="dxa" w:w="2816"/>
          </w:tcPr>
          <w:p>
            <w:pPr>
              <w:spacing w:line="240" w:lineRule="auto"/>
            </w:pPr>
            <w:r>
              <w:rPr>
                <w:sz w:val="18"/>
              </w:rPr>
              <w:t>Merge keys preserve intended row count</w:t>
            </w:r>
          </w:p>
        </w:tc>
        <w:tc>
          <w:tcPr>
            <w:tcW w:type="dxa" w:w="2816"/>
          </w:tcPr>
          <w:p>
            <w:pPr>
              <w:spacing w:line="240" w:lineRule="auto"/>
            </w:pPr>
            <w:r>
              <w:rPr>
                <w:sz w:val="18"/>
              </w:rPr>
              <w:t>Before/after row totals</w:t>
            </w:r>
          </w:p>
        </w:tc>
        <w:tc>
          <w:tcPr>
            <w:tcW w:type="dxa" w:w="2816"/>
          </w:tcPr>
          <w:p>
            <w:pPr>
              <w:spacing w:line="240" w:lineRule="auto"/>
            </w:pPr>
            <w:r>
              <w:rPr>
                <w:sz w:val="18"/>
              </w:rPr>
            </w:r>
          </w:p>
        </w:tc>
      </w:tr>
      <w:tr>
        <w:tc>
          <w:tcPr>
            <w:tcW w:type="dxa" w:w="2816"/>
          </w:tcPr>
          <w:p>
            <w:pPr>
              <w:spacing w:line="240" w:lineRule="auto"/>
            </w:pPr>
            <w:r>
              <w:rPr>
                <w:sz w:val="18"/>
              </w:rPr>
              <w:t>Features available at forecast issue time</w:t>
            </w:r>
          </w:p>
        </w:tc>
        <w:tc>
          <w:tcPr>
            <w:tcW w:type="dxa" w:w="2816"/>
          </w:tcPr>
          <w:p>
            <w:pPr>
              <w:spacing w:line="240" w:lineRule="auto"/>
            </w:pPr>
            <w:r>
              <w:rPr>
                <w:sz w:val="18"/>
              </w:rPr>
              <w:t>Leakage review</w:t>
            </w:r>
          </w:p>
        </w:tc>
        <w:tc>
          <w:tcPr>
            <w:tcW w:type="dxa" w:w="2816"/>
          </w:tcPr>
          <w:p>
            <w:pPr>
              <w:spacing w:line="240" w:lineRule="auto"/>
            </w:pPr>
            <w:r>
              <w:rPr>
                <w:sz w:val="18"/>
              </w:rPr>
            </w:r>
          </w:p>
        </w:tc>
      </w:tr>
      <w:tr>
        <w:tc>
          <w:tcPr>
            <w:tcW w:type="dxa" w:w="2816"/>
          </w:tcPr>
          <w:p>
            <w:pPr>
              <w:spacing w:line="240" w:lineRule="auto"/>
            </w:pPr>
            <w:r>
              <w:rPr>
                <w:sz w:val="18"/>
              </w:rPr>
              <w:t>Processing thresholds reviewed</w:t>
            </w:r>
          </w:p>
        </w:tc>
        <w:tc>
          <w:tcPr>
            <w:tcW w:type="dxa" w:w="2816"/>
          </w:tcPr>
          <w:p>
            <w:pPr>
              <w:spacing w:line="240" w:lineRule="auto"/>
            </w:pPr>
            <w:r>
              <w:rPr>
                <w:sz w:val="18"/>
              </w:rPr>
              <w:t>Rationale and affected rows</w:t>
            </w:r>
          </w:p>
        </w:tc>
        <w:tc>
          <w:tcPr>
            <w:tcW w:type="dxa" w:w="2816"/>
          </w:tcPr>
          <w:p>
            <w:pPr>
              <w:spacing w:line="240" w:lineRule="auto"/>
            </w:pPr>
            <w:r>
              <w:rPr>
                <w:sz w:val="18"/>
              </w:rPr>
            </w:r>
          </w:p>
        </w:tc>
      </w:tr>
    </w:tbl>
    <w:p>
      <w:pPr>
        <w:pStyle w:val="Heading1"/>
      </w:pPr>
      <w:r>
        <w:t>H.3 Forecast evaluation record</w:t>
      </w:r>
    </w:p>
    <w:p>
      <w:r>
        <w:t>Each reported model score should have a complete evaluation record. Keeping this record prevents static holdout results from being confused with walk-forward results, and allows another analyst to reproduce the score. Values must be populated from an executed run; blanks are intentional fields rather than estimates.</w:t>
      </w:r>
    </w:p>
    <w:tbl>
      <w:tblPr>
        <w:tblStyle w:val="TableGrid"/>
        <w:tblW w:type="auto" w:w="0"/>
        <w:tblLook w:firstColumn="1" w:firstRow="1" w:lastColumn="0" w:lastRow="0" w:noHBand="0" w:noVBand="1" w:val="04A0"/>
      </w:tblPr>
      <w:tblGrid>
        <w:gridCol w:w="4224"/>
        <w:gridCol w:w="4224"/>
      </w:tblGrid>
      <w:tr>
        <w:tc>
          <w:tcPr>
            <w:tcW w:type="dxa" w:w="4224"/>
          </w:tcPr>
          <w:p>
            <w:pPr>
              <w:spacing w:line="240" w:lineRule="auto"/>
            </w:pPr>
            <w:r>
              <w:rPr>
                <w:sz w:val="18"/>
              </w:rPr>
              <w:t>Evaluation item</w:t>
            </w:r>
          </w:p>
        </w:tc>
        <w:tc>
          <w:tcPr>
            <w:tcW w:type="dxa" w:w="4224"/>
          </w:tcPr>
          <w:p>
            <w:pPr>
              <w:spacing w:line="240" w:lineRule="auto"/>
            </w:pPr>
            <w:r>
              <w:rPr>
                <w:sz w:val="18"/>
              </w:rPr>
              <w:t>Required entry</w:t>
            </w:r>
          </w:p>
        </w:tc>
      </w:tr>
      <w:tr>
        <w:tc>
          <w:tcPr>
            <w:tcW w:type="dxa" w:w="4224"/>
          </w:tcPr>
          <w:p>
            <w:pPr>
              <w:spacing w:line="240" w:lineRule="auto"/>
            </w:pPr>
            <w:r>
              <w:rPr>
                <w:sz w:val="18"/>
              </w:rPr>
              <w:t>Target and price definition</w:t>
            </w:r>
          </w:p>
        </w:tc>
        <w:tc>
          <w:tcPr>
            <w:tcW w:type="dxa" w:w="4224"/>
          </w:tcPr>
          <w:p>
            <w:pPr>
              <w:spacing w:line="240" w:lineRule="auto"/>
            </w:pPr>
            <w:r>
              <w:rPr>
                <w:sz w:val="18"/>
              </w:rPr>
            </w:r>
          </w:p>
        </w:tc>
      </w:tr>
      <w:tr>
        <w:tc>
          <w:tcPr>
            <w:tcW w:type="dxa" w:w="4224"/>
          </w:tcPr>
          <w:p>
            <w:pPr>
              <w:spacing w:line="240" w:lineRule="auto"/>
            </w:pPr>
            <w:r>
              <w:rPr>
                <w:sz w:val="18"/>
              </w:rPr>
              <w:t>Commodity and geographic scope</w:t>
            </w:r>
          </w:p>
        </w:tc>
        <w:tc>
          <w:tcPr>
            <w:tcW w:type="dxa" w:w="4224"/>
          </w:tcPr>
          <w:p>
            <w:pPr>
              <w:spacing w:line="240" w:lineRule="auto"/>
            </w:pPr>
            <w:r>
              <w:rPr>
                <w:sz w:val="18"/>
              </w:rPr>
            </w:r>
          </w:p>
        </w:tc>
      </w:tr>
      <w:tr>
        <w:tc>
          <w:tcPr>
            <w:tcW w:type="dxa" w:w="4224"/>
          </w:tcPr>
          <w:p>
            <w:pPr>
              <w:spacing w:line="240" w:lineRule="auto"/>
            </w:pPr>
            <w:r>
              <w:rPr>
                <w:sz w:val="18"/>
              </w:rPr>
              <w:t>Forecast horizon</w:t>
            </w:r>
          </w:p>
        </w:tc>
        <w:tc>
          <w:tcPr>
            <w:tcW w:type="dxa" w:w="4224"/>
          </w:tcPr>
          <w:p>
            <w:pPr>
              <w:spacing w:line="240" w:lineRule="auto"/>
            </w:pPr>
            <w:r>
              <w:rPr>
                <w:sz w:val="18"/>
              </w:rPr>
            </w:r>
          </w:p>
        </w:tc>
      </w:tr>
      <w:tr>
        <w:tc>
          <w:tcPr>
            <w:tcW w:type="dxa" w:w="4224"/>
          </w:tcPr>
          <w:p>
            <w:pPr>
              <w:spacing w:line="240" w:lineRule="auto"/>
            </w:pPr>
            <w:r>
              <w:rPr>
                <w:sz w:val="18"/>
              </w:rPr>
              <w:t>Training cut-off dates</w:t>
            </w:r>
          </w:p>
        </w:tc>
        <w:tc>
          <w:tcPr>
            <w:tcW w:type="dxa" w:w="4224"/>
          </w:tcPr>
          <w:p>
            <w:pPr>
              <w:spacing w:line="240" w:lineRule="auto"/>
            </w:pPr>
            <w:r>
              <w:rPr>
                <w:sz w:val="18"/>
              </w:rPr>
            </w:r>
          </w:p>
        </w:tc>
      </w:tr>
      <w:tr>
        <w:tc>
          <w:tcPr>
            <w:tcW w:type="dxa" w:w="4224"/>
          </w:tcPr>
          <w:p>
            <w:pPr>
              <w:spacing w:line="240" w:lineRule="auto"/>
            </w:pPr>
            <w:r>
              <w:rPr>
                <w:sz w:val="18"/>
              </w:rPr>
              <w:t>Test dates per origin</w:t>
            </w:r>
          </w:p>
        </w:tc>
        <w:tc>
          <w:tcPr>
            <w:tcW w:type="dxa" w:w="4224"/>
          </w:tcPr>
          <w:p>
            <w:pPr>
              <w:spacing w:line="240" w:lineRule="auto"/>
            </w:pPr>
            <w:r>
              <w:rPr>
                <w:sz w:val="18"/>
              </w:rPr>
            </w:r>
          </w:p>
        </w:tc>
      </w:tr>
      <w:tr>
        <w:tc>
          <w:tcPr>
            <w:tcW w:type="dxa" w:w="4224"/>
          </w:tcPr>
          <w:p>
            <w:pPr>
              <w:spacing w:line="240" w:lineRule="auto"/>
            </w:pPr>
            <w:r>
              <w:rPr>
                <w:sz w:val="18"/>
              </w:rPr>
              <w:t>Feature availability rule</w:t>
            </w:r>
          </w:p>
        </w:tc>
        <w:tc>
          <w:tcPr>
            <w:tcW w:type="dxa" w:w="4224"/>
          </w:tcPr>
          <w:p>
            <w:pPr>
              <w:spacing w:line="240" w:lineRule="auto"/>
            </w:pPr>
            <w:r>
              <w:rPr>
                <w:sz w:val="18"/>
              </w:rPr>
            </w:r>
          </w:p>
        </w:tc>
      </w:tr>
      <w:tr>
        <w:tc>
          <w:tcPr>
            <w:tcW w:type="dxa" w:w="4224"/>
          </w:tcPr>
          <w:p>
            <w:pPr>
              <w:spacing w:line="240" w:lineRule="auto"/>
            </w:pPr>
            <w:r>
              <w:rPr>
                <w:sz w:val="18"/>
              </w:rPr>
              <w:t>Model version and parameters</w:t>
            </w:r>
          </w:p>
        </w:tc>
        <w:tc>
          <w:tcPr>
            <w:tcW w:type="dxa" w:w="4224"/>
          </w:tcPr>
          <w:p>
            <w:pPr>
              <w:spacing w:line="240" w:lineRule="auto"/>
            </w:pPr>
            <w:r>
              <w:rPr>
                <w:sz w:val="18"/>
              </w:rPr>
            </w:r>
          </w:p>
        </w:tc>
      </w:tr>
      <w:tr>
        <w:tc>
          <w:tcPr>
            <w:tcW w:type="dxa" w:w="4224"/>
          </w:tcPr>
          <w:p>
            <w:pPr>
              <w:spacing w:line="240" w:lineRule="auto"/>
            </w:pPr>
            <w:r>
              <w:rPr>
                <w:sz w:val="18"/>
              </w:rPr>
              <w:t>Baseline methods</w:t>
            </w:r>
          </w:p>
        </w:tc>
        <w:tc>
          <w:tcPr>
            <w:tcW w:type="dxa" w:w="4224"/>
          </w:tcPr>
          <w:p>
            <w:pPr>
              <w:spacing w:line="240" w:lineRule="auto"/>
            </w:pPr>
            <w:r>
              <w:rPr>
                <w:sz w:val="18"/>
              </w:rPr>
            </w:r>
          </w:p>
        </w:tc>
      </w:tr>
      <w:tr>
        <w:tc>
          <w:tcPr>
            <w:tcW w:type="dxa" w:w="4224"/>
          </w:tcPr>
          <w:p>
            <w:pPr>
              <w:spacing w:line="240" w:lineRule="auto"/>
            </w:pPr>
            <w:r>
              <w:rPr>
                <w:sz w:val="18"/>
              </w:rPr>
              <w:t>Metric definitions and denominator handling</w:t>
            </w:r>
          </w:p>
        </w:tc>
        <w:tc>
          <w:tcPr>
            <w:tcW w:type="dxa" w:w="4224"/>
          </w:tcPr>
          <w:p>
            <w:pPr>
              <w:spacing w:line="240" w:lineRule="auto"/>
            </w:pPr>
            <w:r>
              <w:rPr>
                <w:sz w:val="18"/>
              </w:rPr>
            </w:r>
          </w:p>
        </w:tc>
      </w:tr>
      <w:tr>
        <w:tc>
          <w:tcPr>
            <w:tcW w:type="dxa" w:w="4224"/>
          </w:tcPr>
          <w:p>
            <w:pPr>
              <w:spacing w:line="240" w:lineRule="auto"/>
            </w:pPr>
            <w:r>
              <w:rPr>
                <w:sz w:val="18"/>
              </w:rPr>
              <w:t>Per-commodity errors</w:t>
            </w:r>
          </w:p>
        </w:tc>
        <w:tc>
          <w:tcPr>
            <w:tcW w:type="dxa" w:w="4224"/>
          </w:tcPr>
          <w:p>
            <w:pPr>
              <w:spacing w:line="240" w:lineRule="auto"/>
            </w:pPr>
            <w:r>
              <w:rPr>
                <w:sz w:val="18"/>
              </w:rPr>
            </w:r>
          </w:p>
        </w:tc>
      </w:tr>
      <w:tr>
        <w:tc>
          <w:tcPr>
            <w:tcW w:type="dxa" w:w="4224"/>
          </w:tcPr>
          <w:p>
            <w:pPr>
              <w:spacing w:line="240" w:lineRule="auto"/>
            </w:pPr>
            <w:r>
              <w:rPr>
                <w:sz w:val="18"/>
              </w:rPr>
              <w:t>Warnings and failed fits</w:t>
            </w:r>
          </w:p>
        </w:tc>
        <w:tc>
          <w:tcPr>
            <w:tcW w:type="dxa" w:w="4224"/>
          </w:tcPr>
          <w:p>
            <w:pPr>
              <w:spacing w:line="240" w:lineRule="auto"/>
            </w:pPr>
            <w:r>
              <w:rPr>
                <w:sz w:val="18"/>
              </w:rPr>
            </w:r>
          </w:p>
        </w:tc>
      </w:tr>
      <w:tr>
        <w:tc>
          <w:tcPr>
            <w:tcW w:type="dxa" w:w="4224"/>
          </w:tcPr>
          <w:p>
            <w:pPr>
              <w:spacing w:line="240" w:lineRule="auto"/>
            </w:pPr>
            <w:r>
              <w:rPr>
                <w:sz w:val="18"/>
              </w:rPr>
              <w:t>Interval calibration, if applicable</w:t>
            </w:r>
          </w:p>
        </w:tc>
        <w:tc>
          <w:tcPr>
            <w:tcW w:type="dxa" w:w="4224"/>
          </w:tcPr>
          <w:p>
            <w:pPr>
              <w:spacing w:line="240" w:lineRule="auto"/>
            </w:pPr>
            <w:r>
              <w:rPr>
                <w:sz w:val="18"/>
              </w:rPr>
            </w:r>
          </w:p>
        </w:tc>
      </w:tr>
      <w:tr>
        <w:tc>
          <w:tcPr>
            <w:tcW w:type="dxa" w:w="4224"/>
          </w:tcPr>
          <w:p>
            <w:pPr>
              <w:spacing w:line="240" w:lineRule="auto"/>
            </w:pPr>
            <w:r>
              <w:rPr>
                <w:sz w:val="18"/>
              </w:rPr>
              <w:t>Run hash / package versions</w:t>
            </w:r>
          </w:p>
        </w:tc>
        <w:tc>
          <w:tcPr>
            <w:tcW w:type="dxa" w:w="4224"/>
          </w:tcPr>
          <w:p>
            <w:pPr>
              <w:spacing w:line="240" w:lineRule="auto"/>
            </w:pPr>
            <w:r>
              <w:rPr>
                <w:sz w:val="18"/>
              </w:rPr>
            </w:r>
          </w:p>
        </w:tc>
      </w:tr>
    </w:tbl>
    <w:p>
      <w:pPr>
        <w:pStyle w:val="Heading1"/>
      </w:pPr>
      <w:r>
        <w:t>H.4 Koyambedu matched-quote observation form</w:t>
      </w:r>
    </w:p>
    <w:p>
      <w:r>
        <w:t>This form is designed for a prospective validation period. It records the contextual fields required to decide whether two prices refer to comparable products and market conditions. An entry should be retained even if the comparison cannot be matched; excluding unmatched pairs would bias the validation toward convenient observations.</w:t>
      </w:r>
    </w:p>
    <w:tbl>
      <w:tblPr>
        <w:tblStyle w:val="TableGrid"/>
        <w:tblW w:type="auto" w:w="0"/>
        <w:tblLook w:firstColumn="1" w:firstRow="1" w:lastColumn="0" w:lastRow="0" w:noHBand="0" w:noVBand="1" w:val="04A0"/>
      </w:tblPr>
      <w:tblGrid>
        <w:gridCol w:w="4224"/>
        <w:gridCol w:w="4224"/>
      </w:tblGrid>
      <w:tr>
        <w:tc>
          <w:tcPr>
            <w:tcW w:type="dxa" w:w="4224"/>
          </w:tcPr>
          <w:p>
            <w:pPr>
              <w:spacing w:line="240" w:lineRule="auto"/>
            </w:pPr>
            <w:r>
              <w:rPr>
                <w:sz w:val="18"/>
              </w:rPr>
              <w:t>Matched comparison field</w:t>
            </w:r>
          </w:p>
        </w:tc>
        <w:tc>
          <w:tcPr>
            <w:tcW w:type="dxa" w:w="4224"/>
          </w:tcPr>
          <w:p>
            <w:pPr>
              <w:spacing w:line="240" w:lineRule="auto"/>
            </w:pPr>
            <w:r>
              <w:rPr>
                <w:sz w:val="18"/>
              </w:rPr>
              <w:t>Entry</w:t>
            </w:r>
          </w:p>
        </w:tc>
      </w:tr>
      <w:tr>
        <w:tc>
          <w:tcPr>
            <w:tcW w:type="dxa" w:w="4224"/>
          </w:tcPr>
          <w:p>
            <w:pPr>
              <w:spacing w:line="240" w:lineRule="auto"/>
            </w:pPr>
            <w:r>
              <w:rPr>
                <w:sz w:val="18"/>
              </w:rPr>
              <w:t>Observation date and time</w:t>
            </w:r>
          </w:p>
        </w:tc>
        <w:tc>
          <w:tcPr>
            <w:tcW w:type="dxa" w:w="4224"/>
          </w:tcPr>
          <w:p>
            <w:pPr>
              <w:spacing w:line="240" w:lineRule="auto"/>
            </w:pPr>
            <w:r>
              <w:rPr>
                <w:sz w:val="18"/>
              </w:rPr>
            </w:r>
          </w:p>
        </w:tc>
      </w:tr>
      <w:tr>
        <w:tc>
          <w:tcPr>
            <w:tcW w:type="dxa" w:w="4224"/>
          </w:tcPr>
          <w:p>
            <w:pPr>
              <w:spacing w:line="240" w:lineRule="auto"/>
            </w:pPr>
            <w:r>
              <w:rPr>
                <w:sz w:val="18"/>
              </w:rPr>
              <w:t>Koyambedu provider value / unit</w:t>
            </w:r>
          </w:p>
        </w:tc>
        <w:tc>
          <w:tcPr>
            <w:tcW w:type="dxa" w:w="4224"/>
          </w:tcPr>
          <w:p>
            <w:pPr>
              <w:spacing w:line="240" w:lineRule="auto"/>
            </w:pPr>
            <w:r>
              <w:rPr>
                <w:sz w:val="18"/>
              </w:rPr>
            </w:r>
          </w:p>
        </w:tc>
      </w:tr>
      <w:tr>
        <w:tc>
          <w:tcPr>
            <w:tcW w:type="dxa" w:w="4224"/>
          </w:tcPr>
          <w:p>
            <w:pPr>
              <w:spacing w:line="240" w:lineRule="auto"/>
            </w:pPr>
            <w:r>
              <w:rPr>
                <w:sz w:val="18"/>
              </w:rPr>
              <w:t>Provider quote type and publication time</w:t>
            </w:r>
          </w:p>
        </w:tc>
        <w:tc>
          <w:tcPr>
            <w:tcW w:type="dxa" w:w="4224"/>
          </w:tcPr>
          <w:p>
            <w:pPr>
              <w:spacing w:line="240" w:lineRule="auto"/>
            </w:pPr>
            <w:r>
              <w:rPr>
                <w:sz w:val="18"/>
              </w:rPr>
            </w:r>
          </w:p>
        </w:tc>
      </w:tr>
      <w:tr>
        <w:tc>
          <w:tcPr>
            <w:tcW w:type="dxa" w:w="4224"/>
          </w:tcPr>
          <w:p>
            <w:pPr>
              <w:spacing w:line="240" w:lineRule="auto"/>
            </w:pPr>
            <w:r>
              <w:rPr>
                <w:sz w:val="18"/>
              </w:rPr>
              <w:t>Market section and location</w:t>
            </w:r>
          </w:p>
        </w:tc>
        <w:tc>
          <w:tcPr>
            <w:tcW w:type="dxa" w:w="4224"/>
          </w:tcPr>
          <w:p>
            <w:pPr>
              <w:spacing w:line="240" w:lineRule="auto"/>
            </w:pPr>
            <w:r>
              <w:rPr>
                <w:sz w:val="18"/>
              </w:rPr>
            </w:r>
          </w:p>
        </w:tc>
      </w:tr>
      <w:tr>
        <w:tc>
          <w:tcPr>
            <w:tcW w:type="dxa" w:w="4224"/>
          </w:tcPr>
          <w:p>
            <w:pPr>
              <w:spacing w:line="240" w:lineRule="auto"/>
            </w:pPr>
            <w:r>
              <w:rPr>
                <w:sz w:val="18"/>
              </w:rPr>
              <w:t>Commodity variety, grade and size</w:t>
            </w:r>
          </w:p>
        </w:tc>
        <w:tc>
          <w:tcPr>
            <w:tcW w:type="dxa" w:w="4224"/>
          </w:tcPr>
          <w:p>
            <w:pPr>
              <w:spacing w:line="240" w:lineRule="auto"/>
            </w:pPr>
            <w:r>
              <w:rPr>
                <w:sz w:val="18"/>
              </w:rPr>
            </w:r>
          </w:p>
        </w:tc>
      </w:tr>
      <w:tr>
        <w:tc>
          <w:tcPr>
            <w:tcW w:type="dxa" w:w="4224"/>
          </w:tcPr>
          <w:p>
            <w:pPr>
              <w:spacing w:line="240" w:lineRule="auto"/>
            </w:pPr>
            <w:r>
              <w:rPr>
                <w:sz w:val="18"/>
              </w:rPr>
              <w:t>Independent reference source and URL</w:t>
            </w:r>
          </w:p>
        </w:tc>
        <w:tc>
          <w:tcPr>
            <w:tcW w:type="dxa" w:w="4224"/>
          </w:tcPr>
          <w:p>
            <w:pPr>
              <w:spacing w:line="240" w:lineRule="auto"/>
            </w:pPr>
            <w:r>
              <w:rPr>
                <w:sz w:val="18"/>
              </w:rPr>
            </w:r>
          </w:p>
        </w:tc>
      </w:tr>
      <w:tr>
        <w:tc>
          <w:tcPr>
            <w:tcW w:type="dxa" w:w="4224"/>
          </w:tcPr>
          <w:p>
            <w:pPr>
              <w:spacing w:line="240" w:lineRule="auto"/>
            </w:pPr>
            <w:r>
              <w:rPr>
                <w:sz w:val="18"/>
              </w:rPr>
              <w:t>Reference value or range / unit</w:t>
            </w:r>
          </w:p>
        </w:tc>
        <w:tc>
          <w:tcPr>
            <w:tcW w:type="dxa" w:w="4224"/>
          </w:tcPr>
          <w:p>
            <w:pPr>
              <w:spacing w:line="240" w:lineRule="auto"/>
            </w:pPr>
            <w:r>
              <w:rPr>
                <w:sz w:val="18"/>
              </w:rPr>
            </w:r>
          </w:p>
        </w:tc>
      </w:tr>
      <w:tr>
        <w:tc>
          <w:tcPr>
            <w:tcW w:type="dxa" w:w="4224"/>
          </w:tcPr>
          <w:p>
            <w:pPr>
              <w:spacing w:line="240" w:lineRule="auto"/>
            </w:pPr>
            <w:r>
              <w:rPr>
                <w:sz w:val="18"/>
              </w:rPr>
              <w:t>Time difference between quotes</w:t>
            </w:r>
          </w:p>
        </w:tc>
        <w:tc>
          <w:tcPr>
            <w:tcW w:type="dxa" w:w="4224"/>
          </w:tcPr>
          <w:p>
            <w:pPr>
              <w:spacing w:line="240" w:lineRule="auto"/>
            </w:pPr>
            <w:r>
              <w:rPr>
                <w:sz w:val="18"/>
              </w:rPr>
            </w:r>
          </w:p>
        </w:tc>
      </w:tr>
      <w:tr>
        <w:tc>
          <w:tcPr>
            <w:tcW w:type="dxa" w:w="4224"/>
          </w:tcPr>
          <w:p>
            <w:pPr>
              <w:spacing w:line="240" w:lineRule="auto"/>
            </w:pPr>
            <w:r>
              <w:rPr>
                <w:sz w:val="18"/>
              </w:rPr>
              <w:t>Matched / unmatched reason</w:t>
            </w:r>
          </w:p>
        </w:tc>
        <w:tc>
          <w:tcPr>
            <w:tcW w:type="dxa" w:w="4224"/>
          </w:tcPr>
          <w:p>
            <w:pPr>
              <w:spacing w:line="240" w:lineRule="auto"/>
            </w:pPr>
            <w:r>
              <w:rPr>
                <w:sz w:val="18"/>
              </w:rPr>
            </w:r>
          </w:p>
        </w:tc>
      </w:tr>
      <w:tr>
        <w:tc>
          <w:tcPr>
            <w:tcW w:type="dxa" w:w="4224"/>
          </w:tcPr>
          <w:p>
            <w:pPr>
              <w:spacing w:line="240" w:lineRule="auto"/>
            </w:pPr>
            <w:r>
              <w:rPr>
                <w:sz w:val="18"/>
              </w:rPr>
              <w:t>Difference calculation and interpretation</w:t>
            </w:r>
          </w:p>
        </w:tc>
        <w:tc>
          <w:tcPr>
            <w:tcW w:type="dxa" w:w="4224"/>
          </w:tcPr>
          <w:p>
            <w:pPr>
              <w:spacing w:line="240" w:lineRule="auto"/>
            </w:pPr>
            <w:r>
              <w:rPr>
                <w:sz w:val="18"/>
              </w:rPr>
            </w:r>
          </w:p>
        </w:tc>
      </w:tr>
      <w:tr>
        <w:tc>
          <w:tcPr>
            <w:tcW w:type="dxa" w:w="4224"/>
          </w:tcPr>
          <w:p>
            <w:pPr>
              <w:spacing w:line="240" w:lineRule="auto"/>
            </w:pPr>
            <w:r>
              <w:rPr>
                <w:sz w:val="18"/>
              </w:rPr>
              <w:t>Archived evidence and reviewer</w:t>
            </w:r>
          </w:p>
        </w:tc>
        <w:tc>
          <w:tcPr>
            <w:tcW w:type="dxa" w:w="4224"/>
          </w:tcPr>
          <w:p>
            <w:pPr>
              <w:spacing w:line="240" w:lineRule="auto"/>
            </w:pPr>
            <w:r>
              <w:rPr>
                <w:sz w:val="18"/>
              </w:rPr>
            </w:r>
          </w:p>
        </w:tc>
      </w:tr>
    </w:tbl>
    <w:p>
      <w:pPr>
        <w:pStyle w:val="Heading1"/>
      </w:pPr>
      <w:r>
        <w:t>H.5 Buyer pilot transaction record</w:t>
      </w:r>
    </w:p>
    <w:p>
      <w:r>
        <w:t>The buyer record separates the system recommendation from the action taken and the outcome observed. This makes it possible to evaluate model performance and decision impact as different questions. Sensitive supplier and invoice fields should be access controlled and reported only at an approved level of aggregation.</w:t>
      </w:r>
    </w:p>
    <w:tbl>
      <w:tblPr>
        <w:tblStyle w:val="TableGrid"/>
        <w:tblW w:type="auto" w:w="0"/>
        <w:tblLook w:firstColumn="1" w:firstRow="1" w:lastColumn="0" w:lastRow="0" w:noHBand="0" w:noVBand="1" w:val="04A0"/>
      </w:tblPr>
      <w:tblGrid>
        <w:gridCol w:w="4224"/>
        <w:gridCol w:w="4224"/>
      </w:tblGrid>
      <w:tr>
        <w:tc>
          <w:tcPr>
            <w:tcW w:type="dxa" w:w="4224"/>
          </w:tcPr>
          <w:p>
            <w:pPr>
              <w:spacing w:line="240" w:lineRule="auto"/>
            </w:pPr>
            <w:r>
              <w:rPr>
                <w:sz w:val="18"/>
              </w:rPr>
              <w:t>Buyer outcome field</w:t>
            </w:r>
          </w:p>
        </w:tc>
        <w:tc>
          <w:tcPr>
            <w:tcW w:type="dxa" w:w="4224"/>
          </w:tcPr>
          <w:p>
            <w:pPr>
              <w:spacing w:line="240" w:lineRule="auto"/>
            </w:pPr>
            <w:r>
              <w:rPr>
                <w:sz w:val="18"/>
              </w:rPr>
              <w:t>Entry</w:t>
            </w:r>
          </w:p>
        </w:tc>
      </w:tr>
      <w:tr>
        <w:tc>
          <w:tcPr>
            <w:tcW w:type="dxa" w:w="4224"/>
          </w:tcPr>
          <w:p>
            <w:pPr>
              <w:spacing w:line="240" w:lineRule="auto"/>
            </w:pPr>
            <w:r>
              <w:rPr>
                <w:sz w:val="18"/>
              </w:rPr>
              <w:t>Study code / buyer-day</w:t>
            </w:r>
          </w:p>
        </w:tc>
        <w:tc>
          <w:tcPr>
            <w:tcW w:type="dxa" w:w="4224"/>
          </w:tcPr>
          <w:p>
            <w:pPr>
              <w:spacing w:line="240" w:lineRule="auto"/>
            </w:pPr>
            <w:r>
              <w:rPr>
                <w:sz w:val="18"/>
              </w:rPr>
            </w:r>
          </w:p>
        </w:tc>
      </w:tr>
      <w:tr>
        <w:tc>
          <w:tcPr>
            <w:tcW w:type="dxa" w:w="4224"/>
          </w:tcPr>
          <w:p>
            <w:pPr>
              <w:spacing w:line="240" w:lineRule="auto"/>
            </w:pPr>
            <w:r>
              <w:rPr>
                <w:sz w:val="18"/>
              </w:rPr>
              <w:t>Commodity / grade / usable quantity</w:t>
            </w:r>
          </w:p>
        </w:tc>
        <w:tc>
          <w:tcPr>
            <w:tcW w:type="dxa" w:w="4224"/>
          </w:tcPr>
          <w:p>
            <w:pPr>
              <w:spacing w:line="240" w:lineRule="auto"/>
            </w:pPr>
            <w:r>
              <w:rPr>
                <w:sz w:val="18"/>
              </w:rPr>
            </w:r>
          </w:p>
        </w:tc>
      </w:tr>
      <w:tr>
        <w:tc>
          <w:tcPr>
            <w:tcW w:type="dxa" w:w="4224"/>
          </w:tcPr>
          <w:p>
            <w:pPr>
              <w:spacing w:line="240" w:lineRule="auto"/>
            </w:pPr>
            <w:r>
              <w:rPr>
                <w:sz w:val="18"/>
              </w:rPr>
              <w:t>Forecast shown / issue time / horizon</w:t>
            </w:r>
          </w:p>
        </w:tc>
        <w:tc>
          <w:tcPr>
            <w:tcW w:type="dxa" w:w="4224"/>
          </w:tcPr>
          <w:p>
            <w:pPr>
              <w:spacing w:line="240" w:lineRule="auto"/>
            </w:pPr>
            <w:r>
              <w:rPr>
                <w:sz w:val="18"/>
              </w:rPr>
            </w:r>
          </w:p>
        </w:tc>
      </w:tr>
      <w:tr>
        <w:tc>
          <w:tcPr>
            <w:tcW w:type="dxa" w:w="4224"/>
          </w:tcPr>
          <w:p>
            <w:pPr>
              <w:spacing w:line="240" w:lineRule="auto"/>
            </w:pPr>
            <w:r>
              <w:rPr>
                <w:sz w:val="18"/>
              </w:rPr>
              <w:t>Input data freshness / quality status</w:t>
            </w:r>
          </w:p>
        </w:tc>
        <w:tc>
          <w:tcPr>
            <w:tcW w:type="dxa" w:w="4224"/>
          </w:tcPr>
          <w:p>
            <w:pPr>
              <w:spacing w:line="240" w:lineRule="auto"/>
            </w:pPr>
            <w:r>
              <w:rPr>
                <w:sz w:val="18"/>
              </w:rPr>
            </w:r>
          </w:p>
        </w:tc>
      </w:tr>
      <w:tr>
        <w:tc>
          <w:tcPr>
            <w:tcW w:type="dxa" w:w="4224"/>
          </w:tcPr>
          <w:p>
            <w:pPr>
              <w:spacing w:line="240" w:lineRule="auto"/>
            </w:pPr>
            <w:r>
              <w:rPr>
                <w:sz w:val="18"/>
              </w:rPr>
              <w:t>Recommendation and rule ID</w:t>
            </w:r>
          </w:p>
        </w:tc>
        <w:tc>
          <w:tcPr>
            <w:tcW w:type="dxa" w:w="4224"/>
          </w:tcPr>
          <w:p>
            <w:pPr>
              <w:spacing w:line="240" w:lineRule="auto"/>
            </w:pPr>
            <w:r>
              <w:rPr>
                <w:sz w:val="18"/>
              </w:rPr>
            </w:r>
          </w:p>
        </w:tc>
      </w:tr>
      <w:tr>
        <w:tc>
          <w:tcPr>
            <w:tcW w:type="dxa" w:w="4224"/>
          </w:tcPr>
          <w:p>
            <w:pPr>
              <w:spacing w:line="240" w:lineRule="auto"/>
            </w:pPr>
            <w:r>
              <w:rPr>
                <w:sz w:val="18"/>
              </w:rPr>
              <w:t>Buyer decision / override reason</w:t>
            </w:r>
          </w:p>
        </w:tc>
        <w:tc>
          <w:tcPr>
            <w:tcW w:type="dxa" w:w="4224"/>
          </w:tcPr>
          <w:p>
            <w:pPr>
              <w:spacing w:line="240" w:lineRule="auto"/>
            </w:pPr>
            <w:r>
              <w:rPr>
                <w:sz w:val="18"/>
              </w:rPr>
            </w:r>
          </w:p>
        </w:tc>
      </w:tr>
      <w:tr>
        <w:tc>
          <w:tcPr>
            <w:tcW w:type="dxa" w:w="4224"/>
          </w:tcPr>
          <w:p>
            <w:pPr>
              <w:spacing w:line="240" w:lineRule="auto"/>
            </w:pPr>
            <w:r>
              <w:rPr>
                <w:sz w:val="18"/>
              </w:rPr>
              <w:t>Supplier and final invoice price</w:t>
            </w:r>
          </w:p>
        </w:tc>
        <w:tc>
          <w:tcPr>
            <w:tcW w:type="dxa" w:w="4224"/>
          </w:tcPr>
          <w:p>
            <w:pPr>
              <w:spacing w:line="240" w:lineRule="auto"/>
            </w:pPr>
            <w:r>
              <w:rPr>
                <w:sz w:val="18"/>
              </w:rPr>
            </w:r>
          </w:p>
        </w:tc>
      </w:tr>
      <w:tr>
        <w:tc>
          <w:tcPr>
            <w:tcW w:type="dxa" w:w="4224"/>
          </w:tcPr>
          <w:p>
            <w:pPr>
              <w:spacing w:line="240" w:lineRule="auto"/>
            </w:pPr>
            <w:r>
              <w:rPr>
                <w:sz w:val="18"/>
              </w:rPr>
              <w:t>Transport / handling / payment costs</w:t>
            </w:r>
          </w:p>
        </w:tc>
        <w:tc>
          <w:tcPr>
            <w:tcW w:type="dxa" w:w="4224"/>
          </w:tcPr>
          <w:p>
            <w:pPr>
              <w:spacing w:line="240" w:lineRule="auto"/>
            </w:pPr>
            <w:r>
              <w:rPr>
                <w:sz w:val="18"/>
              </w:rPr>
            </w:r>
          </w:p>
        </w:tc>
      </w:tr>
      <w:tr>
        <w:tc>
          <w:tcPr>
            <w:tcW w:type="dxa" w:w="4224"/>
          </w:tcPr>
          <w:p>
            <w:pPr>
              <w:spacing w:line="240" w:lineRule="auto"/>
            </w:pPr>
            <w:r>
              <w:rPr>
                <w:sz w:val="18"/>
              </w:rPr>
              <w:t>Rejected and spoiled quantities</w:t>
            </w:r>
          </w:p>
        </w:tc>
        <w:tc>
          <w:tcPr>
            <w:tcW w:type="dxa" w:w="4224"/>
          </w:tcPr>
          <w:p>
            <w:pPr>
              <w:spacing w:line="240" w:lineRule="auto"/>
            </w:pPr>
            <w:r>
              <w:rPr>
                <w:sz w:val="18"/>
              </w:rPr>
            </w:r>
          </w:p>
        </w:tc>
      </w:tr>
      <w:tr>
        <w:tc>
          <w:tcPr>
            <w:tcW w:type="dxa" w:w="4224"/>
          </w:tcPr>
          <w:p>
            <w:pPr>
              <w:spacing w:line="240" w:lineRule="auto"/>
            </w:pPr>
            <w:r>
              <w:rPr>
                <w:sz w:val="18"/>
              </w:rPr>
              <w:t>Stockout / service outcome</w:t>
            </w:r>
          </w:p>
        </w:tc>
        <w:tc>
          <w:tcPr>
            <w:tcW w:type="dxa" w:w="4224"/>
          </w:tcPr>
          <w:p>
            <w:pPr>
              <w:spacing w:line="240" w:lineRule="auto"/>
            </w:pPr>
            <w:r>
              <w:rPr>
                <w:sz w:val="18"/>
              </w:rPr>
            </w:r>
          </w:p>
        </w:tc>
      </w:tr>
      <w:tr>
        <w:tc>
          <w:tcPr>
            <w:tcW w:type="dxa" w:w="4224"/>
          </w:tcPr>
          <w:p>
            <w:pPr>
              <w:spacing w:line="240" w:lineRule="auto"/>
            </w:pPr>
            <w:r>
              <w:rPr>
                <w:sz w:val="18"/>
              </w:rPr>
              <w:t>Comparison policy / baseline</w:t>
            </w:r>
          </w:p>
        </w:tc>
        <w:tc>
          <w:tcPr>
            <w:tcW w:type="dxa" w:w="4224"/>
          </w:tcPr>
          <w:p>
            <w:pPr>
              <w:spacing w:line="240" w:lineRule="auto"/>
            </w:pPr>
            <w:r>
              <w:rPr>
                <w:sz w:val="18"/>
              </w:rPr>
            </w:r>
          </w:p>
        </w:tc>
      </w:tr>
      <w:tr>
        <w:tc>
          <w:tcPr>
            <w:tcW w:type="dxa" w:w="4224"/>
          </w:tcPr>
          <w:p>
            <w:pPr>
              <w:spacing w:line="240" w:lineRule="auto"/>
            </w:pPr>
            <w:r>
              <w:rPr>
                <w:sz w:val="18"/>
              </w:rPr>
              <w:t>Reviewer and data access status</w:t>
            </w:r>
          </w:p>
        </w:tc>
        <w:tc>
          <w:tcPr>
            <w:tcW w:type="dxa" w:w="4224"/>
          </w:tcPr>
          <w:p>
            <w:pPr>
              <w:spacing w:line="240" w:lineRule="auto"/>
            </w:pPr>
            <w:r>
              <w:rPr>
                <w:sz w:val="18"/>
              </w:rPr>
            </w:r>
          </w:p>
        </w:tc>
      </w:tr>
    </w:tbl>
    <w:p>
      <w:pPr>
        <w:pStyle w:val="Heading1"/>
      </w:pPr>
      <w:r>
        <w:t>H.6 Risk register and response plan</w:t>
      </w:r>
    </w:p>
    <w:p>
      <w:r>
        <w:t>A risk register assigns a practical response to evidence and implementation risks. Owners and review dates should be completed before a pilot. The sample entries below reflect issues already identified in the project and do not imply that each risk has occurred in a live deployment.</w:t>
      </w:r>
    </w:p>
    <w:tbl>
      <w:tblPr>
        <w:tblStyle w:val="TableGrid"/>
        <w:tblW w:type="auto" w:w="0"/>
        <w:tblLook w:firstColumn="1" w:firstRow="1" w:lastColumn="0" w:lastRow="0" w:noHBand="0" w:noVBand="1" w:val="04A0"/>
      </w:tblPr>
      <w:tblGrid>
        <w:gridCol w:w="2112"/>
        <w:gridCol w:w="2112"/>
        <w:gridCol w:w="2112"/>
        <w:gridCol w:w="2112"/>
      </w:tblGrid>
      <w:tr>
        <w:tc>
          <w:tcPr>
            <w:tcW w:type="dxa" w:w="2112"/>
          </w:tcPr>
          <w:p>
            <w:pPr>
              <w:spacing w:line="240" w:lineRule="auto"/>
            </w:pPr>
            <w:r>
              <w:rPr>
                <w:sz w:val="18"/>
              </w:rPr>
              <w:t>Risk</w:t>
            </w:r>
          </w:p>
        </w:tc>
        <w:tc>
          <w:tcPr>
            <w:tcW w:type="dxa" w:w="2112"/>
          </w:tcPr>
          <w:p>
            <w:pPr>
              <w:spacing w:line="240" w:lineRule="auto"/>
            </w:pPr>
            <w:r>
              <w:rPr>
                <w:sz w:val="18"/>
              </w:rPr>
              <w:t>Potential consequence</w:t>
            </w:r>
          </w:p>
        </w:tc>
        <w:tc>
          <w:tcPr>
            <w:tcW w:type="dxa" w:w="2112"/>
          </w:tcPr>
          <w:p>
            <w:pPr>
              <w:spacing w:line="240" w:lineRule="auto"/>
            </w:pPr>
            <w:r>
              <w:rPr>
                <w:sz w:val="18"/>
              </w:rPr>
              <w:t>Control / response</w:t>
            </w:r>
          </w:p>
        </w:tc>
        <w:tc>
          <w:tcPr>
            <w:tcW w:type="dxa" w:w="2112"/>
          </w:tcPr>
          <w:p>
            <w:pPr>
              <w:spacing w:line="240" w:lineRule="auto"/>
            </w:pPr>
            <w:r>
              <w:rPr>
                <w:sz w:val="18"/>
              </w:rPr>
              <w:t>Owner</w:t>
            </w:r>
          </w:p>
        </w:tc>
      </w:tr>
      <w:tr>
        <w:tc>
          <w:tcPr>
            <w:tcW w:type="dxa" w:w="2112"/>
          </w:tcPr>
          <w:p>
            <w:pPr>
              <w:spacing w:line="240" w:lineRule="auto"/>
            </w:pPr>
            <w:r>
              <w:rPr>
                <w:sz w:val="18"/>
              </w:rPr>
              <w:t>Ambiguous source price meaning</w:t>
            </w:r>
          </w:p>
        </w:tc>
        <w:tc>
          <w:tcPr>
            <w:tcW w:type="dxa" w:w="2112"/>
          </w:tcPr>
          <w:p>
            <w:pPr>
              <w:spacing w:line="240" w:lineRule="auto"/>
            </w:pPr>
            <w:r>
              <w:rPr>
                <w:sz w:val="18"/>
              </w:rPr>
              <w:t>Wrong interpretation</w:t>
            </w:r>
          </w:p>
        </w:tc>
        <w:tc>
          <w:tcPr>
            <w:tcW w:type="dxa" w:w="2112"/>
          </w:tcPr>
          <w:p>
            <w:pPr>
              <w:spacing w:line="240" w:lineRule="auto"/>
            </w:pPr>
            <w:r>
              <w:rPr>
                <w:sz w:val="18"/>
              </w:rPr>
              <w:t>Confirm provider definition and retain caveat</w:t>
            </w:r>
          </w:p>
        </w:tc>
        <w:tc>
          <w:tcPr>
            <w:tcW w:type="dxa" w:w="2112"/>
          </w:tcPr>
          <w:p>
            <w:pPr>
              <w:spacing w:line="240" w:lineRule="auto"/>
            </w:pPr>
            <w:r>
              <w:rPr>
                <w:sz w:val="18"/>
              </w:rPr>
            </w:r>
          </w:p>
        </w:tc>
      </w:tr>
      <w:tr>
        <w:tc>
          <w:tcPr>
            <w:tcW w:type="dxa" w:w="2112"/>
          </w:tcPr>
          <w:p>
            <w:pPr>
              <w:spacing w:line="240" w:lineRule="auto"/>
            </w:pPr>
            <w:r>
              <w:rPr>
                <w:sz w:val="18"/>
              </w:rPr>
              <w:t>Stale or missing price inputs</w:t>
            </w:r>
          </w:p>
        </w:tc>
        <w:tc>
          <w:tcPr>
            <w:tcW w:type="dxa" w:w="2112"/>
          </w:tcPr>
          <w:p>
            <w:pPr>
              <w:spacing w:line="240" w:lineRule="auto"/>
            </w:pPr>
            <w:r>
              <w:rPr>
                <w:sz w:val="18"/>
              </w:rPr>
              <w:t>Misleading forecast</w:t>
            </w:r>
          </w:p>
        </w:tc>
        <w:tc>
          <w:tcPr>
            <w:tcW w:type="dxa" w:w="2112"/>
          </w:tcPr>
          <w:p>
            <w:pPr>
              <w:spacing w:line="240" w:lineRule="auto"/>
            </w:pPr>
            <w:r>
              <w:rPr>
                <w:sz w:val="18"/>
              </w:rPr>
              <w:t>Freshness check and abstention rule</w:t>
            </w:r>
          </w:p>
        </w:tc>
        <w:tc>
          <w:tcPr>
            <w:tcW w:type="dxa" w:w="2112"/>
          </w:tcPr>
          <w:p>
            <w:pPr>
              <w:spacing w:line="240" w:lineRule="auto"/>
            </w:pPr>
            <w:r>
              <w:rPr>
                <w:sz w:val="18"/>
              </w:rPr>
            </w:r>
          </w:p>
        </w:tc>
      </w:tr>
      <w:tr>
        <w:tc>
          <w:tcPr>
            <w:tcW w:type="dxa" w:w="2112"/>
          </w:tcPr>
          <w:p>
            <w:pPr>
              <w:spacing w:line="240" w:lineRule="auto"/>
            </w:pPr>
            <w:r>
              <w:rPr>
                <w:sz w:val="18"/>
              </w:rPr>
              <w:t>Non-comparable model scores</w:t>
            </w:r>
          </w:p>
        </w:tc>
        <w:tc>
          <w:tcPr>
            <w:tcW w:type="dxa" w:w="2112"/>
          </w:tcPr>
          <w:p>
            <w:pPr>
              <w:spacing w:line="240" w:lineRule="auto"/>
            </w:pPr>
            <w:r>
              <w:rPr>
                <w:sz w:val="18"/>
              </w:rPr>
              <w:t>False model selection</w:t>
            </w:r>
          </w:p>
        </w:tc>
        <w:tc>
          <w:tcPr>
            <w:tcW w:type="dxa" w:w="2112"/>
          </w:tcPr>
          <w:p>
            <w:pPr>
              <w:spacing w:line="240" w:lineRule="auto"/>
            </w:pPr>
            <w:r>
              <w:rPr>
                <w:sz w:val="18"/>
              </w:rPr>
              <w:t>Common rolling-origin benchmark</w:t>
            </w:r>
          </w:p>
        </w:tc>
        <w:tc>
          <w:tcPr>
            <w:tcW w:type="dxa" w:w="2112"/>
          </w:tcPr>
          <w:p>
            <w:pPr>
              <w:spacing w:line="240" w:lineRule="auto"/>
            </w:pPr>
            <w:r>
              <w:rPr>
                <w:sz w:val="18"/>
              </w:rPr>
            </w:r>
          </w:p>
        </w:tc>
      </w:tr>
      <w:tr>
        <w:tc>
          <w:tcPr>
            <w:tcW w:type="dxa" w:w="2112"/>
          </w:tcPr>
          <w:p>
            <w:pPr>
              <w:spacing w:line="240" w:lineRule="auto"/>
            </w:pPr>
            <w:r>
              <w:rPr>
                <w:sz w:val="18"/>
              </w:rPr>
              <w:t>Extreme-value handling error</w:t>
            </w:r>
          </w:p>
        </w:tc>
        <w:tc>
          <w:tcPr>
            <w:tcW w:type="dxa" w:w="2112"/>
          </w:tcPr>
          <w:p>
            <w:pPr>
              <w:spacing w:line="240" w:lineRule="auto"/>
            </w:pPr>
            <w:r>
              <w:rPr>
                <w:sz w:val="18"/>
              </w:rPr>
              <w:t>Distorted training series</w:t>
            </w:r>
          </w:p>
        </w:tc>
        <w:tc>
          <w:tcPr>
            <w:tcW w:type="dxa" w:w="2112"/>
          </w:tcPr>
          <w:p>
            <w:pPr>
              <w:spacing w:line="240" w:lineRule="auto"/>
            </w:pPr>
            <w:r>
              <w:rPr>
                <w:sz w:val="18"/>
              </w:rPr>
              <w:t>Row-level review and audit log</w:t>
            </w:r>
          </w:p>
        </w:tc>
        <w:tc>
          <w:tcPr>
            <w:tcW w:type="dxa" w:w="2112"/>
          </w:tcPr>
          <w:p>
            <w:pPr>
              <w:spacing w:line="240" w:lineRule="auto"/>
            </w:pPr>
            <w:r>
              <w:rPr>
                <w:sz w:val="18"/>
              </w:rPr>
            </w:r>
          </w:p>
        </w:tc>
      </w:tr>
      <w:tr>
        <w:tc>
          <w:tcPr>
            <w:tcW w:type="dxa" w:w="2112"/>
          </w:tcPr>
          <w:p>
            <w:pPr>
              <w:spacing w:line="240" w:lineRule="auto"/>
            </w:pPr>
            <w:r>
              <w:rPr>
                <w:sz w:val="18"/>
              </w:rPr>
              <w:t>Procurement text inconsistency</w:t>
            </w:r>
          </w:p>
        </w:tc>
        <w:tc>
          <w:tcPr>
            <w:tcW w:type="dxa" w:w="2112"/>
          </w:tcPr>
          <w:p>
            <w:pPr>
              <w:spacing w:line="240" w:lineRule="auto"/>
            </w:pPr>
            <w:r>
              <w:rPr>
                <w:sz w:val="18"/>
              </w:rPr>
              <w:t>Confusing action</w:t>
            </w:r>
          </w:p>
        </w:tc>
        <w:tc>
          <w:tcPr>
            <w:tcW w:type="dxa" w:w="2112"/>
          </w:tcPr>
          <w:p>
            <w:pPr>
              <w:spacing w:line="240" w:lineRule="auto"/>
            </w:pPr>
            <w:r>
              <w:rPr>
                <w:sz w:val="18"/>
              </w:rPr>
              <w:t>Rule review and user acceptance check</w:t>
            </w:r>
          </w:p>
        </w:tc>
        <w:tc>
          <w:tcPr>
            <w:tcW w:type="dxa" w:w="2112"/>
          </w:tcPr>
          <w:p>
            <w:pPr>
              <w:spacing w:line="240" w:lineRule="auto"/>
            </w:pPr>
            <w:r>
              <w:rPr>
                <w:sz w:val="18"/>
              </w:rPr>
            </w:r>
          </w:p>
        </w:tc>
      </w:tr>
      <w:tr>
        <w:tc>
          <w:tcPr>
            <w:tcW w:type="dxa" w:w="2112"/>
          </w:tcPr>
          <w:p>
            <w:pPr>
              <w:spacing w:line="240" w:lineRule="auto"/>
            </w:pPr>
            <w:r>
              <w:rPr>
                <w:sz w:val="18"/>
              </w:rPr>
              <w:t>Unmeasured buyer outcomes</w:t>
            </w:r>
          </w:p>
        </w:tc>
        <w:tc>
          <w:tcPr>
            <w:tcW w:type="dxa" w:w="2112"/>
          </w:tcPr>
          <w:p>
            <w:pPr>
              <w:spacing w:line="240" w:lineRule="auto"/>
            </w:pPr>
            <w:r>
              <w:rPr>
                <w:sz w:val="18"/>
              </w:rPr>
              <w:t>Unsupported savings claim</w:t>
            </w:r>
          </w:p>
        </w:tc>
        <w:tc>
          <w:tcPr>
            <w:tcW w:type="dxa" w:w="2112"/>
          </w:tcPr>
          <w:p>
            <w:pPr>
              <w:spacing w:line="240" w:lineRule="auto"/>
            </w:pPr>
            <w:r>
              <w:rPr>
                <w:sz w:val="18"/>
              </w:rPr>
              <w:t>Prospective controlled pilot</w:t>
            </w:r>
          </w:p>
        </w:tc>
        <w:tc>
          <w:tcPr>
            <w:tcW w:type="dxa" w:w="2112"/>
          </w:tcPr>
          <w:p>
            <w:pPr>
              <w:spacing w:line="240" w:lineRule="auto"/>
            </w:pPr>
            <w:r>
              <w:rPr>
                <w:sz w:val="18"/>
              </w:rPr>
            </w:r>
          </w:p>
        </w:tc>
      </w:tr>
      <w:tr>
        <w:tc>
          <w:tcPr>
            <w:tcW w:type="dxa" w:w="2112"/>
          </w:tcPr>
          <w:p>
            <w:pPr>
              <w:spacing w:line="240" w:lineRule="auto"/>
            </w:pPr>
            <w:r>
              <w:rPr>
                <w:sz w:val="18"/>
              </w:rPr>
              <w:t>Sensitive transaction data</w:t>
            </w:r>
          </w:p>
        </w:tc>
        <w:tc>
          <w:tcPr>
            <w:tcW w:type="dxa" w:w="2112"/>
          </w:tcPr>
          <w:p>
            <w:pPr>
              <w:spacing w:line="240" w:lineRule="auto"/>
            </w:pPr>
            <w:r>
              <w:rPr>
                <w:sz w:val="18"/>
              </w:rPr>
              <w:t>Commercial exposure</w:t>
            </w:r>
          </w:p>
        </w:tc>
        <w:tc>
          <w:tcPr>
            <w:tcW w:type="dxa" w:w="2112"/>
          </w:tcPr>
          <w:p>
            <w:pPr>
              <w:spacing w:line="240" w:lineRule="auto"/>
            </w:pPr>
            <w:r>
              <w:rPr>
                <w:sz w:val="18"/>
              </w:rPr>
              <w:t>Access control and retention policy</w:t>
            </w:r>
          </w:p>
        </w:tc>
        <w:tc>
          <w:tcPr>
            <w:tcW w:type="dxa" w:w="2112"/>
          </w:tcPr>
          <w:p>
            <w:pPr>
              <w:spacing w:line="240" w:lineRule="auto"/>
            </w:pPr>
            <w:r>
              <w:rPr>
                <w:sz w:val="18"/>
              </w:rPr>
            </w:r>
          </w:p>
        </w:tc>
      </w:tr>
    </w:tbl>
    <w:p>
      <w:r>
        <w:br w:type="page"/>
      </w:r>
    </w:p>
    <w:p>
      <w:pPr>
        <w:pStyle w:val="Title"/>
      </w:pPr>
      <w:r>
        <w:t>APPENDIX I - INTERPRETATION GUIDE AND GLOSSARY</w:t>
      </w:r>
    </w:p>
    <w:tbl>
      <w:tblPr>
        <w:tblStyle w:val="TableGrid"/>
        <w:tblW w:type="auto" w:w="0"/>
        <w:tblLook w:firstColumn="1" w:firstRow="1" w:lastColumn="0" w:lastRow="0" w:noHBand="0" w:noVBand="1" w:val="04A0"/>
      </w:tblPr>
      <w:tblGrid>
        <w:gridCol w:w="4224"/>
        <w:gridCol w:w="4224"/>
      </w:tblGrid>
      <w:tr>
        <w:tc>
          <w:tcPr>
            <w:tcW w:type="dxa" w:w="4224"/>
          </w:tcPr>
          <w:p>
            <w:pPr>
              <w:spacing w:line="240" w:lineRule="auto"/>
            </w:pPr>
            <w:r>
              <w:rPr>
                <w:sz w:val="18"/>
              </w:rPr>
              <w:t>Term</w:t>
            </w:r>
          </w:p>
        </w:tc>
        <w:tc>
          <w:tcPr>
            <w:tcW w:type="dxa" w:w="4224"/>
          </w:tcPr>
          <w:p>
            <w:pPr>
              <w:spacing w:line="240" w:lineRule="auto"/>
            </w:pPr>
            <w:r>
              <w:rPr>
                <w:sz w:val="18"/>
              </w:rPr>
              <w:t>Working meaning in this report</w:t>
            </w:r>
          </w:p>
        </w:tc>
      </w:tr>
      <w:tr>
        <w:tc>
          <w:tcPr>
            <w:tcW w:type="dxa" w:w="4224"/>
          </w:tcPr>
          <w:p>
            <w:pPr>
              <w:spacing w:line="240" w:lineRule="auto"/>
            </w:pPr>
            <w:r>
              <w:rPr>
                <w:sz w:val="18"/>
              </w:rPr>
              <w:t>Aggregate daily price</w:t>
            </w:r>
          </w:p>
        </w:tc>
        <w:tc>
          <w:tcPr>
            <w:tcW w:type="dxa" w:w="4224"/>
          </w:tcPr>
          <w:p>
            <w:pPr>
              <w:spacing w:line="240" w:lineRule="auto"/>
            </w:pPr>
            <w:r>
              <w:rPr>
                <w:sz w:val="18"/>
              </w:rPr>
              <w:t>A daily commodity value produced after combining source observations according to a specified rule. It is not automatically an individual market quote.</w:t>
            </w:r>
          </w:p>
        </w:tc>
      </w:tr>
      <w:tr>
        <w:tc>
          <w:tcPr>
            <w:tcW w:type="dxa" w:w="4224"/>
          </w:tcPr>
          <w:p>
            <w:pPr>
              <w:spacing w:line="240" w:lineRule="auto"/>
            </w:pPr>
            <w:r>
              <w:rPr>
                <w:sz w:val="18"/>
              </w:rPr>
              <w:t>As-of time</w:t>
            </w:r>
          </w:p>
        </w:tc>
        <w:tc>
          <w:tcPr>
            <w:tcW w:type="dxa" w:w="4224"/>
          </w:tcPr>
          <w:p>
            <w:pPr>
              <w:spacing w:line="240" w:lineRule="auto"/>
            </w:pPr>
            <w:r>
              <w:rPr>
                <w:sz w:val="18"/>
              </w:rPr>
              <w:t>The latest time at which information is available when a forecast is issued. Inputs after this time are not permitted.</w:t>
            </w:r>
          </w:p>
        </w:tc>
      </w:tr>
      <w:tr>
        <w:tc>
          <w:tcPr>
            <w:tcW w:type="dxa" w:w="4224"/>
          </w:tcPr>
          <w:p>
            <w:pPr>
              <w:spacing w:line="240" w:lineRule="auto"/>
            </w:pPr>
            <w:r>
              <w:rPr>
                <w:sz w:val="18"/>
              </w:rPr>
              <w:t>Backtest</w:t>
            </w:r>
          </w:p>
        </w:tc>
        <w:tc>
          <w:tcPr>
            <w:tcW w:type="dxa" w:w="4224"/>
          </w:tcPr>
          <w:p>
            <w:pPr>
              <w:spacing w:line="240" w:lineRule="auto"/>
            </w:pPr>
            <w:r>
              <w:rPr>
                <w:sz w:val="18"/>
              </w:rPr>
              <w:t>A retrospective simulation of forecasting at earlier dates using only information that would then have been available.</w:t>
            </w:r>
          </w:p>
        </w:tc>
      </w:tr>
      <w:tr>
        <w:tc>
          <w:tcPr>
            <w:tcW w:type="dxa" w:w="4224"/>
          </w:tcPr>
          <w:p>
            <w:pPr>
              <w:spacing w:line="240" w:lineRule="auto"/>
            </w:pPr>
            <w:r>
              <w:rPr>
                <w:sz w:val="18"/>
              </w:rPr>
              <w:t>Data leakage</w:t>
            </w:r>
          </w:p>
        </w:tc>
        <w:tc>
          <w:tcPr>
            <w:tcW w:type="dxa" w:w="4224"/>
          </w:tcPr>
          <w:p>
            <w:pPr>
              <w:spacing w:line="240" w:lineRule="auto"/>
            </w:pPr>
            <w:r>
              <w:rPr>
                <w:sz w:val="18"/>
              </w:rPr>
              <w:t>Use of information unavailable at prediction time, often causing overly optimistic evaluation.</w:t>
            </w:r>
          </w:p>
        </w:tc>
      </w:tr>
      <w:tr>
        <w:tc>
          <w:tcPr>
            <w:tcW w:type="dxa" w:w="4224"/>
          </w:tcPr>
          <w:p>
            <w:pPr>
              <w:spacing w:line="240" w:lineRule="auto"/>
            </w:pPr>
            <w:r>
              <w:rPr>
                <w:sz w:val="18"/>
              </w:rPr>
              <w:t>Expanding window</w:t>
            </w:r>
          </w:p>
        </w:tc>
        <w:tc>
          <w:tcPr>
            <w:tcW w:type="dxa" w:w="4224"/>
          </w:tcPr>
          <w:p>
            <w:pPr>
              <w:spacing w:line="240" w:lineRule="auto"/>
            </w:pPr>
            <w:r>
              <w:rPr>
                <w:sz w:val="18"/>
              </w:rPr>
              <w:t>A validation approach that increases the training sample as the forecast origin moves forward.</w:t>
            </w:r>
          </w:p>
        </w:tc>
      </w:tr>
      <w:tr>
        <w:tc>
          <w:tcPr>
            <w:tcW w:type="dxa" w:w="4224"/>
          </w:tcPr>
          <w:p>
            <w:pPr>
              <w:spacing w:line="240" w:lineRule="auto"/>
            </w:pPr>
            <w:r>
              <w:rPr>
                <w:sz w:val="18"/>
              </w:rPr>
              <w:t>Forecast horizon</w:t>
            </w:r>
          </w:p>
        </w:tc>
        <w:tc>
          <w:tcPr>
            <w:tcW w:type="dxa" w:w="4224"/>
          </w:tcPr>
          <w:p>
            <w:pPr>
              <w:spacing w:line="240" w:lineRule="auto"/>
            </w:pPr>
            <w:r>
              <w:rPr>
                <w:sz w:val="18"/>
              </w:rPr>
              <w:t>The future period for which predictions are issued, measured in days or trading observations.</w:t>
            </w:r>
          </w:p>
        </w:tc>
      </w:tr>
      <w:tr>
        <w:tc>
          <w:tcPr>
            <w:tcW w:type="dxa" w:w="4224"/>
          </w:tcPr>
          <w:p>
            <w:pPr>
              <w:spacing w:line="240" w:lineRule="auto"/>
            </w:pPr>
            <w:r>
              <w:rPr>
                <w:sz w:val="18"/>
              </w:rPr>
              <w:t>Ground truth</w:t>
            </w:r>
          </w:p>
        </w:tc>
        <w:tc>
          <w:tcPr>
            <w:tcW w:type="dxa" w:w="4224"/>
          </w:tcPr>
          <w:p>
            <w:pPr>
              <w:spacing w:line="240" w:lineRule="auto"/>
            </w:pPr>
            <w:r>
              <w:rPr>
                <w:sz w:val="18"/>
              </w:rPr>
              <w:t>The verified outcome used to score a prediction. Its meaning depends on the source and measurement definition.</w:t>
            </w:r>
          </w:p>
        </w:tc>
      </w:tr>
      <w:tr>
        <w:tc>
          <w:tcPr>
            <w:tcW w:type="dxa" w:w="4224"/>
          </w:tcPr>
          <w:p>
            <w:pPr>
              <w:spacing w:line="240" w:lineRule="auto"/>
            </w:pPr>
            <w:r>
              <w:rPr>
                <w:sz w:val="18"/>
              </w:rPr>
              <w:t>MAPE</w:t>
            </w:r>
          </w:p>
        </w:tc>
        <w:tc>
          <w:tcPr>
            <w:tcW w:type="dxa" w:w="4224"/>
          </w:tcPr>
          <w:p>
            <w:pPr>
              <w:spacing w:line="240" w:lineRule="auto"/>
            </w:pPr>
            <w:r>
              <w:rPr>
                <w:sz w:val="18"/>
              </w:rPr>
              <w:t>Mean absolute prediction error divided by actual values and expressed as a percentage; sensitive to small denominators.</w:t>
            </w:r>
          </w:p>
        </w:tc>
      </w:tr>
      <w:tr>
        <w:tc>
          <w:tcPr>
            <w:tcW w:type="dxa" w:w="4224"/>
          </w:tcPr>
          <w:p>
            <w:pPr>
              <w:spacing w:line="240" w:lineRule="auto"/>
            </w:pPr>
            <w:r>
              <w:rPr>
                <w:sz w:val="18"/>
              </w:rPr>
              <w:t>Modal price</w:t>
            </w:r>
          </w:p>
        </w:tc>
        <w:tc>
          <w:tcPr>
            <w:tcW w:type="dxa" w:w="4224"/>
          </w:tcPr>
          <w:p>
            <w:pPr>
              <w:spacing w:line="240" w:lineRule="auto"/>
            </w:pPr>
            <w:r>
              <w:rPr>
                <w:sz w:val="18"/>
              </w:rPr>
              <w:t>The most frequently observed price in a defined set, if the source explicitly defines it that way.</w:t>
            </w:r>
          </w:p>
        </w:tc>
      </w:tr>
      <w:tr>
        <w:tc>
          <w:tcPr>
            <w:tcW w:type="dxa" w:w="4224"/>
          </w:tcPr>
          <w:p>
            <w:pPr>
              <w:spacing w:line="240" w:lineRule="auto"/>
            </w:pPr>
            <w:r>
              <w:rPr>
                <w:sz w:val="18"/>
              </w:rPr>
              <w:t>Out-of-sample</w:t>
            </w:r>
          </w:p>
        </w:tc>
        <w:tc>
          <w:tcPr>
            <w:tcW w:type="dxa" w:w="4224"/>
          </w:tcPr>
          <w:p>
            <w:pPr>
              <w:spacing w:line="240" w:lineRule="auto"/>
            </w:pPr>
            <w:r>
              <w:rPr>
                <w:sz w:val="18"/>
              </w:rPr>
              <w:t>Observations not used to fit a model and reserved for evaluating predictions.</w:t>
            </w:r>
          </w:p>
        </w:tc>
      </w:tr>
      <w:tr>
        <w:tc>
          <w:tcPr>
            <w:tcW w:type="dxa" w:w="4224"/>
          </w:tcPr>
          <w:p>
            <w:pPr>
              <w:spacing w:line="240" w:lineRule="auto"/>
            </w:pPr>
            <w:r>
              <w:rPr>
                <w:sz w:val="18"/>
              </w:rPr>
              <w:t>Prediction interval</w:t>
            </w:r>
          </w:p>
        </w:tc>
        <w:tc>
          <w:tcPr>
            <w:tcW w:type="dxa" w:w="4224"/>
          </w:tcPr>
          <w:p>
            <w:pPr>
              <w:spacing w:line="240" w:lineRule="auto"/>
            </w:pPr>
            <w:r>
              <w:rPr>
                <w:sz w:val="18"/>
              </w:rPr>
              <w:t>A range intended to contain a future observation at a stated coverage level, subject to calibration.</w:t>
            </w:r>
          </w:p>
        </w:tc>
      </w:tr>
      <w:tr>
        <w:tc>
          <w:tcPr>
            <w:tcW w:type="dxa" w:w="4224"/>
          </w:tcPr>
          <w:p>
            <w:pPr>
              <w:spacing w:line="240" w:lineRule="auto"/>
            </w:pPr>
            <w:r>
              <w:rPr>
                <w:sz w:val="18"/>
              </w:rPr>
              <w:t>Rolling-origin validation</w:t>
            </w:r>
          </w:p>
        </w:tc>
        <w:tc>
          <w:tcPr>
            <w:tcW w:type="dxa" w:w="4224"/>
          </w:tcPr>
          <w:p>
            <w:pPr>
              <w:spacing w:line="240" w:lineRule="auto"/>
            </w:pPr>
            <w:r>
              <w:rPr>
                <w:sz w:val="18"/>
              </w:rPr>
              <w:t>Repeated chronological evaluation using multiple training cut-offs and later test periods.</w:t>
            </w:r>
          </w:p>
        </w:tc>
      </w:tr>
      <w:tr>
        <w:tc>
          <w:tcPr>
            <w:tcW w:type="dxa" w:w="4224"/>
          </w:tcPr>
          <w:p>
            <w:pPr>
              <w:spacing w:line="240" w:lineRule="auto"/>
            </w:pPr>
            <w:r>
              <w:rPr>
                <w:sz w:val="18"/>
              </w:rPr>
              <w:t>Secondary data</w:t>
            </w:r>
          </w:p>
        </w:tc>
        <w:tc>
          <w:tcPr>
            <w:tcW w:type="dxa" w:w="4224"/>
          </w:tcPr>
          <w:p>
            <w:pPr>
              <w:spacing w:line="240" w:lineRule="auto"/>
            </w:pPr>
            <w:r>
              <w:rPr>
                <w:sz w:val="18"/>
              </w:rPr>
              <w:t>Information originally collected or published by another party and reused for this study.</w:t>
            </w:r>
          </w:p>
        </w:tc>
      </w:tr>
      <w:tr>
        <w:tc>
          <w:tcPr>
            <w:tcW w:type="dxa" w:w="4224"/>
          </w:tcPr>
          <w:p>
            <w:pPr>
              <w:spacing w:line="240" w:lineRule="auto"/>
            </w:pPr>
            <w:r>
              <w:rPr>
                <w:sz w:val="18"/>
              </w:rPr>
              <w:t>SHAP attribution</w:t>
            </w:r>
          </w:p>
        </w:tc>
        <w:tc>
          <w:tcPr>
            <w:tcW w:type="dxa" w:w="4224"/>
          </w:tcPr>
          <w:p>
            <w:pPr>
              <w:spacing w:line="240" w:lineRule="auto"/>
            </w:pPr>
            <w:r>
              <w:rPr>
                <w:sz w:val="18"/>
              </w:rPr>
              <w:t>A model-specific allocation of prediction contribution across input features; not a causal effect.</w:t>
            </w:r>
          </w:p>
        </w:tc>
      </w:tr>
      <w:tr>
        <w:tc>
          <w:tcPr>
            <w:tcW w:type="dxa" w:w="4224"/>
          </w:tcPr>
          <w:p>
            <w:pPr>
              <w:spacing w:line="240" w:lineRule="auto"/>
            </w:pPr>
            <w:r>
              <w:rPr>
                <w:sz w:val="18"/>
              </w:rPr>
              <w:t>Statewide series</w:t>
            </w:r>
          </w:p>
        </w:tc>
        <w:tc>
          <w:tcPr>
            <w:tcW w:type="dxa" w:w="4224"/>
          </w:tcPr>
          <w:p>
            <w:pPr>
              <w:spacing w:line="240" w:lineRule="auto"/>
            </w:pPr>
            <w:r>
              <w:rPr>
                <w:sz w:val="18"/>
              </w:rPr>
              <w:t>An aggregate over multiple markets within Tamil Nadu under the pipeline’s aggregation rule.</w:t>
            </w:r>
          </w:p>
        </w:tc>
      </w:tr>
      <w:tr>
        <w:tc>
          <w:tcPr>
            <w:tcW w:type="dxa" w:w="4224"/>
          </w:tcPr>
          <w:p>
            <w:pPr>
              <w:spacing w:line="240" w:lineRule="auto"/>
            </w:pPr>
            <w:r>
              <w:rPr>
                <w:sz w:val="18"/>
              </w:rPr>
              <w:t>Target leakage</w:t>
            </w:r>
          </w:p>
        </w:tc>
        <w:tc>
          <w:tcPr>
            <w:tcW w:type="dxa" w:w="4224"/>
          </w:tcPr>
          <w:p>
            <w:pPr>
              <w:spacing w:line="240" w:lineRule="auto"/>
            </w:pPr>
            <w:r>
              <w:rPr>
                <w:sz w:val="18"/>
              </w:rPr>
              <w:t>A form of data leakage where the outcome or a proxy for it enters predictors.</w:t>
            </w:r>
          </w:p>
        </w:tc>
      </w:tr>
      <w:tr>
        <w:tc>
          <w:tcPr>
            <w:tcW w:type="dxa" w:w="4224"/>
          </w:tcPr>
          <w:p>
            <w:pPr>
              <w:spacing w:line="240" w:lineRule="auto"/>
            </w:pPr>
            <w:r>
              <w:rPr>
                <w:sz w:val="18"/>
              </w:rPr>
              <w:t>Wholesale quote</w:t>
            </w:r>
          </w:p>
        </w:tc>
        <w:tc>
          <w:tcPr>
            <w:tcW w:type="dxa" w:w="4224"/>
          </w:tcPr>
          <w:p>
            <w:pPr>
              <w:spacing w:line="240" w:lineRule="auto"/>
            </w:pPr>
            <w:r>
              <w:rPr>
                <w:sz w:val="18"/>
              </w:rPr>
              <w:t>A price at a defined wholesale transaction level; it must be distinguished from retail and indicative listings.</w:t>
            </w:r>
          </w:p>
        </w:tc>
      </w:tr>
    </w:tbl>
    <w:p>
      <w:r>
        <w:t>This glossary is intended to keep terms consistent in the report and dashboard. It does not override the upstream data provider’s definitions. When source documentation uses a different meaning, the provider’s definition should be recorded and the analytical label revised accordingly.</w:t>
      </w:r>
    </w:p>
    <w:p>
      <w:r>
        <w:br w:type="page"/>
      </w:r>
    </w:p>
    <w:p>
      <w:pPr>
        <w:pStyle w:val="Title"/>
      </w:pPr>
      <w:r>
        <w:t>APPENDIX J - ANALYTICAL DEFINITIONS AND REPRODUCIBILITY DETAILS</w:t>
      </w:r>
    </w:p>
    <w:p>
      <w:pPr>
        <w:pStyle w:val="Heading1"/>
      </w:pPr>
      <w:r>
        <w:t>J.1 Daily aggregation specification</w:t>
      </w:r>
    </w:p>
    <w:p>
      <w:r>
        <w:t>A daily price series must state which source field is aggregated and how multiple observations for the same date and commodity are combined. A simple arithmetic average gives equal weight to every included record; it can differ from a market-weighted average if markets contribute different numbers of observations or trade volumes. A median can reduce sensitivity to extremes but represents a different target. The implementation should identify its actual aggregation rule and preserve the contributing row count and market count for each daily value.</w:t>
      </w:r>
    </w:p>
    <w:p>
      <w:r>
        <w:t>When market coverage changes, the aggregate may move because the contributing set changed. A coverage table should accompany the daily price and identify the markets represented at each date. If a market is absent, the pipeline should not interpret absence as a zero price. The analysis should distinguish no observation, a market holiday and an observed value of zero if that code exists in the source.</w:t>
      </w:r>
    </w:p>
    <w:p>
      <w:r>
        <w:t>Aggregation should be tested with a small hand-checked sample. Select dates with multiple markets and reproduce the output directly from raw rows. Compare the calculated result to the processed series and record the rounding rule. A reproducibility test can detect unintended duplicate weighting or inconsistent treatment of missing price fields.</w:t>
      </w:r>
    </w:p>
    <w:p>
      <w:pPr>
        <w:pStyle w:val="Heading1"/>
      </w:pPr>
      <w:r>
        <w:t>J.2 Feature engineering specification</w:t>
      </w:r>
    </w:p>
    <w:p>
      <w:r>
        <w:t>For each feature, the project documentation should define its mathematical operation, window length, treatment of gaps and earliest date on which it becomes available. A lag feature should specify whether it refers to calendar days or prior observed records. A rolling mean should state whether the current date is included; for a forecast issued before the current day closes, including the current value may leak information. A rolling standard deviation should state the degrees-of-freedom convention if exact reproduction is required.</w:t>
      </w:r>
    </w:p>
    <w:p>
      <w:r>
        <w:t>Calendar variables should be built from the issue date or target date according to the forecast task. If a model forecasts a future date, known calendar labels may be valid predictors. Actual future weather is not known at issue time; only a weather forecast available then would be eligible. The local historical weather file provides actual recorded conditions, so its use must be aligned with a realistic information set before interpreting forecast performance.</w:t>
      </w:r>
    </w:p>
    <w:p>
      <w:r>
        <w:t>Feature engineering should be tested at cut-off boundaries. For each validation origin, the analyst can verify that no feature value depends on a target observation after the origin. A simple audit can recalculate a feature for a selected row using only earlier records and compare the result. This check should be part of the pipeline rather than a one-time manual assurance.</w:t>
      </w:r>
    </w:p>
    <w:p>
      <w:pPr>
        <w:pStyle w:val="Heading1"/>
      </w:pPr>
      <w:r>
        <w:t>J.3 Metric definitions and reporting rules</w:t>
      </w:r>
    </w:p>
    <w:p>
      <w:r>
        <w:t>MAE is the average absolute difference between predicted and observed values in the target unit. RMSE is the square root of the average squared difference and gives larger deviations more weight. MAPE is the average absolute difference divided by the absolute observed value, multiplied by one hundred; observations with a zero denominator require an explicit rule. This report uses the pipeline’s saved MAPE summaries and does not reconstruct unreported MAE or RMSE values.</w:t>
      </w:r>
    </w:p>
    <w:p>
      <w:r>
        <w:t>When aggregating across commodities, calculate each commodity’s metric first and state whether the final mean weights commodities equally. A pooled observation-level metric weights series with more scored dates more heavily. Both can be useful, but they answer different questions. For buyers with known procurement volumes, a volume-weighted metric may be relevant, provided those volumes are observed and not invented.</w:t>
      </w:r>
    </w:p>
    <w:p>
      <w:r>
        <w:t>Forecast error should also be interpreted against a baseline. Define skill relative to a selected baseline only when both forecasts cover identical dates and use the same metric. A negative skill value indicates worse performance than the baseline for that measure; a positive value indicates improvement. The baseline definition and sign convention should appear beside the result to avoid ambiguous claims.</w:t>
      </w:r>
    </w:p>
    <w:p>
      <w:pPr>
        <w:pStyle w:val="Heading1"/>
      </w:pPr>
      <w:r>
        <w:t>J.4 Model reproducibility record</w:t>
      </w:r>
    </w:p>
    <w:p>
      <w:r>
        <w:t>A reproducible model record includes the raw data snapshot, preprocessing code version, feature definitions, training dates, validation origins, package versions, random seeds where applicable, model parameters, warnings, fitted artifact and forecast output. The record should identify failed runs and explain whether a fallback model was used. Logging only the final metric is insufficient because it does not allow an analyst to reconstruct the experiment.</w:t>
      </w:r>
    </w:p>
    <w:p>
      <w:r>
        <w:t>Tree methods can vary with random initialization, software version and execution settings. The run should set seeds where supported and record the configuration. A repeated run can then determine whether score variation is material. If a model is nondeterministic under the chosen hardware or library, the report should describe the range across repeated fits instead of implying a single exact result.</w:t>
      </w:r>
    </w:p>
    <w:p>
      <w:r>
        <w:t>Artifacts should be stored in a run-specific directory with a concise manifest. Raw source files should be read-only, while processed outputs and logs are new files. The manifest should record completion status of each stage and point to the final analytical tables. This organization makes it easier to compare future runs without overwriting prior evidence.</w:t>
      </w:r>
    </w:p>
    <w:p>
      <w:pPr>
        <w:pStyle w:val="Heading1"/>
      </w:pPr>
      <w:r>
        <w:t>J.5 Tables and charts for a final academic submission</w:t>
      </w:r>
    </w:p>
    <w:p>
      <w:r>
        <w:t>Every table should have a number, descriptive caption, clear units and a source note. If a table is calculated from the study dataset, the note should name the dataset and summarize the aggregation. If a value comes from an external report, cite the report next to the table. Tables should not imply precision beyond the source; rounded percentages should use a consistent number of decimal places.</w:t>
      </w:r>
    </w:p>
    <w:p>
      <w:r>
        <w:t>Every figure should have a numbered caption and an explanation in the nearby text. A plot should label the price unit, dates, commodity and geography. Forecast and observation segments should be visually distinct. Any chart showing a suspicious record should mark it as a flagged value rather than allowing it to dominate the scale without explanation.</w:t>
      </w:r>
    </w:p>
    <w:p>
      <w:r>
        <w:t>For a viva presentation, select visuals that answer a research question rather than repeat every model output. A data coverage graphic, a chronological validation diagram, a compact metric comparison and a Koyambedu source-check summary can communicate the central findings. Each graphic should retain caveats when exported from the dashboard so that it remains understandable outside the full report.</w:t>
      </w:r>
    </w:p>
    <w:p>
      <w:pPr>
        <w:pStyle w:val="Heading1"/>
      </w:pPr>
      <w:r>
        <w:t>J.6 Limitations on inference</w:t>
      </w:r>
    </w:p>
    <w:p>
      <w:r>
        <w:t>The retrospective dataset does not randomly sample all transactions in the state. The analysis therefore describes the available records rather than estimating a statewide census parameter. A market with more reporting rows may contribute more strongly to an unweighted aggregation. Findings should not be generalized to all traders, retailers or consumer prices without evidence that the sample and measure represent those populations.</w:t>
      </w:r>
    </w:p>
    <w:p>
      <w:r>
        <w:t>Forecast accuracy over the historical test windows does not ensure future accuracy, especially under structural change. The observed period covers a limited number of annual cycles and may not include all relevant supply disruptions. A future shock can place inputs outside the historical training range. Monitoring and abstention are therefore part of responsible use, not optional interface features.</w:t>
      </w:r>
    </w:p>
    <w:p>
      <w:r>
        <w:t>No buyer-level outcomes are available, so the analysis cannot conclude that a forecast lowers total procurement cost, reduces spoilage or improves service. Those are hypotheses for a prospective study. The distinction should be preserved in the abstract, conclusions, dashboard and viva explanation.</w:t>
      </w:r>
    </w:p>
    <w:p>
      <w:r>
        <w:br w:type="page"/>
      </w:r>
    </w:p>
    <w:p>
      <w:pPr>
        <w:pStyle w:val="Title"/>
      </w:pPr>
      <w:r>
        <w:t>APPENDIX K - PROSPECTIVE STUDY ANALYSIS PLAN</w:t>
      </w:r>
    </w:p>
    <w:p>
      <w:pPr>
        <w:pStyle w:val="Heading1"/>
      </w:pPr>
      <w:r>
        <w:t>K.1 Questions and estimands</w:t>
      </w:r>
    </w:p>
    <w:p>
      <w:r>
        <w:t>A prospective evaluation should distinguish predictive performance from decision impact. The prediction question is how accurately a frozen model forecasts a precisely defined price series at a stated horizon. The decision question is whether access to that forecast changes purchasing choices and total delivered cost while maintaining service. The first can be answered from observed prices; the second requires buyer actions and outcomes.</w:t>
      </w:r>
    </w:p>
    <w:p>
      <w:r>
        <w:t>The primary prediction estimand can be the mean per-commodity MAE across prespecified rolling origins at the target horizon. Secondary measures can include RMSE, MAPE with a prespecified denominator rule, interval coverage and performance versus seasonal-naive. The primary decision estimand should be selected with participating buyers, such as the difference in spoilage-adjusted delivered cost for equivalent usable quantity under the pilot and comparison policy. The protocol must define the unit of comparison before data collection.</w:t>
      </w:r>
    </w:p>
    <w:p>
      <w:pPr>
        <w:pStyle w:val="Heading1"/>
      </w:pPr>
      <w:r>
        <w:t>K.2 Study periods and inclusion rules</w:t>
      </w:r>
    </w:p>
    <w:p>
      <w:r>
        <w:t>The protocol should state a start date, an observation frequency, eligible commodities, participating buyer types and the definition of a complete buyer-day. It should specify how cancellations, supplier substitutions, partial deliveries and missing invoices will be handled. These rules should be fixed before outcomes are reviewed to reduce selective inclusion.</w:t>
      </w:r>
    </w:p>
    <w:p>
      <w:r>
        <w:t>The forecast evaluation period should include a development period and a later assessment period. Model selection and threshold tuning should occur before the final assessment period. If the assessment data are used to revise the model, they are no longer an untouched test set and a later period will be needed for confirmation.</w:t>
      </w:r>
    </w:p>
    <w:p>
      <w:pPr>
        <w:pStyle w:val="Heading1"/>
      </w:pPr>
      <w:r>
        <w:t>K.3 Analysis and uncertainty</w:t>
      </w:r>
    </w:p>
    <w:p>
      <w:r>
        <w:t>Report the count of observations and participating buyers alongside each estimate. Provide uncertainty intervals appropriate to the repeated observations and buyer clustering. If the sample is small or the comparison design is weak, emphasize descriptive results and avoid claims of effect. Show commodity-specific estimates as well as the overall result so that a favorable aggregate does not conceal harmful outcomes for one item.</w:t>
      </w:r>
    </w:p>
    <w:p>
      <w:r>
        <w:t>For price forecasts, inspect error distributions and identify tail events. For procurement outcomes, examine cost together with service, spoilage and rejected quality. A lower cost accompanied by more stockouts is not a complete success. Sensitivity analysis can show how conclusions change under reasonable treatment of missing records, but the main analysis rules should remain predeclared.</w:t>
      </w:r>
    </w:p>
    <w:p>
      <w:pPr>
        <w:pStyle w:val="Heading1"/>
      </w:pPr>
      <w:r>
        <w:t>K.4 Reporting and decision criteria</w:t>
      </w:r>
    </w:p>
    <w:p>
      <w:r>
        <w:t>The final study report should describe the protocol deviations, missingness, overrides, adverse outcomes and data-source changes. Report all prespecified primary outcomes, even when they do not support the expected benefit. Summaries should state the uncertainty and practical importance of the estimate rather than focusing only on statistical significance.</w:t>
      </w:r>
    </w:p>
    <w:p>
      <w:r>
        <w:t>Before a pilot, stakeholders should define what evidence would justify continuation, revision or stopping. Criteria can include minimum data quality, acceptable forecast coverage, user comprehension, no material deterioration in stockout outcomes and evidence of a cost benefit under comparable service. The criteria should be approved in advance; this report does not assign thresholds because there are no observed buyer outcomes from which to derive them.</w:t>
      </w:r>
    </w:p>
    <w:tbl>
      <w:tblPr>
        <w:tblStyle w:val="TableGrid"/>
        <w:tblW w:type="auto" w:w="0"/>
        <w:jc w:val="center"/>
        <w:tblLook w:firstColumn="1" w:firstRow="1" w:lastColumn="0" w:lastRow="0" w:noHBand="0" w:noVBand="1" w:val="04A0"/>
      </w:tblPr>
      <w:tblGrid>
        <w:gridCol w:w="2112"/>
        <w:gridCol w:w="2112"/>
        <w:gridCol w:w="2112"/>
        <w:gridCol w:w="2112"/>
      </w:tblGrid>
      <w:tr>
        <w:tc>
          <w:tcPr>
            <w:tcW w:type="dxa" w:w="2112"/>
            <w:vAlign w:val="center"/>
          </w:tcPr>
          <w:p>
            <w:pPr>
              <w:spacing w:after="60"/>
            </w:pPr>
            <w:r>
              <w:rPr>
                <w:sz w:val="16"/>
              </w:rPr>
              <w:t>Proposal objective</w:t>
            </w:r>
          </w:p>
        </w:tc>
        <w:tc>
          <w:tcPr>
            <w:tcW w:type="dxa" w:w="2112"/>
            <w:vAlign w:val="center"/>
          </w:tcPr>
          <w:p>
            <w:pPr>
              <w:spacing w:after="60"/>
            </w:pPr>
            <w:r>
              <w:rPr>
                <w:sz w:val="16"/>
              </w:rPr>
              <w:t>Status</w:t>
            </w:r>
          </w:p>
        </w:tc>
        <w:tc>
          <w:tcPr>
            <w:tcW w:type="dxa" w:w="2112"/>
            <w:vAlign w:val="center"/>
          </w:tcPr>
          <w:p>
            <w:pPr>
              <w:spacing w:after="60"/>
            </w:pPr>
            <w:r>
              <w:rPr>
                <w:sz w:val="16"/>
              </w:rPr>
              <w:t>Evidence in report</w:t>
            </w:r>
          </w:p>
        </w:tc>
        <w:tc>
          <w:tcPr>
            <w:tcW w:type="dxa" w:w="2112"/>
            <w:vAlign w:val="center"/>
          </w:tcPr>
          <w:p>
            <w:pPr>
              <w:spacing w:after="60"/>
            </w:pPr>
            <w:r>
              <w:rPr>
                <w:sz w:val="16"/>
              </w:rPr>
              <w:t>Final code / remaining work</w:t>
            </w:r>
          </w:p>
        </w:tc>
      </w:tr>
      <w:tr>
        <w:tc>
          <w:tcPr>
            <w:tcW w:type="dxa" w:w="2112"/>
            <w:vAlign w:val="center"/>
          </w:tcPr>
          <w:p>
            <w:pPr>
              <w:spacing w:after="60"/>
            </w:pPr>
            <w:r>
              <w:rPr>
                <w:sz w:val="16"/>
              </w:rPr>
              <w:t>Compare SARIMA, Prophet, Random Forest and XGBoost at 7-, 14- and 30-day Koyambedu horizons against a published benchmark.</w:t>
            </w:r>
          </w:p>
        </w:tc>
        <w:tc>
          <w:tcPr>
            <w:tcW w:type="dxa" w:w="2112"/>
            <w:vAlign w:val="center"/>
          </w:tcPr>
          <w:p>
            <w:r>
              <w:t>Code implemented; market evidence unresolved</w:t>
            </w:r>
          </w:p>
        </w:tc>
        <w:tc>
          <w:tcPr>
            <w:tcW w:type="dxa" w:w="2112"/>
            <w:vAlign w:val="center"/>
          </w:tcPr>
          <w:p>
            <w:r>
              <w:t>Section 4.8 reports a shared-origin comparison across four models and a seasonal-naive baseline at all three horizons. Four origins are used for each commodity/horizon.</w:t>
            </w:r>
          </w:p>
        </w:tc>
        <w:tc>
          <w:tcPr>
            <w:tcW w:type="dxa" w:w="2112"/>
            <w:vAlign w:val="center"/>
          </w:tcPr>
          <w:p>
            <w:r>
              <w:t>Script 14 writes row-level predictions and metrics. The Koyambedu price series remains unverified wholesale data; the published benchmark is monthly and not numerically comparable. Reconcile the source and add a compatible reference benchmark before claiming objective completion.</w:t>
            </w:r>
          </w:p>
        </w:tc>
      </w:tr>
      <w:tr>
        <w:tc>
          <w:tcPr>
            <w:tcW w:type="dxa" w:w="2112"/>
            <w:vAlign w:val="center"/>
          </w:tcPr>
          <w:p>
            <w:pPr>
              <w:spacing w:after="60"/>
            </w:pPr>
            <w:r>
              <w:rPr>
                <w:sz w:val="16"/>
              </w:rPr>
              <w:t>Test whether Northeast Monsoon deviation significantly predicts Koyambedu prices and rank it against lagged price and market arrivals using SHAP.</w:t>
            </w:r>
          </w:p>
        </w:tc>
        <w:tc>
          <w:tcPr>
            <w:tcW w:type="dxa" w:w="2112"/>
            <w:vAlign w:val="center"/>
          </w:tcPr>
          <w:p>
            <w:r>
              <w:t>Analysis implemented; finding inconclusive</w:t>
            </w:r>
          </w:p>
        </w:tc>
        <w:tc>
          <w:tcPr>
            <w:tcW w:type="dxa" w:w="2112"/>
            <w:vAlign w:val="center"/>
          </w:tcPr>
          <w:p>
            <w:r>
              <w:t>Script 14 computes within-month rainfall anomalies and HAC tests for seven-day returns, controlling for prior price momentum. No rainfall coefficient met the 5% threshold in this exploratory sample.</w:t>
            </w:r>
          </w:p>
        </w:tc>
        <w:tc>
          <w:tcPr>
            <w:tcW w:type="dxa" w:w="2112"/>
            <w:vAlign w:val="center"/>
          </w:tcPr>
          <w:p>
            <w:r>
              <w:t>Arrival volume is absent; weather history is short and not a long-run monsoon normal; the Koyambedu series is unverified. SHAP ranks model contributions but does not establish statistical significance. Add verified arrival volumes and longer weather history.</w:t>
            </w:r>
          </w:p>
        </w:tc>
      </w:tr>
      <w:tr>
        <w:tc>
          <w:tcPr>
            <w:tcW w:type="dxa" w:w="2112"/>
            <w:vAlign w:val="center"/>
          </w:tcPr>
          <w:p>
            <w:pPr>
              <w:spacing w:after="60"/>
            </w:pPr>
            <w:r>
              <w:rPr>
                <w:sz w:val="16"/>
              </w:rPr>
              <w:t>Build a four-agent AgriSight system with daily prices, best forecast model, live weather and policy RSS, and a local LLM market brief.</w:t>
            </w:r>
          </w:p>
        </w:tc>
        <w:tc>
          <w:tcPr>
            <w:tcW w:type="dxa" w:w="2112"/>
            <w:vAlign w:val="center"/>
          </w:tcPr>
          <w:p>
            <w:r>
              <w:t>Four-role pipeline implemented; live operation pending</w:t>
            </w:r>
          </w:p>
        </w:tc>
        <w:tc>
          <w:tcPr>
            <w:tcW w:type="dxa" w:w="2112"/>
            <w:vAlign w:val="center"/>
          </w:tcPr>
          <w:p>
            <w:r>
              <w:t>Script 15 provides Data Collector, Price Forecaster, News Reader and Report Writer roles. The offline run produced eight recursive forecasts and abstained because local prices were stale.</w:t>
            </w:r>
          </w:p>
        </w:tc>
        <w:tc>
          <w:tcPr>
            <w:tcW w:type="dxa" w:w="2112"/>
            <w:vAlign w:val="center"/>
          </w:tcPr>
          <w:p>
            <w:r>
              <w:t>Optional Open-Meteo forecast, PIB RSS and local Ollama connections are implemented but were not exercised. Supply current validated price inputs, configure the local model, and validate the live integrations before operational completion.</w:t>
            </w:r>
          </w:p>
        </w:tc>
      </w:tr>
      <w:tr>
        <w:tc>
          <w:tcPr>
            <w:tcW w:type="dxa" w:w="2112"/>
            <w:vAlign w:val="center"/>
          </w:tcPr>
          <w:p>
            <w:r>
              <w:t>Estimate potential procurement savings during the period preceding the tomato price crisis identified in the proposal.</w:t>
            </w:r>
          </w:p>
        </w:tc>
        <w:tc>
          <w:tcPr>
            <w:tcW w:type="dxa" w:w="2112"/>
            <w:vAlign w:val="center"/>
          </w:tcPr>
          <w:p>
            <w:r>
              <w:t>Scenario implemented; economic objective unverified</w:t>
            </w:r>
          </w:p>
        </w:tc>
        <w:tc>
          <w:tcPr>
            <w:tcW w:type="dxa" w:w="2112"/>
            <w:vAlign w:val="center"/>
          </w:tcPr>
          <w:p>
            <w:r>
              <w:t>Script 14 generated a 14-day XGBoost counterfactual at 13 retrospective Tomato origins using a normalized source-unit scenario.</w:t>
            </w:r>
          </w:p>
        </w:tc>
        <w:tc>
          <w:tcPr>
            <w:tcW w:type="dxa" w:w="2112"/>
            <w:vAlign w:val="center"/>
          </w:tcPr>
          <w:p>
            <w:r>
              <w:t>The source price basis is unresolved and buyer transaction, service, spoilage and inventory outcomes are missing. Do not interpret scenario differences as procurement savings. Reconcile prices and measure buyer outcomes against a predeclared baseline.</w:t>
            </w:r>
          </w:p>
        </w:tc>
      </w:tr>
    </w:tbl>
    <w:sectPr w:rsidR="00FC693F" w:rsidRPr="0006063C" w:rsidSect="00034616">
      <w:footerReference w:type="default" r:id="rId9"/>
      <w:pgSz w:w="11906" w:h="16838"/>
      <w:pgMar w:top="1814" w:right="1304" w:bottom="1531" w:left="215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Short-Term Vegetable Price Forecasting and Procurement Decision Support in Tamil Nadu</dc:title>
  <dc:subject/>
  <dc:creator>Vignesh Natarajan</dc:creator>
  <cp:keywords/>
  <dc:description>generated by python-docx</dc:description>
  <cp:lastModifiedBy/>
  <cp:revision>1</cp:revision>
  <dcterms:created xsi:type="dcterms:W3CDTF">2013-12-23T23:15:00Z</dcterms:created>
  <dcterms:modified xsi:type="dcterms:W3CDTF">2013-12-23T23:15:00Z</dcterms:modified>
  <cp:category/>
</cp:coreProperties>
</file>