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448FC" w14:textId="77777777" w:rsidR="004D6E04" w:rsidRDefault="004D6E04" w:rsidP="004D6E04">
      <w:pPr>
        <w:jc w:val="center"/>
        <w:rPr>
          <w:rFonts w:ascii="Arial" w:hAnsi="Arial" w:cs="Arial"/>
          <w:b/>
          <w:bCs/>
          <w:sz w:val="28"/>
          <w:szCs w:val="28"/>
        </w:rPr>
      </w:pPr>
      <w:r>
        <w:rPr>
          <w:noProof/>
        </w:rPr>
        <w:drawing>
          <wp:anchor distT="0" distB="0" distL="114300" distR="114300" simplePos="0" relativeHeight="251659264" behindDoc="1" locked="0" layoutInCell="1" allowOverlap="1" wp14:anchorId="1BCFC3BD" wp14:editId="0C94F305">
            <wp:simplePos x="0" y="0"/>
            <wp:positionH relativeFrom="margin">
              <wp:align>center</wp:align>
            </wp:positionH>
            <wp:positionV relativeFrom="paragraph">
              <wp:posOffset>-347345</wp:posOffset>
            </wp:positionV>
            <wp:extent cx="1900555" cy="2999105"/>
            <wp:effectExtent l="0" t="0" r="4445" b="0"/>
            <wp:wrapNone/>
            <wp:docPr id="836127169" name="Obraz 1" descr="Znak graficzny – pliki do pobrania -- Serwis Akademii Górniczo-Hutnicz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Znak graficzny – pliki do pobrania -- Serwis Akademii Górniczo-Hutnicze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0555" cy="2999105"/>
                    </a:xfrm>
                    <a:prstGeom prst="rect">
                      <a:avLst/>
                    </a:prstGeom>
                    <a:noFill/>
                  </pic:spPr>
                </pic:pic>
              </a:graphicData>
            </a:graphic>
            <wp14:sizeRelH relativeFrom="margin">
              <wp14:pctWidth>0</wp14:pctWidth>
            </wp14:sizeRelH>
            <wp14:sizeRelV relativeFrom="margin">
              <wp14:pctHeight>0</wp14:pctHeight>
            </wp14:sizeRelV>
          </wp:anchor>
        </w:drawing>
      </w:r>
    </w:p>
    <w:p w14:paraId="65E0DAD0" w14:textId="77777777" w:rsidR="004D6E04" w:rsidRDefault="004D6E04" w:rsidP="004D6E04">
      <w:pPr>
        <w:jc w:val="center"/>
        <w:rPr>
          <w:rFonts w:ascii="Arial" w:hAnsi="Arial" w:cs="Arial"/>
          <w:b/>
          <w:bCs/>
          <w:sz w:val="28"/>
          <w:szCs w:val="28"/>
        </w:rPr>
      </w:pPr>
    </w:p>
    <w:p w14:paraId="7E3753B9" w14:textId="77777777" w:rsidR="004D6E04" w:rsidRDefault="004D6E04" w:rsidP="004D6E04">
      <w:pPr>
        <w:jc w:val="center"/>
        <w:rPr>
          <w:rFonts w:ascii="Arial" w:hAnsi="Arial" w:cs="Arial"/>
          <w:b/>
          <w:bCs/>
          <w:sz w:val="28"/>
          <w:szCs w:val="28"/>
        </w:rPr>
      </w:pPr>
    </w:p>
    <w:p w14:paraId="2B93CB35" w14:textId="77777777" w:rsidR="004D6E04" w:rsidRDefault="004D6E04" w:rsidP="004D6E04">
      <w:pPr>
        <w:jc w:val="center"/>
        <w:rPr>
          <w:rFonts w:ascii="Arial" w:hAnsi="Arial" w:cs="Arial"/>
          <w:b/>
          <w:bCs/>
          <w:sz w:val="28"/>
          <w:szCs w:val="28"/>
        </w:rPr>
      </w:pPr>
    </w:p>
    <w:p w14:paraId="5FE7726A" w14:textId="77777777" w:rsidR="004D6E04" w:rsidRDefault="004D6E04" w:rsidP="004D6E04">
      <w:pPr>
        <w:rPr>
          <w:rFonts w:ascii="Arial" w:hAnsi="Arial" w:cs="Arial"/>
          <w:b/>
          <w:bCs/>
          <w:sz w:val="28"/>
          <w:szCs w:val="28"/>
        </w:rPr>
      </w:pPr>
    </w:p>
    <w:p w14:paraId="4D1D3542" w14:textId="77777777" w:rsidR="004D6E04" w:rsidRPr="00DD259A" w:rsidRDefault="004D6E04" w:rsidP="004D6E04">
      <w:pPr>
        <w:jc w:val="center"/>
        <w:rPr>
          <w:b/>
          <w:bCs/>
          <w:sz w:val="28"/>
          <w:szCs w:val="28"/>
        </w:rPr>
      </w:pPr>
      <w:r w:rsidRPr="00DD259A">
        <w:rPr>
          <w:b/>
          <w:bCs/>
          <w:sz w:val="28"/>
          <w:szCs w:val="28"/>
        </w:rPr>
        <w:t>Akademia Górniczo-Hutnicza im. Stanisława Staszica w Krakowie</w:t>
      </w:r>
      <w:r w:rsidRPr="00DD259A">
        <w:rPr>
          <w:b/>
          <w:bCs/>
          <w:sz w:val="28"/>
          <w:szCs w:val="28"/>
        </w:rPr>
        <w:br/>
        <w:t>Wydział Zarządzania</w:t>
      </w:r>
    </w:p>
    <w:p w14:paraId="7490FC44" w14:textId="77777777" w:rsidR="004D6E04" w:rsidRDefault="004D6E04" w:rsidP="004D6E04">
      <w:pPr>
        <w:rPr>
          <w:sz w:val="28"/>
          <w:szCs w:val="28"/>
        </w:rPr>
      </w:pPr>
    </w:p>
    <w:p w14:paraId="792AADFE" w14:textId="7745AA9A" w:rsidR="004D6E04" w:rsidRPr="00810E94" w:rsidRDefault="004D6E04" w:rsidP="004D6E04">
      <w:pPr>
        <w:jc w:val="center"/>
        <w:rPr>
          <w:sz w:val="28"/>
          <w:szCs w:val="28"/>
        </w:rPr>
      </w:pPr>
      <w:r>
        <w:rPr>
          <w:sz w:val="28"/>
          <w:szCs w:val="28"/>
        </w:rPr>
        <w:t>Statystyczna analiza danych</w:t>
      </w:r>
    </w:p>
    <w:p w14:paraId="7561DBB0" w14:textId="2D9600D3" w:rsidR="004D6E04" w:rsidRPr="00C766E2" w:rsidRDefault="004D6E04" w:rsidP="004D6E04">
      <w:pPr>
        <w:jc w:val="center"/>
        <w:rPr>
          <w:b/>
          <w:bCs/>
          <w:sz w:val="36"/>
          <w:szCs w:val="36"/>
        </w:rPr>
      </w:pPr>
      <w:r>
        <w:rPr>
          <w:b/>
          <w:bCs/>
          <w:sz w:val="36"/>
          <w:szCs w:val="36"/>
        </w:rPr>
        <w:t xml:space="preserve">Analiza wpływu wybranych czynników na poziom życia w województwach </w:t>
      </w:r>
      <w:r w:rsidR="005F143C">
        <w:rPr>
          <w:b/>
          <w:bCs/>
          <w:sz w:val="36"/>
          <w:szCs w:val="36"/>
        </w:rPr>
        <w:t>P</w:t>
      </w:r>
      <w:r>
        <w:rPr>
          <w:b/>
          <w:bCs/>
          <w:sz w:val="36"/>
          <w:szCs w:val="36"/>
        </w:rPr>
        <w:t>olski w roku 2022</w:t>
      </w:r>
    </w:p>
    <w:p w14:paraId="4635D6DD" w14:textId="77777777" w:rsidR="004D6E04" w:rsidRDefault="004D6E04" w:rsidP="004D6E04">
      <w:pPr>
        <w:jc w:val="left"/>
        <w:rPr>
          <w:sz w:val="28"/>
          <w:szCs w:val="28"/>
        </w:rPr>
      </w:pPr>
    </w:p>
    <w:p w14:paraId="1A80B3BB" w14:textId="33CF124A" w:rsidR="004D6E04" w:rsidRDefault="004D6E04" w:rsidP="004D6E04">
      <w:pPr>
        <w:jc w:val="left"/>
        <w:rPr>
          <w:sz w:val="28"/>
          <w:szCs w:val="28"/>
        </w:rPr>
      </w:pPr>
      <w:r w:rsidRPr="00DD259A">
        <w:rPr>
          <w:sz w:val="28"/>
          <w:szCs w:val="28"/>
        </w:rPr>
        <w:br/>
        <w:t>Wiktor Kostera</w:t>
      </w:r>
      <w:r w:rsidRPr="00DD259A">
        <w:rPr>
          <w:sz w:val="28"/>
          <w:szCs w:val="28"/>
        </w:rPr>
        <w:br/>
        <w:t>Informatyka i ekonometria, I</w:t>
      </w:r>
      <w:r>
        <w:rPr>
          <w:sz w:val="28"/>
          <w:szCs w:val="28"/>
        </w:rPr>
        <w:t>I</w:t>
      </w:r>
      <w:r w:rsidRPr="00DD259A">
        <w:rPr>
          <w:sz w:val="28"/>
          <w:szCs w:val="28"/>
        </w:rPr>
        <w:t>I rok</w:t>
      </w:r>
      <w:r w:rsidRPr="00DD259A">
        <w:rPr>
          <w:sz w:val="28"/>
          <w:szCs w:val="28"/>
        </w:rPr>
        <w:br/>
        <w:t>I stopień, studia stacjonarne</w:t>
      </w:r>
    </w:p>
    <w:p w14:paraId="567BBF6F" w14:textId="77777777" w:rsidR="004D6E04" w:rsidRDefault="004D6E04" w:rsidP="004D6E04">
      <w:pPr>
        <w:jc w:val="left"/>
        <w:rPr>
          <w:sz w:val="28"/>
          <w:szCs w:val="28"/>
        </w:rPr>
      </w:pPr>
    </w:p>
    <w:p w14:paraId="789F87D0" w14:textId="77777777" w:rsidR="004D6E04" w:rsidRPr="00DD259A" w:rsidRDefault="004D6E04" w:rsidP="004D6E04">
      <w:pPr>
        <w:jc w:val="left"/>
        <w:rPr>
          <w:sz w:val="28"/>
          <w:szCs w:val="28"/>
        </w:rPr>
      </w:pPr>
    </w:p>
    <w:p w14:paraId="646BEF7F" w14:textId="77777777" w:rsidR="004D6E04" w:rsidRDefault="004D6E04" w:rsidP="004D6E04">
      <w:pPr>
        <w:jc w:val="center"/>
        <w:rPr>
          <w:sz w:val="28"/>
          <w:szCs w:val="28"/>
        </w:rPr>
      </w:pPr>
      <w:r w:rsidRPr="00DD259A">
        <w:rPr>
          <w:sz w:val="28"/>
          <w:szCs w:val="28"/>
        </w:rPr>
        <w:t>Kraków, 2024</w:t>
      </w:r>
    </w:p>
    <w:p w14:paraId="77F2E636" w14:textId="3C768AD9" w:rsidR="00626FC1" w:rsidRPr="00626FC1" w:rsidRDefault="004D6E04" w:rsidP="00626FC1">
      <w:pPr>
        <w:pStyle w:val="Nagwek1"/>
      </w:pPr>
      <w:bookmarkStart w:id="0" w:name="_Spis_treści"/>
      <w:bookmarkStart w:id="1" w:name="_Toc180227720"/>
      <w:bookmarkStart w:id="2" w:name="_Toc180602589"/>
      <w:bookmarkEnd w:id="0"/>
      <w:r>
        <w:lastRenderedPageBreak/>
        <w:t>Spis treści</w:t>
      </w:r>
      <w:bookmarkEnd w:id="1"/>
      <w:bookmarkEnd w:id="2"/>
    </w:p>
    <w:p w14:paraId="4DAB0A3F" w14:textId="3289458D" w:rsidR="005F143C" w:rsidRDefault="004D6E04">
      <w:pPr>
        <w:pStyle w:val="Spistreci1"/>
        <w:tabs>
          <w:tab w:val="right" w:leader="dot" w:pos="9062"/>
        </w:tabs>
        <w:rPr>
          <w:rFonts w:asciiTheme="minorHAnsi" w:eastAsiaTheme="minorEastAsia" w:hAnsiTheme="minorHAnsi" w:cstheme="minorBidi"/>
          <w:noProof/>
          <w:kern w:val="2"/>
          <w:lang w:eastAsia="pl-PL"/>
          <w14:ligatures w14:val="standardContextual"/>
        </w:rPr>
      </w:pPr>
      <w:r>
        <w:fldChar w:fldCharType="begin"/>
      </w:r>
      <w:r>
        <w:instrText xml:space="preserve"> TOC \o "1-3" \h \z \u </w:instrText>
      </w:r>
      <w:r>
        <w:fldChar w:fldCharType="separate"/>
      </w:r>
      <w:hyperlink w:anchor="_Toc180602589" w:history="1">
        <w:r w:rsidR="005F143C" w:rsidRPr="0029547F">
          <w:rPr>
            <w:rStyle w:val="Hipercze"/>
            <w:noProof/>
          </w:rPr>
          <w:t>Spis treści</w:t>
        </w:r>
        <w:r w:rsidR="005F143C">
          <w:rPr>
            <w:noProof/>
            <w:webHidden/>
          </w:rPr>
          <w:tab/>
        </w:r>
        <w:r w:rsidR="005F143C">
          <w:rPr>
            <w:noProof/>
            <w:webHidden/>
          </w:rPr>
          <w:fldChar w:fldCharType="begin"/>
        </w:r>
        <w:r w:rsidR="005F143C">
          <w:rPr>
            <w:noProof/>
            <w:webHidden/>
          </w:rPr>
          <w:instrText xml:space="preserve"> PAGEREF _Toc180602589 \h </w:instrText>
        </w:r>
        <w:r w:rsidR="005F143C">
          <w:rPr>
            <w:noProof/>
            <w:webHidden/>
          </w:rPr>
        </w:r>
        <w:r w:rsidR="005F143C">
          <w:rPr>
            <w:noProof/>
            <w:webHidden/>
          </w:rPr>
          <w:fldChar w:fldCharType="separate"/>
        </w:r>
        <w:r w:rsidR="005F143C">
          <w:rPr>
            <w:noProof/>
            <w:webHidden/>
          </w:rPr>
          <w:t>2</w:t>
        </w:r>
        <w:r w:rsidR="005F143C">
          <w:rPr>
            <w:noProof/>
            <w:webHidden/>
          </w:rPr>
          <w:fldChar w:fldCharType="end"/>
        </w:r>
      </w:hyperlink>
    </w:p>
    <w:p w14:paraId="35B5017B" w14:textId="6E70EF07" w:rsidR="005F143C" w:rsidRDefault="005F143C">
      <w:pPr>
        <w:pStyle w:val="Spistreci1"/>
        <w:tabs>
          <w:tab w:val="right" w:leader="dot" w:pos="9062"/>
        </w:tabs>
        <w:rPr>
          <w:rFonts w:asciiTheme="minorHAnsi" w:eastAsiaTheme="minorEastAsia" w:hAnsiTheme="minorHAnsi" w:cstheme="minorBidi"/>
          <w:noProof/>
          <w:kern w:val="2"/>
          <w:lang w:eastAsia="pl-PL"/>
          <w14:ligatures w14:val="standardContextual"/>
        </w:rPr>
      </w:pPr>
      <w:hyperlink w:anchor="_Toc180602590" w:history="1">
        <w:r w:rsidRPr="0029547F">
          <w:rPr>
            <w:rStyle w:val="Hipercze"/>
            <w:noProof/>
          </w:rPr>
          <w:t>Wprowadzenie</w:t>
        </w:r>
        <w:r>
          <w:rPr>
            <w:noProof/>
            <w:webHidden/>
          </w:rPr>
          <w:tab/>
        </w:r>
        <w:r>
          <w:rPr>
            <w:noProof/>
            <w:webHidden/>
          </w:rPr>
          <w:fldChar w:fldCharType="begin"/>
        </w:r>
        <w:r>
          <w:rPr>
            <w:noProof/>
            <w:webHidden/>
          </w:rPr>
          <w:instrText xml:space="preserve"> PAGEREF _Toc180602590 \h </w:instrText>
        </w:r>
        <w:r>
          <w:rPr>
            <w:noProof/>
            <w:webHidden/>
          </w:rPr>
        </w:r>
        <w:r>
          <w:rPr>
            <w:noProof/>
            <w:webHidden/>
          </w:rPr>
          <w:fldChar w:fldCharType="separate"/>
        </w:r>
        <w:r>
          <w:rPr>
            <w:noProof/>
            <w:webHidden/>
          </w:rPr>
          <w:t>3</w:t>
        </w:r>
        <w:r>
          <w:rPr>
            <w:noProof/>
            <w:webHidden/>
          </w:rPr>
          <w:fldChar w:fldCharType="end"/>
        </w:r>
      </w:hyperlink>
    </w:p>
    <w:p w14:paraId="7C06A96A" w14:textId="31C23843" w:rsidR="005F143C" w:rsidRDefault="005F143C">
      <w:pPr>
        <w:pStyle w:val="Spistreci1"/>
        <w:tabs>
          <w:tab w:val="right" w:leader="dot" w:pos="9062"/>
        </w:tabs>
        <w:rPr>
          <w:rFonts w:asciiTheme="minorHAnsi" w:eastAsiaTheme="minorEastAsia" w:hAnsiTheme="minorHAnsi" w:cstheme="minorBidi"/>
          <w:noProof/>
          <w:kern w:val="2"/>
          <w:lang w:eastAsia="pl-PL"/>
          <w14:ligatures w14:val="standardContextual"/>
        </w:rPr>
      </w:pPr>
      <w:hyperlink w:anchor="_Toc180602591" w:history="1">
        <w:r w:rsidRPr="0029547F">
          <w:rPr>
            <w:rStyle w:val="Hipercze"/>
            <w:noProof/>
          </w:rPr>
          <w:t>Zestaw danych</w:t>
        </w:r>
        <w:r>
          <w:rPr>
            <w:noProof/>
            <w:webHidden/>
          </w:rPr>
          <w:tab/>
        </w:r>
        <w:r>
          <w:rPr>
            <w:noProof/>
            <w:webHidden/>
          </w:rPr>
          <w:fldChar w:fldCharType="begin"/>
        </w:r>
        <w:r>
          <w:rPr>
            <w:noProof/>
            <w:webHidden/>
          </w:rPr>
          <w:instrText xml:space="preserve"> PAGEREF _Toc180602591 \h </w:instrText>
        </w:r>
        <w:r>
          <w:rPr>
            <w:noProof/>
            <w:webHidden/>
          </w:rPr>
        </w:r>
        <w:r>
          <w:rPr>
            <w:noProof/>
            <w:webHidden/>
          </w:rPr>
          <w:fldChar w:fldCharType="separate"/>
        </w:r>
        <w:r>
          <w:rPr>
            <w:noProof/>
            <w:webHidden/>
          </w:rPr>
          <w:t>4</w:t>
        </w:r>
        <w:r>
          <w:rPr>
            <w:noProof/>
            <w:webHidden/>
          </w:rPr>
          <w:fldChar w:fldCharType="end"/>
        </w:r>
      </w:hyperlink>
    </w:p>
    <w:p w14:paraId="269E50A1" w14:textId="3D9DC30C" w:rsidR="005F143C" w:rsidRDefault="005F143C">
      <w:pPr>
        <w:pStyle w:val="Spistreci2"/>
        <w:tabs>
          <w:tab w:val="right" w:leader="dot" w:pos="9062"/>
        </w:tabs>
        <w:rPr>
          <w:rFonts w:asciiTheme="minorHAnsi" w:eastAsiaTheme="minorEastAsia" w:hAnsiTheme="minorHAnsi" w:cstheme="minorBidi"/>
          <w:noProof/>
          <w:kern w:val="2"/>
          <w:lang w:eastAsia="pl-PL"/>
          <w14:ligatures w14:val="standardContextual"/>
        </w:rPr>
      </w:pPr>
      <w:hyperlink w:anchor="_Toc180602592" w:history="1">
        <w:r w:rsidRPr="0029547F">
          <w:rPr>
            <w:rStyle w:val="Hipercze"/>
            <w:noProof/>
          </w:rPr>
          <w:t>Opis danych</w:t>
        </w:r>
        <w:r>
          <w:rPr>
            <w:noProof/>
            <w:webHidden/>
          </w:rPr>
          <w:tab/>
        </w:r>
        <w:r>
          <w:rPr>
            <w:noProof/>
            <w:webHidden/>
          </w:rPr>
          <w:fldChar w:fldCharType="begin"/>
        </w:r>
        <w:r>
          <w:rPr>
            <w:noProof/>
            <w:webHidden/>
          </w:rPr>
          <w:instrText xml:space="preserve"> PAGEREF _Toc180602592 \h </w:instrText>
        </w:r>
        <w:r>
          <w:rPr>
            <w:noProof/>
            <w:webHidden/>
          </w:rPr>
        </w:r>
        <w:r>
          <w:rPr>
            <w:noProof/>
            <w:webHidden/>
          </w:rPr>
          <w:fldChar w:fldCharType="separate"/>
        </w:r>
        <w:r>
          <w:rPr>
            <w:noProof/>
            <w:webHidden/>
          </w:rPr>
          <w:t>4</w:t>
        </w:r>
        <w:r>
          <w:rPr>
            <w:noProof/>
            <w:webHidden/>
          </w:rPr>
          <w:fldChar w:fldCharType="end"/>
        </w:r>
      </w:hyperlink>
    </w:p>
    <w:p w14:paraId="2287F367" w14:textId="4E69F09B" w:rsidR="005F143C" w:rsidRDefault="005F143C">
      <w:pPr>
        <w:pStyle w:val="Spistreci2"/>
        <w:tabs>
          <w:tab w:val="right" w:leader="dot" w:pos="9062"/>
        </w:tabs>
        <w:rPr>
          <w:rFonts w:asciiTheme="minorHAnsi" w:eastAsiaTheme="minorEastAsia" w:hAnsiTheme="minorHAnsi" w:cstheme="minorBidi"/>
          <w:noProof/>
          <w:kern w:val="2"/>
          <w:lang w:eastAsia="pl-PL"/>
          <w14:ligatures w14:val="standardContextual"/>
        </w:rPr>
      </w:pPr>
      <w:hyperlink w:anchor="_Toc180602593" w:history="1">
        <w:r w:rsidRPr="0029547F">
          <w:rPr>
            <w:rStyle w:val="Hipercze"/>
            <w:noProof/>
          </w:rPr>
          <w:t>Statystyki opisowe</w:t>
        </w:r>
        <w:r>
          <w:rPr>
            <w:noProof/>
            <w:webHidden/>
          </w:rPr>
          <w:tab/>
        </w:r>
        <w:r>
          <w:rPr>
            <w:noProof/>
            <w:webHidden/>
          </w:rPr>
          <w:fldChar w:fldCharType="begin"/>
        </w:r>
        <w:r>
          <w:rPr>
            <w:noProof/>
            <w:webHidden/>
          </w:rPr>
          <w:instrText xml:space="preserve"> PAGEREF _Toc180602593 \h </w:instrText>
        </w:r>
        <w:r>
          <w:rPr>
            <w:noProof/>
            <w:webHidden/>
          </w:rPr>
        </w:r>
        <w:r>
          <w:rPr>
            <w:noProof/>
            <w:webHidden/>
          </w:rPr>
          <w:fldChar w:fldCharType="separate"/>
        </w:r>
        <w:r>
          <w:rPr>
            <w:noProof/>
            <w:webHidden/>
          </w:rPr>
          <w:t>5</w:t>
        </w:r>
        <w:r>
          <w:rPr>
            <w:noProof/>
            <w:webHidden/>
          </w:rPr>
          <w:fldChar w:fldCharType="end"/>
        </w:r>
      </w:hyperlink>
    </w:p>
    <w:p w14:paraId="549171C3" w14:textId="041D9801" w:rsidR="005F143C" w:rsidRDefault="005F143C">
      <w:pPr>
        <w:pStyle w:val="Spistreci2"/>
        <w:tabs>
          <w:tab w:val="right" w:leader="dot" w:pos="9062"/>
        </w:tabs>
        <w:rPr>
          <w:rFonts w:asciiTheme="minorHAnsi" w:eastAsiaTheme="minorEastAsia" w:hAnsiTheme="minorHAnsi" w:cstheme="minorBidi"/>
          <w:noProof/>
          <w:kern w:val="2"/>
          <w:lang w:eastAsia="pl-PL"/>
          <w14:ligatures w14:val="standardContextual"/>
        </w:rPr>
      </w:pPr>
      <w:hyperlink w:anchor="_Toc180602594" w:history="1">
        <w:r w:rsidRPr="0029547F">
          <w:rPr>
            <w:rStyle w:val="Hipercze"/>
            <w:noProof/>
          </w:rPr>
          <w:t>Macierz korelacji</w:t>
        </w:r>
        <w:r>
          <w:rPr>
            <w:noProof/>
            <w:webHidden/>
          </w:rPr>
          <w:tab/>
        </w:r>
        <w:r>
          <w:rPr>
            <w:noProof/>
            <w:webHidden/>
          </w:rPr>
          <w:fldChar w:fldCharType="begin"/>
        </w:r>
        <w:r>
          <w:rPr>
            <w:noProof/>
            <w:webHidden/>
          </w:rPr>
          <w:instrText xml:space="preserve"> PAGEREF _Toc180602594 \h </w:instrText>
        </w:r>
        <w:r>
          <w:rPr>
            <w:noProof/>
            <w:webHidden/>
          </w:rPr>
        </w:r>
        <w:r>
          <w:rPr>
            <w:noProof/>
            <w:webHidden/>
          </w:rPr>
          <w:fldChar w:fldCharType="separate"/>
        </w:r>
        <w:r>
          <w:rPr>
            <w:noProof/>
            <w:webHidden/>
          </w:rPr>
          <w:t>6</w:t>
        </w:r>
        <w:r>
          <w:rPr>
            <w:noProof/>
            <w:webHidden/>
          </w:rPr>
          <w:fldChar w:fldCharType="end"/>
        </w:r>
      </w:hyperlink>
    </w:p>
    <w:p w14:paraId="6AC61A48" w14:textId="2A02051E" w:rsidR="005F143C" w:rsidRDefault="005F143C">
      <w:pPr>
        <w:pStyle w:val="Spistreci2"/>
        <w:tabs>
          <w:tab w:val="right" w:leader="dot" w:pos="9062"/>
        </w:tabs>
        <w:rPr>
          <w:rFonts w:asciiTheme="minorHAnsi" w:eastAsiaTheme="minorEastAsia" w:hAnsiTheme="minorHAnsi" w:cstheme="minorBidi"/>
          <w:noProof/>
          <w:kern w:val="2"/>
          <w:lang w:eastAsia="pl-PL"/>
          <w14:ligatures w14:val="standardContextual"/>
        </w:rPr>
      </w:pPr>
      <w:hyperlink w:anchor="_Toc180602595" w:history="1">
        <w:r w:rsidRPr="0029547F">
          <w:rPr>
            <w:rStyle w:val="Hipercze"/>
            <w:noProof/>
          </w:rPr>
          <w:t>Wartości odstające</w:t>
        </w:r>
        <w:r>
          <w:rPr>
            <w:noProof/>
            <w:webHidden/>
          </w:rPr>
          <w:tab/>
        </w:r>
        <w:r>
          <w:rPr>
            <w:noProof/>
            <w:webHidden/>
          </w:rPr>
          <w:fldChar w:fldCharType="begin"/>
        </w:r>
        <w:r>
          <w:rPr>
            <w:noProof/>
            <w:webHidden/>
          </w:rPr>
          <w:instrText xml:space="preserve"> PAGEREF _Toc180602595 \h </w:instrText>
        </w:r>
        <w:r>
          <w:rPr>
            <w:noProof/>
            <w:webHidden/>
          </w:rPr>
        </w:r>
        <w:r>
          <w:rPr>
            <w:noProof/>
            <w:webHidden/>
          </w:rPr>
          <w:fldChar w:fldCharType="separate"/>
        </w:r>
        <w:r>
          <w:rPr>
            <w:noProof/>
            <w:webHidden/>
          </w:rPr>
          <w:t>8</w:t>
        </w:r>
        <w:r>
          <w:rPr>
            <w:noProof/>
            <w:webHidden/>
          </w:rPr>
          <w:fldChar w:fldCharType="end"/>
        </w:r>
      </w:hyperlink>
    </w:p>
    <w:p w14:paraId="4CEB3132" w14:textId="117ADED7" w:rsidR="005F143C" w:rsidRDefault="005F143C">
      <w:pPr>
        <w:pStyle w:val="Spistreci1"/>
        <w:tabs>
          <w:tab w:val="right" w:leader="dot" w:pos="9062"/>
        </w:tabs>
        <w:rPr>
          <w:rFonts w:asciiTheme="minorHAnsi" w:eastAsiaTheme="minorEastAsia" w:hAnsiTheme="minorHAnsi" w:cstheme="minorBidi"/>
          <w:noProof/>
          <w:kern w:val="2"/>
          <w:lang w:eastAsia="pl-PL"/>
          <w14:ligatures w14:val="standardContextual"/>
        </w:rPr>
      </w:pPr>
      <w:hyperlink w:anchor="_Toc180602596" w:history="1">
        <w:r w:rsidRPr="0029547F">
          <w:rPr>
            <w:rStyle w:val="Hipercze"/>
            <w:noProof/>
          </w:rPr>
          <w:t>Porządkowanie liniowe</w:t>
        </w:r>
        <w:r>
          <w:rPr>
            <w:noProof/>
            <w:webHidden/>
          </w:rPr>
          <w:tab/>
        </w:r>
        <w:r>
          <w:rPr>
            <w:noProof/>
            <w:webHidden/>
          </w:rPr>
          <w:fldChar w:fldCharType="begin"/>
        </w:r>
        <w:r>
          <w:rPr>
            <w:noProof/>
            <w:webHidden/>
          </w:rPr>
          <w:instrText xml:space="preserve"> PAGEREF _Toc180602596 \h </w:instrText>
        </w:r>
        <w:r>
          <w:rPr>
            <w:noProof/>
            <w:webHidden/>
          </w:rPr>
        </w:r>
        <w:r>
          <w:rPr>
            <w:noProof/>
            <w:webHidden/>
          </w:rPr>
          <w:fldChar w:fldCharType="separate"/>
        </w:r>
        <w:r>
          <w:rPr>
            <w:noProof/>
            <w:webHidden/>
          </w:rPr>
          <w:t>10</w:t>
        </w:r>
        <w:r>
          <w:rPr>
            <w:noProof/>
            <w:webHidden/>
          </w:rPr>
          <w:fldChar w:fldCharType="end"/>
        </w:r>
      </w:hyperlink>
    </w:p>
    <w:p w14:paraId="75CB1A5C" w14:textId="7BAC28B2" w:rsidR="005F143C" w:rsidRDefault="005F143C">
      <w:pPr>
        <w:pStyle w:val="Spistreci2"/>
        <w:tabs>
          <w:tab w:val="right" w:leader="dot" w:pos="9062"/>
        </w:tabs>
        <w:rPr>
          <w:rFonts w:asciiTheme="minorHAnsi" w:eastAsiaTheme="minorEastAsia" w:hAnsiTheme="minorHAnsi" w:cstheme="minorBidi"/>
          <w:noProof/>
          <w:kern w:val="2"/>
          <w:lang w:eastAsia="pl-PL"/>
          <w14:ligatures w14:val="standardContextual"/>
        </w:rPr>
      </w:pPr>
      <w:hyperlink w:anchor="_Toc180602597" w:history="1">
        <w:r w:rsidRPr="0029547F">
          <w:rPr>
            <w:rStyle w:val="Hipercze"/>
            <w:noProof/>
          </w:rPr>
          <w:t>Metoda Hellwiga</w:t>
        </w:r>
        <w:r>
          <w:rPr>
            <w:noProof/>
            <w:webHidden/>
          </w:rPr>
          <w:tab/>
        </w:r>
        <w:r>
          <w:rPr>
            <w:noProof/>
            <w:webHidden/>
          </w:rPr>
          <w:fldChar w:fldCharType="begin"/>
        </w:r>
        <w:r>
          <w:rPr>
            <w:noProof/>
            <w:webHidden/>
          </w:rPr>
          <w:instrText xml:space="preserve"> PAGEREF _Toc180602597 \h </w:instrText>
        </w:r>
        <w:r>
          <w:rPr>
            <w:noProof/>
            <w:webHidden/>
          </w:rPr>
        </w:r>
        <w:r>
          <w:rPr>
            <w:noProof/>
            <w:webHidden/>
          </w:rPr>
          <w:fldChar w:fldCharType="separate"/>
        </w:r>
        <w:r>
          <w:rPr>
            <w:noProof/>
            <w:webHidden/>
          </w:rPr>
          <w:t>10</w:t>
        </w:r>
        <w:r>
          <w:rPr>
            <w:noProof/>
            <w:webHidden/>
          </w:rPr>
          <w:fldChar w:fldCharType="end"/>
        </w:r>
      </w:hyperlink>
    </w:p>
    <w:p w14:paraId="0BBF3B67" w14:textId="4914E85B" w:rsidR="005F143C" w:rsidRDefault="005F143C">
      <w:pPr>
        <w:pStyle w:val="Spistreci2"/>
        <w:tabs>
          <w:tab w:val="right" w:leader="dot" w:pos="9062"/>
        </w:tabs>
        <w:rPr>
          <w:rFonts w:asciiTheme="minorHAnsi" w:eastAsiaTheme="minorEastAsia" w:hAnsiTheme="minorHAnsi" w:cstheme="minorBidi"/>
          <w:noProof/>
          <w:kern w:val="2"/>
          <w:lang w:eastAsia="pl-PL"/>
          <w14:ligatures w14:val="standardContextual"/>
        </w:rPr>
      </w:pPr>
      <w:hyperlink w:anchor="_Toc180602598" w:history="1">
        <w:r w:rsidRPr="0029547F">
          <w:rPr>
            <w:rStyle w:val="Hipercze"/>
            <w:noProof/>
          </w:rPr>
          <w:t>Metoda standaryzowanych sum</w:t>
        </w:r>
        <w:r>
          <w:rPr>
            <w:noProof/>
            <w:webHidden/>
          </w:rPr>
          <w:tab/>
        </w:r>
        <w:r>
          <w:rPr>
            <w:noProof/>
            <w:webHidden/>
          </w:rPr>
          <w:fldChar w:fldCharType="begin"/>
        </w:r>
        <w:r>
          <w:rPr>
            <w:noProof/>
            <w:webHidden/>
          </w:rPr>
          <w:instrText xml:space="preserve"> PAGEREF _Toc180602598 \h </w:instrText>
        </w:r>
        <w:r>
          <w:rPr>
            <w:noProof/>
            <w:webHidden/>
          </w:rPr>
        </w:r>
        <w:r>
          <w:rPr>
            <w:noProof/>
            <w:webHidden/>
          </w:rPr>
          <w:fldChar w:fldCharType="separate"/>
        </w:r>
        <w:r>
          <w:rPr>
            <w:noProof/>
            <w:webHidden/>
          </w:rPr>
          <w:t>11</w:t>
        </w:r>
        <w:r>
          <w:rPr>
            <w:noProof/>
            <w:webHidden/>
          </w:rPr>
          <w:fldChar w:fldCharType="end"/>
        </w:r>
      </w:hyperlink>
    </w:p>
    <w:p w14:paraId="42569B2F" w14:textId="3CC9CE44" w:rsidR="005F143C" w:rsidRDefault="005F143C">
      <w:pPr>
        <w:pStyle w:val="Spistreci2"/>
        <w:tabs>
          <w:tab w:val="right" w:leader="dot" w:pos="9062"/>
        </w:tabs>
        <w:rPr>
          <w:rFonts w:asciiTheme="minorHAnsi" w:eastAsiaTheme="minorEastAsia" w:hAnsiTheme="minorHAnsi" w:cstheme="minorBidi"/>
          <w:noProof/>
          <w:kern w:val="2"/>
          <w:lang w:eastAsia="pl-PL"/>
          <w14:ligatures w14:val="standardContextual"/>
        </w:rPr>
      </w:pPr>
      <w:hyperlink w:anchor="_Toc180602599" w:history="1">
        <w:r w:rsidRPr="0029547F">
          <w:rPr>
            <w:rStyle w:val="Hipercze"/>
            <w:noProof/>
          </w:rPr>
          <w:t>Metoda sumy rang</w:t>
        </w:r>
        <w:r>
          <w:rPr>
            <w:noProof/>
            <w:webHidden/>
          </w:rPr>
          <w:tab/>
        </w:r>
        <w:r>
          <w:rPr>
            <w:noProof/>
            <w:webHidden/>
          </w:rPr>
          <w:fldChar w:fldCharType="begin"/>
        </w:r>
        <w:r>
          <w:rPr>
            <w:noProof/>
            <w:webHidden/>
          </w:rPr>
          <w:instrText xml:space="preserve"> PAGEREF _Toc180602599 \h </w:instrText>
        </w:r>
        <w:r>
          <w:rPr>
            <w:noProof/>
            <w:webHidden/>
          </w:rPr>
        </w:r>
        <w:r>
          <w:rPr>
            <w:noProof/>
            <w:webHidden/>
          </w:rPr>
          <w:fldChar w:fldCharType="separate"/>
        </w:r>
        <w:r>
          <w:rPr>
            <w:noProof/>
            <w:webHidden/>
          </w:rPr>
          <w:t>13</w:t>
        </w:r>
        <w:r>
          <w:rPr>
            <w:noProof/>
            <w:webHidden/>
          </w:rPr>
          <w:fldChar w:fldCharType="end"/>
        </w:r>
      </w:hyperlink>
    </w:p>
    <w:p w14:paraId="0F8C3FD5" w14:textId="35C43207" w:rsidR="005F143C" w:rsidRDefault="005F143C">
      <w:pPr>
        <w:pStyle w:val="Spistreci2"/>
        <w:tabs>
          <w:tab w:val="right" w:leader="dot" w:pos="9062"/>
        </w:tabs>
        <w:rPr>
          <w:rFonts w:asciiTheme="minorHAnsi" w:eastAsiaTheme="minorEastAsia" w:hAnsiTheme="minorHAnsi" w:cstheme="minorBidi"/>
          <w:noProof/>
          <w:kern w:val="2"/>
          <w:lang w:eastAsia="pl-PL"/>
          <w14:ligatures w14:val="standardContextual"/>
        </w:rPr>
      </w:pPr>
      <w:hyperlink w:anchor="_Toc180602600" w:history="1">
        <w:r w:rsidRPr="0029547F">
          <w:rPr>
            <w:rStyle w:val="Hipercze"/>
            <w:noProof/>
          </w:rPr>
          <w:t>Podsumowanie wyników</w:t>
        </w:r>
        <w:r>
          <w:rPr>
            <w:noProof/>
            <w:webHidden/>
          </w:rPr>
          <w:tab/>
        </w:r>
        <w:r>
          <w:rPr>
            <w:noProof/>
            <w:webHidden/>
          </w:rPr>
          <w:fldChar w:fldCharType="begin"/>
        </w:r>
        <w:r>
          <w:rPr>
            <w:noProof/>
            <w:webHidden/>
          </w:rPr>
          <w:instrText xml:space="preserve"> PAGEREF _Toc180602600 \h </w:instrText>
        </w:r>
        <w:r>
          <w:rPr>
            <w:noProof/>
            <w:webHidden/>
          </w:rPr>
        </w:r>
        <w:r>
          <w:rPr>
            <w:noProof/>
            <w:webHidden/>
          </w:rPr>
          <w:fldChar w:fldCharType="separate"/>
        </w:r>
        <w:r>
          <w:rPr>
            <w:noProof/>
            <w:webHidden/>
          </w:rPr>
          <w:t>15</w:t>
        </w:r>
        <w:r>
          <w:rPr>
            <w:noProof/>
            <w:webHidden/>
          </w:rPr>
          <w:fldChar w:fldCharType="end"/>
        </w:r>
      </w:hyperlink>
    </w:p>
    <w:p w14:paraId="1279751F" w14:textId="4B9643D9" w:rsidR="005F143C" w:rsidRDefault="005F143C">
      <w:pPr>
        <w:pStyle w:val="Spistreci1"/>
        <w:tabs>
          <w:tab w:val="right" w:leader="dot" w:pos="9062"/>
        </w:tabs>
        <w:rPr>
          <w:rFonts w:asciiTheme="minorHAnsi" w:eastAsiaTheme="minorEastAsia" w:hAnsiTheme="minorHAnsi" w:cstheme="minorBidi"/>
          <w:noProof/>
          <w:kern w:val="2"/>
          <w:lang w:eastAsia="pl-PL"/>
          <w14:ligatures w14:val="standardContextual"/>
        </w:rPr>
      </w:pPr>
      <w:hyperlink w:anchor="_Toc180602601" w:history="1">
        <w:r w:rsidRPr="0029547F">
          <w:rPr>
            <w:rStyle w:val="Hipercze"/>
            <w:noProof/>
          </w:rPr>
          <w:t>Analiza skupień</w:t>
        </w:r>
        <w:r>
          <w:rPr>
            <w:noProof/>
            <w:webHidden/>
          </w:rPr>
          <w:tab/>
        </w:r>
        <w:r>
          <w:rPr>
            <w:noProof/>
            <w:webHidden/>
          </w:rPr>
          <w:fldChar w:fldCharType="begin"/>
        </w:r>
        <w:r>
          <w:rPr>
            <w:noProof/>
            <w:webHidden/>
          </w:rPr>
          <w:instrText xml:space="preserve"> PAGEREF _Toc180602601 \h </w:instrText>
        </w:r>
        <w:r>
          <w:rPr>
            <w:noProof/>
            <w:webHidden/>
          </w:rPr>
        </w:r>
        <w:r>
          <w:rPr>
            <w:noProof/>
            <w:webHidden/>
          </w:rPr>
          <w:fldChar w:fldCharType="separate"/>
        </w:r>
        <w:r>
          <w:rPr>
            <w:noProof/>
            <w:webHidden/>
          </w:rPr>
          <w:t>17</w:t>
        </w:r>
        <w:r>
          <w:rPr>
            <w:noProof/>
            <w:webHidden/>
          </w:rPr>
          <w:fldChar w:fldCharType="end"/>
        </w:r>
      </w:hyperlink>
    </w:p>
    <w:p w14:paraId="588ED637" w14:textId="1DDE5806" w:rsidR="005F143C" w:rsidRDefault="005F143C">
      <w:pPr>
        <w:pStyle w:val="Spistreci2"/>
        <w:tabs>
          <w:tab w:val="right" w:leader="dot" w:pos="9062"/>
        </w:tabs>
        <w:rPr>
          <w:rFonts w:asciiTheme="minorHAnsi" w:eastAsiaTheme="minorEastAsia" w:hAnsiTheme="minorHAnsi" w:cstheme="minorBidi"/>
          <w:noProof/>
          <w:kern w:val="2"/>
          <w:lang w:eastAsia="pl-PL"/>
          <w14:ligatures w14:val="standardContextual"/>
        </w:rPr>
      </w:pPr>
      <w:hyperlink w:anchor="_Toc180602602" w:history="1">
        <w:r w:rsidRPr="0029547F">
          <w:rPr>
            <w:rStyle w:val="Hipercze"/>
            <w:noProof/>
          </w:rPr>
          <w:t>Liczba klastrów</w:t>
        </w:r>
        <w:r>
          <w:rPr>
            <w:noProof/>
            <w:webHidden/>
          </w:rPr>
          <w:tab/>
        </w:r>
        <w:r>
          <w:rPr>
            <w:noProof/>
            <w:webHidden/>
          </w:rPr>
          <w:fldChar w:fldCharType="begin"/>
        </w:r>
        <w:r>
          <w:rPr>
            <w:noProof/>
            <w:webHidden/>
          </w:rPr>
          <w:instrText xml:space="preserve"> PAGEREF _Toc180602602 \h </w:instrText>
        </w:r>
        <w:r>
          <w:rPr>
            <w:noProof/>
            <w:webHidden/>
          </w:rPr>
        </w:r>
        <w:r>
          <w:rPr>
            <w:noProof/>
            <w:webHidden/>
          </w:rPr>
          <w:fldChar w:fldCharType="separate"/>
        </w:r>
        <w:r>
          <w:rPr>
            <w:noProof/>
            <w:webHidden/>
          </w:rPr>
          <w:t>17</w:t>
        </w:r>
        <w:r>
          <w:rPr>
            <w:noProof/>
            <w:webHidden/>
          </w:rPr>
          <w:fldChar w:fldCharType="end"/>
        </w:r>
      </w:hyperlink>
    </w:p>
    <w:p w14:paraId="7ABCDF68" w14:textId="0ECF044D" w:rsidR="005F143C" w:rsidRDefault="005F143C">
      <w:pPr>
        <w:pStyle w:val="Spistreci2"/>
        <w:tabs>
          <w:tab w:val="right" w:leader="dot" w:pos="9062"/>
        </w:tabs>
        <w:rPr>
          <w:rFonts w:asciiTheme="minorHAnsi" w:eastAsiaTheme="minorEastAsia" w:hAnsiTheme="minorHAnsi" w:cstheme="minorBidi"/>
          <w:noProof/>
          <w:kern w:val="2"/>
          <w:lang w:eastAsia="pl-PL"/>
          <w14:ligatures w14:val="standardContextual"/>
        </w:rPr>
      </w:pPr>
      <w:hyperlink w:anchor="_Toc180602603" w:history="1">
        <w:r w:rsidRPr="0029547F">
          <w:rPr>
            <w:rStyle w:val="Hipercze"/>
            <w:noProof/>
          </w:rPr>
          <w:t>Grupowanie podziałowe</w:t>
        </w:r>
        <w:r>
          <w:rPr>
            <w:noProof/>
            <w:webHidden/>
          </w:rPr>
          <w:tab/>
        </w:r>
        <w:r>
          <w:rPr>
            <w:noProof/>
            <w:webHidden/>
          </w:rPr>
          <w:fldChar w:fldCharType="begin"/>
        </w:r>
        <w:r>
          <w:rPr>
            <w:noProof/>
            <w:webHidden/>
          </w:rPr>
          <w:instrText xml:space="preserve"> PAGEREF _Toc180602603 \h </w:instrText>
        </w:r>
        <w:r>
          <w:rPr>
            <w:noProof/>
            <w:webHidden/>
          </w:rPr>
        </w:r>
        <w:r>
          <w:rPr>
            <w:noProof/>
            <w:webHidden/>
          </w:rPr>
          <w:fldChar w:fldCharType="separate"/>
        </w:r>
        <w:r>
          <w:rPr>
            <w:noProof/>
            <w:webHidden/>
          </w:rPr>
          <w:t>18</w:t>
        </w:r>
        <w:r>
          <w:rPr>
            <w:noProof/>
            <w:webHidden/>
          </w:rPr>
          <w:fldChar w:fldCharType="end"/>
        </w:r>
      </w:hyperlink>
    </w:p>
    <w:p w14:paraId="3AD39A68" w14:textId="6E5DE69D" w:rsidR="005F143C" w:rsidRDefault="005F143C">
      <w:pPr>
        <w:pStyle w:val="Spistreci2"/>
        <w:tabs>
          <w:tab w:val="right" w:leader="dot" w:pos="9062"/>
        </w:tabs>
        <w:rPr>
          <w:rFonts w:asciiTheme="minorHAnsi" w:eastAsiaTheme="minorEastAsia" w:hAnsiTheme="minorHAnsi" w:cstheme="minorBidi"/>
          <w:noProof/>
          <w:kern w:val="2"/>
          <w:lang w:eastAsia="pl-PL"/>
          <w14:ligatures w14:val="standardContextual"/>
        </w:rPr>
      </w:pPr>
      <w:hyperlink w:anchor="_Toc180602604" w:history="1">
        <w:r w:rsidRPr="0029547F">
          <w:rPr>
            <w:rStyle w:val="Hipercze"/>
            <w:noProof/>
          </w:rPr>
          <w:t>Grupowanie hierarchiczne</w:t>
        </w:r>
        <w:r>
          <w:rPr>
            <w:noProof/>
            <w:webHidden/>
          </w:rPr>
          <w:tab/>
        </w:r>
        <w:r>
          <w:rPr>
            <w:noProof/>
            <w:webHidden/>
          </w:rPr>
          <w:fldChar w:fldCharType="begin"/>
        </w:r>
        <w:r>
          <w:rPr>
            <w:noProof/>
            <w:webHidden/>
          </w:rPr>
          <w:instrText xml:space="preserve"> PAGEREF _Toc180602604 \h </w:instrText>
        </w:r>
        <w:r>
          <w:rPr>
            <w:noProof/>
            <w:webHidden/>
          </w:rPr>
        </w:r>
        <w:r>
          <w:rPr>
            <w:noProof/>
            <w:webHidden/>
          </w:rPr>
          <w:fldChar w:fldCharType="separate"/>
        </w:r>
        <w:r>
          <w:rPr>
            <w:noProof/>
            <w:webHidden/>
          </w:rPr>
          <w:t>22</w:t>
        </w:r>
        <w:r>
          <w:rPr>
            <w:noProof/>
            <w:webHidden/>
          </w:rPr>
          <w:fldChar w:fldCharType="end"/>
        </w:r>
      </w:hyperlink>
    </w:p>
    <w:p w14:paraId="62D76AC2" w14:textId="276F6ADA" w:rsidR="005F143C" w:rsidRDefault="005F143C">
      <w:pPr>
        <w:pStyle w:val="Spistreci2"/>
        <w:tabs>
          <w:tab w:val="right" w:leader="dot" w:pos="9062"/>
        </w:tabs>
        <w:rPr>
          <w:rFonts w:asciiTheme="minorHAnsi" w:eastAsiaTheme="minorEastAsia" w:hAnsiTheme="minorHAnsi" w:cstheme="minorBidi"/>
          <w:noProof/>
          <w:kern w:val="2"/>
          <w:lang w:eastAsia="pl-PL"/>
          <w14:ligatures w14:val="standardContextual"/>
        </w:rPr>
      </w:pPr>
      <w:hyperlink w:anchor="_Toc180602605" w:history="1">
        <w:r w:rsidRPr="0029547F">
          <w:rPr>
            <w:rStyle w:val="Hipercze"/>
            <w:noProof/>
          </w:rPr>
          <w:t>Podsumowanie wyników</w:t>
        </w:r>
        <w:r>
          <w:rPr>
            <w:noProof/>
            <w:webHidden/>
          </w:rPr>
          <w:tab/>
        </w:r>
        <w:r>
          <w:rPr>
            <w:noProof/>
            <w:webHidden/>
          </w:rPr>
          <w:fldChar w:fldCharType="begin"/>
        </w:r>
        <w:r>
          <w:rPr>
            <w:noProof/>
            <w:webHidden/>
          </w:rPr>
          <w:instrText xml:space="preserve"> PAGEREF _Toc180602605 \h </w:instrText>
        </w:r>
        <w:r>
          <w:rPr>
            <w:noProof/>
            <w:webHidden/>
          </w:rPr>
        </w:r>
        <w:r>
          <w:rPr>
            <w:noProof/>
            <w:webHidden/>
          </w:rPr>
          <w:fldChar w:fldCharType="separate"/>
        </w:r>
        <w:r>
          <w:rPr>
            <w:noProof/>
            <w:webHidden/>
          </w:rPr>
          <w:t>24</w:t>
        </w:r>
        <w:r>
          <w:rPr>
            <w:noProof/>
            <w:webHidden/>
          </w:rPr>
          <w:fldChar w:fldCharType="end"/>
        </w:r>
      </w:hyperlink>
    </w:p>
    <w:p w14:paraId="7D2792A7" w14:textId="5990D3FC" w:rsidR="005F143C" w:rsidRDefault="005F143C">
      <w:pPr>
        <w:pStyle w:val="Spistreci1"/>
        <w:tabs>
          <w:tab w:val="right" w:leader="dot" w:pos="9062"/>
        </w:tabs>
        <w:rPr>
          <w:rFonts w:asciiTheme="minorHAnsi" w:eastAsiaTheme="minorEastAsia" w:hAnsiTheme="minorHAnsi" w:cstheme="minorBidi"/>
          <w:noProof/>
          <w:kern w:val="2"/>
          <w:lang w:eastAsia="pl-PL"/>
          <w14:ligatures w14:val="standardContextual"/>
        </w:rPr>
      </w:pPr>
      <w:hyperlink w:anchor="_Toc180602606" w:history="1">
        <w:r w:rsidRPr="0029547F">
          <w:rPr>
            <w:rStyle w:val="Hipercze"/>
            <w:noProof/>
          </w:rPr>
          <w:t>Zakończenie</w:t>
        </w:r>
        <w:r>
          <w:rPr>
            <w:noProof/>
            <w:webHidden/>
          </w:rPr>
          <w:tab/>
        </w:r>
        <w:r>
          <w:rPr>
            <w:noProof/>
            <w:webHidden/>
          </w:rPr>
          <w:fldChar w:fldCharType="begin"/>
        </w:r>
        <w:r>
          <w:rPr>
            <w:noProof/>
            <w:webHidden/>
          </w:rPr>
          <w:instrText xml:space="preserve"> PAGEREF _Toc180602606 \h </w:instrText>
        </w:r>
        <w:r>
          <w:rPr>
            <w:noProof/>
            <w:webHidden/>
          </w:rPr>
        </w:r>
        <w:r>
          <w:rPr>
            <w:noProof/>
            <w:webHidden/>
          </w:rPr>
          <w:fldChar w:fldCharType="separate"/>
        </w:r>
        <w:r>
          <w:rPr>
            <w:noProof/>
            <w:webHidden/>
          </w:rPr>
          <w:t>25</w:t>
        </w:r>
        <w:r>
          <w:rPr>
            <w:noProof/>
            <w:webHidden/>
          </w:rPr>
          <w:fldChar w:fldCharType="end"/>
        </w:r>
      </w:hyperlink>
    </w:p>
    <w:p w14:paraId="63D79899" w14:textId="72320C5F" w:rsidR="004D6E04" w:rsidRDefault="004D6E04">
      <w:r>
        <w:rPr>
          <w:szCs w:val="24"/>
        </w:rPr>
        <w:fldChar w:fldCharType="end"/>
      </w:r>
    </w:p>
    <w:p w14:paraId="48373011" w14:textId="083BC8FB" w:rsidR="004D6E04" w:rsidRDefault="004D6E04">
      <w:pPr>
        <w:spacing w:before="0" w:after="160" w:line="278" w:lineRule="auto"/>
        <w:jc w:val="left"/>
      </w:pPr>
      <w:r>
        <w:br w:type="page"/>
      </w:r>
    </w:p>
    <w:p w14:paraId="7899FFA0" w14:textId="196E90DF" w:rsidR="004D6E04" w:rsidRPr="00D95EE0" w:rsidRDefault="004D6E04" w:rsidP="00D95EE0">
      <w:pPr>
        <w:pStyle w:val="Nagwek1"/>
      </w:pPr>
      <w:hyperlink w:anchor="_Spis_treści" w:history="1">
        <w:bookmarkStart w:id="3" w:name="_Toc180602590"/>
        <w:r w:rsidRPr="00D95EE0">
          <w:rPr>
            <w:rStyle w:val="Hipercze"/>
            <w:color w:val="000000" w:themeColor="text1"/>
            <w:u w:val="none"/>
          </w:rPr>
          <w:t>Wprowadzenie</w:t>
        </w:r>
        <w:bookmarkEnd w:id="3"/>
      </w:hyperlink>
    </w:p>
    <w:p w14:paraId="27D678F7" w14:textId="13395759" w:rsidR="00A10B6E" w:rsidRDefault="004D6E04" w:rsidP="009C5035">
      <w:pPr>
        <w:ind w:firstLine="708"/>
      </w:pPr>
      <w:r>
        <w:t xml:space="preserve">Poniższe opracowanie stanowi kompleksowe </w:t>
      </w:r>
      <w:r w:rsidR="009C5035">
        <w:t xml:space="preserve">podejście </w:t>
      </w:r>
      <w:r>
        <w:t xml:space="preserve">do tematu analizy wpływu wybranych czynników </w:t>
      </w:r>
      <w:r w:rsidR="009C5035">
        <w:t xml:space="preserve">na poziom życia w województwach polski w roku 2022. </w:t>
      </w:r>
      <w:r w:rsidR="00A10B6E">
        <w:t xml:space="preserve">Jest to ciekawe </w:t>
      </w:r>
      <w:r w:rsidR="005B4D15">
        <w:t>zagadnienie,</w:t>
      </w:r>
      <w:r w:rsidR="00A10B6E">
        <w:t xml:space="preserve"> </w:t>
      </w:r>
      <w:r w:rsidR="00A10B6E" w:rsidRPr="00A10B6E">
        <w:t>które pozwala zrozumieć, jakie elementy wpływają na jakość życia mieszkańców różnych regionów. W tym kontekście czynniki takie jak dostęp do edukacji, infrastruktury, opieki zdrowotnej, zatrudnienia oraz warunki środowiskowe mogą być kluczowe dla oceny poziomu życia. Porównując dane z różnych województw, można wyodrębnić regiony o</w:t>
      </w:r>
      <w:r w:rsidR="00626FC1">
        <w:t> </w:t>
      </w:r>
      <w:r w:rsidR="00A10B6E" w:rsidRPr="00A10B6E">
        <w:t>szczególnie wysokim lub niskim poziomie życia</w:t>
      </w:r>
      <w:r w:rsidR="00F03E6C">
        <w:t>.</w:t>
      </w:r>
      <w:r w:rsidR="00A10B6E" w:rsidRPr="00A10B6E">
        <w:t xml:space="preserve"> </w:t>
      </w:r>
    </w:p>
    <w:p w14:paraId="4F148AC2" w14:textId="36ECC013" w:rsidR="00D95EE0" w:rsidRDefault="009C5035" w:rsidP="009C5035">
      <w:pPr>
        <w:ind w:firstLine="708"/>
      </w:pPr>
      <w:r>
        <w:t>Bezpośrednią inspiracją do mojej pracy była publikacja dr Jacka Wolaka pt.: „Analiza warunków życia w</w:t>
      </w:r>
      <w:r w:rsidR="00D95EE0">
        <w:t> </w:t>
      </w:r>
      <w:r>
        <w:t xml:space="preserve">powiatach południowo-wschodniej Polski”. W odróżnieniu do oryginalnej pracy, postanowiłem poszerzyć zakres swojej analizy, dlatego zamiast wybranych powiatów zdecydowałem się na wszystkie województwa. Ponadto zrezygnowałem z części zmiennych, </w:t>
      </w:r>
      <w:r w:rsidRPr="00D95EE0">
        <w:t>a</w:t>
      </w:r>
      <w:r w:rsidR="00D95EE0">
        <w:t> </w:t>
      </w:r>
      <w:r w:rsidRPr="00D95EE0">
        <w:t>niektóre</w:t>
      </w:r>
      <w:r>
        <w:t xml:space="preserve"> postanowiłem zastąpić (prezentacja i opis danych w kolejnym rozdziale). Również metody porządkowania liniowego różnią się od zaproponowanych przez pierwotnego autora. W swojej pracy podobnie jak dr Wolak skorzystałem z metody Hellwiga natomiast</w:t>
      </w:r>
      <w:r w:rsidR="009E4692">
        <w:t xml:space="preserve"> pozostałe techniki zostały zastąpione przez metodę sumy rang oraz metodę standaryzowanych sum.</w:t>
      </w:r>
    </w:p>
    <w:p w14:paraId="6D052D07" w14:textId="77777777" w:rsidR="00D95EE0" w:rsidRDefault="00D95EE0">
      <w:pPr>
        <w:spacing w:before="0" w:after="160" w:line="278" w:lineRule="auto"/>
        <w:jc w:val="left"/>
      </w:pPr>
      <w:r>
        <w:br w:type="page"/>
      </w:r>
    </w:p>
    <w:p w14:paraId="1D4DE06E" w14:textId="4A2BE19F" w:rsidR="004D6E04" w:rsidRDefault="00D95EE0" w:rsidP="00D95EE0">
      <w:pPr>
        <w:pStyle w:val="Nagwek1"/>
        <w:rPr>
          <w:rStyle w:val="Hipercze"/>
          <w:color w:val="000000" w:themeColor="text1"/>
          <w:u w:val="none"/>
        </w:rPr>
      </w:pPr>
      <w:hyperlink w:anchor="_Spis_treści" w:history="1">
        <w:bookmarkStart w:id="4" w:name="_Toc180602591"/>
        <w:r w:rsidRPr="00D95EE0">
          <w:rPr>
            <w:rStyle w:val="Hipercze"/>
            <w:color w:val="000000" w:themeColor="text1"/>
            <w:u w:val="none"/>
          </w:rPr>
          <w:t>Zestaw danych</w:t>
        </w:r>
        <w:bookmarkEnd w:id="4"/>
      </w:hyperlink>
    </w:p>
    <w:p w14:paraId="0611268E" w14:textId="4D85A339" w:rsidR="00C94149" w:rsidRPr="00C94149" w:rsidRDefault="00C94149" w:rsidP="00C94149">
      <w:r>
        <w:tab/>
      </w:r>
      <w:r w:rsidRPr="00C94149">
        <w:t xml:space="preserve">Na </w:t>
      </w:r>
      <w:r w:rsidR="00F03E6C">
        <w:t>samym początku</w:t>
      </w:r>
      <w:r w:rsidRPr="00C94149">
        <w:t xml:space="preserve"> dokonam szczegółowego opisu zbioru danych, na którym oparta będzie analiza. Przedstawię podstawowe statystyki opisowe, po czym przeprowadzę ich krótką interpretację, aby zrozumieć ogólną charakterystykę zmiennych. Następnie skupię się na analizie macierzy korelacji, badając potencjalne zależności i związki pomiędzy poszczególnymi zmiennymi. Na zakończenie przeanalizuję wartości odstające, co pozwoli ocenić zasadność ich ewentualnego wykluczenia z zestawu danych, celem poprawy jakości wyników analizy.</w:t>
      </w:r>
    </w:p>
    <w:p w14:paraId="1BDDED85" w14:textId="63DF7926" w:rsidR="00E80BA4" w:rsidRPr="00E80BA4" w:rsidRDefault="00E80BA4" w:rsidP="00E80BA4">
      <w:pPr>
        <w:pStyle w:val="Nagwek2"/>
      </w:pPr>
      <w:hyperlink w:anchor="_Spis_treści" w:history="1">
        <w:bookmarkStart w:id="5" w:name="_Toc180602592"/>
        <w:r w:rsidRPr="00E80BA4">
          <w:rPr>
            <w:rStyle w:val="Hipercze"/>
            <w:color w:val="000000" w:themeColor="text1"/>
            <w:u w:val="none"/>
          </w:rPr>
          <w:t>Opis danych</w:t>
        </w:r>
        <w:bookmarkEnd w:id="5"/>
      </w:hyperlink>
    </w:p>
    <w:p w14:paraId="5E87BD15" w14:textId="4BDED36E" w:rsidR="00E10C27" w:rsidRDefault="00E10C27" w:rsidP="00E10C27">
      <w:pPr>
        <w:ind w:firstLine="708"/>
      </w:pPr>
      <w:r>
        <w:t>Poniższa tabela prezentuje zmienne, które zostały wybrane na potrzeby tej pracy. Wszystkie dane pochodzą z oficjalnej strony Głównego Urzędu Statystycznego, a dokładniej z</w:t>
      </w:r>
      <w:r w:rsidR="00C94149">
        <w:t> </w:t>
      </w:r>
      <w:r>
        <w:t>Banku Danych Lokalnych.</w:t>
      </w:r>
    </w:p>
    <w:tbl>
      <w:tblPr>
        <w:tblStyle w:val="Tabela-Siatka"/>
        <w:tblW w:w="0" w:type="auto"/>
        <w:tblLook w:val="04A0" w:firstRow="1" w:lastRow="0" w:firstColumn="1" w:lastColumn="0" w:noHBand="0" w:noVBand="1"/>
      </w:tblPr>
      <w:tblGrid>
        <w:gridCol w:w="1132"/>
        <w:gridCol w:w="5271"/>
        <w:gridCol w:w="1170"/>
        <w:gridCol w:w="1489"/>
      </w:tblGrid>
      <w:tr w:rsidR="004E2286" w14:paraId="058F3491" w14:textId="77777777" w:rsidTr="00DB00DE">
        <w:trPr>
          <w:cantSplit/>
          <w:trHeight w:hRule="exact" w:val="454"/>
        </w:trPr>
        <w:tc>
          <w:tcPr>
            <w:tcW w:w="1132" w:type="dxa"/>
            <w:shd w:val="clear" w:color="auto" w:fill="000000" w:themeFill="text1"/>
            <w:vAlign w:val="center"/>
          </w:tcPr>
          <w:p w14:paraId="30CFA2BF" w14:textId="2A454EDF" w:rsidR="004E2286" w:rsidRPr="000E0831" w:rsidRDefault="004E2286" w:rsidP="004E2286">
            <w:pPr>
              <w:jc w:val="center"/>
              <w:rPr>
                <w:b/>
                <w:bCs/>
                <w:sz w:val="22"/>
                <w:szCs w:val="21"/>
              </w:rPr>
            </w:pPr>
            <w:r w:rsidRPr="000E0831">
              <w:rPr>
                <w:b/>
                <w:bCs/>
                <w:sz w:val="22"/>
                <w:szCs w:val="21"/>
              </w:rPr>
              <w:t>Zmienna</w:t>
            </w:r>
          </w:p>
        </w:tc>
        <w:tc>
          <w:tcPr>
            <w:tcW w:w="5271" w:type="dxa"/>
            <w:shd w:val="clear" w:color="auto" w:fill="000000" w:themeFill="text1"/>
            <w:vAlign w:val="center"/>
          </w:tcPr>
          <w:p w14:paraId="28A338ED" w14:textId="7A67E61C" w:rsidR="004E2286" w:rsidRPr="000E0831" w:rsidRDefault="004E2286" w:rsidP="004E2286">
            <w:pPr>
              <w:jc w:val="center"/>
              <w:rPr>
                <w:b/>
                <w:bCs/>
                <w:sz w:val="22"/>
                <w:szCs w:val="21"/>
              </w:rPr>
            </w:pPr>
            <w:r w:rsidRPr="000E0831">
              <w:rPr>
                <w:b/>
                <w:bCs/>
                <w:sz w:val="22"/>
                <w:szCs w:val="21"/>
              </w:rPr>
              <w:t>Nazwa zmiennej</w:t>
            </w:r>
          </w:p>
        </w:tc>
        <w:tc>
          <w:tcPr>
            <w:tcW w:w="1170" w:type="dxa"/>
            <w:shd w:val="clear" w:color="auto" w:fill="000000" w:themeFill="text1"/>
            <w:vAlign w:val="center"/>
          </w:tcPr>
          <w:p w14:paraId="18CBB723" w14:textId="7768E766" w:rsidR="004E2286" w:rsidRPr="000E0831" w:rsidRDefault="004E2286" w:rsidP="004E2286">
            <w:pPr>
              <w:jc w:val="center"/>
              <w:rPr>
                <w:b/>
                <w:bCs/>
                <w:sz w:val="22"/>
                <w:szCs w:val="21"/>
              </w:rPr>
            </w:pPr>
            <w:r w:rsidRPr="000E0831">
              <w:rPr>
                <w:b/>
                <w:bCs/>
                <w:sz w:val="22"/>
                <w:szCs w:val="21"/>
              </w:rPr>
              <w:t>Jednostka</w:t>
            </w:r>
          </w:p>
        </w:tc>
        <w:tc>
          <w:tcPr>
            <w:tcW w:w="1489" w:type="dxa"/>
            <w:shd w:val="clear" w:color="auto" w:fill="000000" w:themeFill="text1"/>
            <w:vAlign w:val="center"/>
          </w:tcPr>
          <w:p w14:paraId="5A3D87CA" w14:textId="6EC785E7" w:rsidR="004E2286" w:rsidRPr="000E0831" w:rsidRDefault="004E2286" w:rsidP="004E2286">
            <w:pPr>
              <w:jc w:val="center"/>
              <w:rPr>
                <w:b/>
                <w:bCs/>
                <w:sz w:val="22"/>
                <w:szCs w:val="21"/>
              </w:rPr>
            </w:pPr>
            <w:r w:rsidRPr="000E0831">
              <w:rPr>
                <w:b/>
                <w:bCs/>
                <w:sz w:val="22"/>
                <w:szCs w:val="21"/>
              </w:rPr>
              <w:t>Charakter</w:t>
            </w:r>
          </w:p>
        </w:tc>
      </w:tr>
      <w:tr w:rsidR="004E2286" w14:paraId="58C5F8DD" w14:textId="77777777" w:rsidTr="00CE70B5">
        <w:trPr>
          <w:cantSplit/>
          <w:trHeight w:hRule="exact" w:val="454"/>
        </w:trPr>
        <w:tc>
          <w:tcPr>
            <w:tcW w:w="1132" w:type="dxa"/>
            <w:shd w:val="clear" w:color="auto" w:fill="D9D9D9" w:themeFill="background1" w:themeFillShade="D9"/>
            <w:vAlign w:val="center"/>
          </w:tcPr>
          <w:p w14:paraId="61E04C88" w14:textId="3F6572E3" w:rsidR="004E2286" w:rsidRPr="000E0831" w:rsidRDefault="00000000" w:rsidP="004E2286">
            <w:pPr>
              <w:jc w:val="center"/>
              <w:rPr>
                <w:sz w:val="22"/>
                <w:szCs w:val="21"/>
              </w:rPr>
            </w:pPr>
            <m:oMathPara>
              <m:oMath>
                <m:sSub>
                  <m:sSubPr>
                    <m:ctrlPr>
                      <w:rPr>
                        <w:rFonts w:ascii="Cambria Math" w:hAnsi="Cambria Math"/>
                        <w:i/>
                        <w:sz w:val="22"/>
                        <w:szCs w:val="21"/>
                      </w:rPr>
                    </m:ctrlPr>
                  </m:sSubPr>
                  <m:e>
                    <m:r>
                      <w:rPr>
                        <w:rFonts w:ascii="Cambria Math" w:hAnsi="Cambria Math"/>
                        <w:sz w:val="22"/>
                        <w:szCs w:val="21"/>
                      </w:rPr>
                      <m:t>X</m:t>
                    </m:r>
                  </m:e>
                  <m:sub>
                    <m:r>
                      <w:rPr>
                        <w:rFonts w:ascii="Cambria Math" w:hAnsi="Cambria Math"/>
                        <w:sz w:val="22"/>
                        <w:szCs w:val="21"/>
                      </w:rPr>
                      <m:t>1</m:t>
                    </m:r>
                  </m:sub>
                </m:sSub>
              </m:oMath>
            </m:oMathPara>
          </w:p>
        </w:tc>
        <w:tc>
          <w:tcPr>
            <w:tcW w:w="5271" w:type="dxa"/>
            <w:shd w:val="clear" w:color="auto" w:fill="D9D9D9" w:themeFill="background1" w:themeFillShade="D9"/>
            <w:vAlign w:val="center"/>
          </w:tcPr>
          <w:p w14:paraId="74E4DD89" w14:textId="0BA66848" w:rsidR="004E2286" w:rsidRPr="000E0831" w:rsidRDefault="000E0831" w:rsidP="004E2286">
            <w:pPr>
              <w:jc w:val="left"/>
              <w:rPr>
                <w:sz w:val="22"/>
                <w:szCs w:val="21"/>
              </w:rPr>
            </w:pPr>
            <w:r w:rsidRPr="000E0831">
              <w:rPr>
                <w:sz w:val="22"/>
                <w:szCs w:val="21"/>
              </w:rPr>
              <w:t>Przeciętne miesięczne wynagrodzenie brutto</w:t>
            </w:r>
          </w:p>
        </w:tc>
        <w:tc>
          <w:tcPr>
            <w:tcW w:w="1170" w:type="dxa"/>
            <w:shd w:val="clear" w:color="auto" w:fill="D9D9D9" w:themeFill="background1" w:themeFillShade="D9"/>
            <w:vAlign w:val="center"/>
          </w:tcPr>
          <w:p w14:paraId="0B13D2B3" w14:textId="63AE0E12" w:rsidR="004E2286" w:rsidRPr="000E0831" w:rsidRDefault="000E0831" w:rsidP="004E2286">
            <w:pPr>
              <w:jc w:val="center"/>
              <w:rPr>
                <w:sz w:val="22"/>
                <w:szCs w:val="21"/>
              </w:rPr>
            </w:pPr>
            <w:r w:rsidRPr="000E0831">
              <w:rPr>
                <w:sz w:val="22"/>
                <w:szCs w:val="21"/>
              </w:rPr>
              <w:t>zł</w:t>
            </w:r>
          </w:p>
        </w:tc>
        <w:tc>
          <w:tcPr>
            <w:tcW w:w="1489" w:type="dxa"/>
            <w:shd w:val="clear" w:color="auto" w:fill="D9D9D9" w:themeFill="background1" w:themeFillShade="D9"/>
            <w:vAlign w:val="center"/>
          </w:tcPr>
          <w:p w14:paraId="1286CF28" w14:textId="5425E79A" w:rsidR="004E2286" w:rsidRPr="000E0831" w:rsidRDefault="000E0831" w:rsidP="004E2286">
            <w:pPr>
              <w:jc w:val="center"/>
              <w:rPr>
                <w:sz w:val="22"/>
                <w:szCs w:val="21"/>
              </w:rPr>
            </w:pPr>
            <w:r w:rsidRPr="000E0831">
              <w:rPr>
                <w:sz w:val="22"/>
                <w:szCs w:val="21"/>
              </w:rPr>
              <w:t>stymulanta</w:t>
            </w:r>
          </w:p>
        </w:tc>
      </w:tr>
      <w:tr w:rsidR="004E2286" w14:paraId="7BF5B20F" w14:textId="77777777" w:rsidTr="00C94149">
        <w:trPr>
          <w:cantSplit/>
          <w:trHeight w:hRule="exact" w:val="454"/>
        </w:trPr>
        <w:tc>
          <w:tcPr>
            <w:tcW w:w="1132" w:type="dxa"/>
            <w:vAlign w:val="center"/>
          </w:tcPr>
          <w:p w14:paraId="3DE90D21" w14:textId="2EF72418" w:rsidR="004E2286" w:rsidRPr="000E0831" w:rsidRDefault="00000000" w:rsidP="004E2286">
            <w:pPr>
              <w:jc w:val="center"/>
              <w:rPr>
                <w:sz w:val="22"/>
                <w:szCs w:val="21"/>
              </w:rPr>
            </w:pPr>
            <m:oMathPara>
              <m:oMath>
                <m:sSub>
                  <m:sSubPr>
                    <m:ctrlPr>
                      <w:rPr>
                        <w:rFonts w:ascii="Cambria Math" w:hAnsi="Cambria Math"/>
                        <w:i/>
                        <w:sz w:val="22"/>
                        <w:szCs w:val="21"/>
                      </w:rPr>
                    </m:ctrlPr>
                  </m:sSubPr>
                  <m:e>
                    <m:r>
                      <w:rPr>
                        <w:rFonts w:ascii="Cambria Math" w:hAnsi="Cambria Math"/>
                        <w:sz w:val="22"/>
                        <w:szCs w:val="21"/>
                      </w:rPr>
                      <m:t>X</m:t>
                    </m:r>
                  </m:e>
                  <m:sub>
                    <m:r>
                      <w:rPr>
                        <w:rFonts w:ascii="Cambria Math" w:hAnsi="Cambria Math"/>
                        <w:sz w:val="22"/>
                        <w:szCs w:val="21"/>
                      </w:rPr>
                      <m:t>2</m:t>
                    </m:r>
                  </m:sub>
                </m:sSub>
              </m:oMath>
            </m:oMathPara>
          </w:p>
        </w:tc>
        <w:tc>
          <w:tcPr>
            <w:tcW w:w="5271" w:type="dxa"/>
            <w:vAlign w:val="center"/>
          </w:tcPr>
          <w:p w14:paraId="30A97279" w14:textId="4F891515" w:rsidR="004E2286" w:rsidRPr="000E0831" w:rsidRDefault="000E0831" w:rsidP="004E2286">
            <w:pPr>
              <w:jc w:val="left"/>
              <w:rPr>
                <w:sz w:val="22"/>
                <w:szCs w:val="21"/>
              </w:rPr>
            </w:pPr>
            <w:r w:rsidRPr="000E0831">
              <w:rPr>
                <w:sz w:val="22"/>
                <w:szCs w:val="21"/>
              </w:rPr>
              <w:t>Stopa bezrobocia rejestrowanego</w:t>
            </w:r>
          </w:p>
        </w:tc>
        <w:tc>
          <w:tcPr>
            <w:tcW w:w="1170" w:type="dxa"/>
            <w:vAlign w:val="center"/>
          </w:tcPr>
          <w:p w14:paraId="6F994A5F" w14:textId="58FAB718" w:rsidR="004E2286" w:rsidRPr="000E0831" w:rsidRDefault="000E0831" w:rsidP="004E2286">
            <w:pPr>
              <w:jc w:val="center"/>
              <w:rPr>
                <w:sz w:val="22"/>
                <w:szCs w:val="21"/>
              </w:rPr>
            </w:pPr>
            <w:r w:rsidRPr="000E0831">
              <w:rPr>
                <w:sz w:val="22"/>
                <w:szCs w:val="21"/>
              </w:rPr>
              <w:t>%</w:t>
            </w:r>
          </w:p>
        </w:tc>
        <w:tc>
          <w:tcPr>
            <w:tcW w:w="1489" w:type="dxa"/>
            <w:vAlign w:val="center"/>
          </w:tcPr>
          <w:p w14:paraId="66C7041D" w14:textId="74273A74" w:rsidR="004E2286" w:rsidRPr="000E0831" w:rsidRDefault="000E0831" w:rsidP="004E2286">
            <w:pPr>
              <w:jc w:val="center"/>
              <w:rPr>
                <w:sz w:val="22"/>
                <w:szCs w:val="21"/>
              </w:rPr>
            </w:pPr>
            <w:proofErr w:type="spellStart"/>
            <w:r w:rsidRPr="000E0831">
              <w:rPr>
                <w:sz w:val="22"/>
                <w:szCs w:val="21"/>
              </w:rPr>
              <w:t>destymulanta</w:t>
            </w:r>
            <w:proofErr w:type="spellEnd"/>
          </w:p>
        </w:tc>
      </w:tr>
      <w:tr w:rsidR="004E2286" w14:paraId="19864149" w14:textId="77777777" w:rsidTr="00CE70B5">
        <w:trPr>
          <w:cantSplit/>
          <w:trHeight w:hRule="exact" w:val="454"/>
        </w:trPr>
        <w:tc>
          <w:tcPr>
            <w:tcW w:w="1132" w:type="dxa"/>
            <w:shd w:val="clear" w:color="auto" w:fill="D9D9D9" w:themeFill="background1" w:themeFillShade="D9"/>
            <w:vAlign w:val="center"/>
          </w:tcPr>
          <w:p w14:paraId="1BBCEE60" w14:textId="0DDE64B8" w:rsidR="004E2286" w:rsidRPr="000E0831" w:rsidRDefault="00000000" w:rsidP="004E2286">
            <w:pPr>
              <w:jc w:val="center"/>
              <w:rPr>
                <w:sz w:val="22"/>
                <w:szCs w:val="21"/>
              </w:rPr>
            </w:pPr>
            <m:oMathPara>
              <m:oMath>
                <m:sSub>
                  <m:sSubPr>
                    <m:ctrlPr>
                      <w:rPr>
                        <w:rFonts w:ascii="Cambria Math" w:hAnsi="Cambria Math"/>
                        <w:i/>
                        <w:sz w:val="22"/>
                        <w:szCs w:val="21"/>
                      </w:rPr>
                    </m:ctrlPr>
                  </m:sSubPr>
                  <m:e>
                    <m:r>
                      <w:rPr>
                        <w:rFonts w:ascii="Cambria Math" w:hAnsi="Cambria Math"/>
                        <w:sz w:val="22"/>
                        <w:szCs w:val="21"/>
                      </w:rPr>
                      <m:t>X</m:t>
                    </m:r>
                  </m:e>
                  <m:sub>
                    <m:r>
                      <w:rPr>
                        <w:rFonts w:ascii="Cambria Math" w:hAnsi="Cambria Math"/>
                        <w:sz w:val="22"/>
                        <w:szCs w:val="21"/>
                      </w:rPr>
                      <m:t>3</m:t>
                    </m:r>
                  </m:sub>
                </m:sSub>
              </m:oMath>
            </m:oMathPara>
          </w:p>
        </w:tc>
        <w:tc>
          <w:tcPr>
            <w:tcW w:w="5271" w:type="dxa"/>
            <w:shd w:val="clear" w:color="auto" w:fill="D9D9D9" w:themeFill="background1" w:themeFillShade="D9"/>
            <w:vAlign w:val="center"/>
          </w:tcPr>
          <w:p w14:paraId="3A119531" w14:textId="470EF0E2" w:rsidR="004E2286" w:rsidRPr="000E0831" w:rsidRDefault="000E0831" w:rsidP="004E2286">
            <w:pPr>
              <w:jc w:val="left"/>
              <w:rPr>
                <w:sz w:val="22"/>
                <w:szCs w:val="21"/>
              </w:rPr>
            </w:pPr>
            <w:r w:rsidRPr="000E0831">
              <w:rPr>
                <w:sz w:val="22"/>
                <w:szCs w:val="21"/>
              </w:rPr>
              <w:t>Liczba lekarzy na 10 000 mieszkańców</w:t>
            </w:r>
          </w:p>
        </w:tc>
        <w:tc>
          <w:tcPr>
            <w:tcW w:w="1170" w:type="dxa"/>
            <w:shd w:val="clear" w:color="auto" w:fill="D9D9D9" w:themeFill="background1" w:themeFillShade="D9"/>
            <w:vAlign w:val="center"/>
          </w:tcPr>
          <w:p w14:paraId="4F955B1B" w14:textId="3EF6EB3B" w:rsidR="004E2286" w:rsidRPr="000E0831" w:rsidRDefault="000E0831" w:rsidP="004E2286">
            <w:pPr>
              <w:jc w:val="center"/>
              <w:rPr>
                <w:sz w:val="22"/>
                <w:szCs w:val="21"/>
              </w:rPr>
            </w:pPr>
            <w:r w:rsidRPr="000E0831">
              <w:rPr>
                <w:sz w:val="22"/>
                <w:szCs w:val="21"/>
              </w:rPr>
              <w:t>osoby</w:t>
            </w:r>
          </w:p>
        </w:tc>
        <w:tc>
          <w:tcPr>
            <w:tcW w:w="1489" w:type="dxa"/>
            <w:shd w:val="clear" w:color="auto" w:fill="D9D9D9" w:themeFill="background1" w:themeFillShade="D9"/>
            <w:vAlign w:val="center"/>
          </w:tcPr>
          <w:p w14:paraId="2FD500A3" w14:textId="6CD3480D" w:rsidR="004E2286" w:rsidRPr="000E0831" w:rsidRDefault="000E0831" w:rsidP="004E2286">
            <w:pPr>
              <w:jc w:val="center"/>
              <w:rPr>
                <w:sz w:val="22"/>
                <w:szCs w:val="21"/>
              </w:rPr>
            </w:pPr>
            <w:r w:rsidRPr="000E0831">
              <w:rPr>
                <w:sz w:val="22"/>
                <w:szCs w:val="21"/>
              </w:rPr>
              <w:t>stymulanta</w:t>
            </w:r>
          </w:p>
        </w:tc>
      </w:tr>
      <w:tr w:rsidR="004E2286" w14:paraId="17559BF9" w14:textId="77777777" w:rsidTr="00C94149">
        <w:trPr>
          <w:cantSplit/>
          <w:trHeight w:hRule="exact" w:val="454"/>
        </w:trPr>
        <w:tc>
          <w:tcPr>
            <w:tcW w:w="1132" w:type="dxa"/>
            <w:vAlign w:val="center"/>
          </w:tcPr>
          <w:p w14:paraId="0C09F306" w14:textId="211F1E04" w:rsidR="004E2286" w:rsidRPr="000E0831" w:rsidRDefault="00000000" w:rsidP="004E2286">
            <w:pPr>
              <w:jc w:val="center"/>
              <w:rPr>
                <w:sz w:val="22"/>
                <w:szCs w:val="21"/>
              </w:rPr>
            </w:pPr>
            <m:oMathPara>
              <m:oMath>
                <m:sSub>
                  <m:sSubPr>
                    <m:ctrlPr>
                      <w:rPr>
                        <w:rFonts w:ascii="Cambria Math" w:hAnsi="Cambria Math"/>
                        <w:i/>
                        <w:sz w:val="22"/>
                        <w:szCs w:val="21"/>
                      </w:rPr>
                    </m:ctrlPr>
                  </m:sSubPr>
                  <m:e>
                    <m:r>
                      <w:rPr>
                        <w:rFonts w:ascii="Cambria Math" w:hAnsi="Cambria Math"/>
                        <w:sz w:val="22"/>
                        <w:szCs w:val="21"/>
                      </w:rPr>
                      <m:t>X</m:t>
                    </m:r>
                  </m:e>
                  <m:sub>
                    <m:r>
                      <w:rPr>
                        <w:rFonts w:ascii="Cambria Math" w:hAnsi="Cambria Math"/>
                        <w:sz w:val="22"/>
                        <w:szCs w:val="21"/>
                      </w:rPr>
                      <m:t>4</m:t>
                    </m:r>
                  </m:sub>
                </m:sSub>
              </m:oMath>
            </m:oMathPara>
          </w:p>
        </w:tc>
        <w:tc>
          <w:tcPr>
            <w:tcW w:w="5271" w:type="dxa"/>
            <w:vAlign w:val="center"/>
          </w:tcPr>
          <w:p w14:paraId="74BCF15D" w14:textId="75A07C4F" w:rsidR="004E2286" w:rsidRPr="000E0831" w:rsidRDefault="000E0831" w:rsidP="004E2286">
            <w:pPr>
              <w:jc w:val="left"/>
              <w:rPr>
                <w:sz w:val="22"/>
                <w:szCs w:val="21"/>
              </w:rPr>
            </w:pPr>
            <w:r w:rsidRPr="000E0831">
              <w:rPr>
                <w:sz w:val="22"/>
                <w:szCs w:val="21"/>
              </w:rPr>
              <w:t>Opłaty komunalne za m</w:t>
            </w:r>
            <w:r w:rsidRPr="000E0831">
              <w:rPr>
                <w:sz w:val="22"/>
                <w:szCs w:val="21"/>
                <w:vertAlign w:val="superscript"/>
              </w:rPr>
              <w:t xml:space="preserve">2 </w:t>
            </w:r>
            <w:r w:rsidRPr="000E0831">
              <w:rPr>
                <w:sz w:val="22"/>
                <w:szCs w:val="21"/>
              </w:rPr>
              <w:t>w skali roku</w:t>
            </w:r>
          </w:p>
        </w:tc>
        <w:tc>
          <w:tcPr>
            <w:tcW w:w="1170" w:type="dxa"/>
            <w:vAlign w:val="center"/>
          </w:tcPr>
          <w:p w14:paraId="0F8461DE" w14:textId="7B5602CE" w:rsidR="004E2286" w:rsidRPr="000E0831" w:rsidRDefault="000E0831" w:rsidP="004E2286">
            <w:pPr>
              <w:jc w:val="center"/>
              <w:rPr>
                <w:sz w:val="22"/>
                <w:szCs w:val="21"/>
              </w:rPr>
            </w:pPr>
            <w:r w:rsidRPr="000E0831">
              <w:rPr>
                <w:sz w:val="22"/>
                <w:szCs w:val="21"/>
              </w:rPr>
              <w:t>zł</w:t>
            </w:r>
          </w:p>
        </w:tc>
        <w:tc>
          <w:tcPr>
            <w:tcW w:w="1489" w:type="dxa"/>
            <w:vAlign w:val="center"/>
          </w:tcPr>
          <w:p w14:paraId="64AB3679" w14:textId="1423588C" w:rsidR="004E2286" w:rsidRPr="000E0831" w:rsidRDefault="000E0831" w:rsidP="004E2286">
            <w:pPr>
              <w:jc w:val="center"/>
              <w:rPr>
                <w:sz w:val="22"/>
                <w:szCs w:val="21"/>
              </w:rPr>
            </w:pPr>
            <w:proofErr w:type="spellStart"/>
            <w:r w:rsidRPr="000E0831">
              <w:rPr>
                <w:sz w:val="22"/>
                <w:szCs w:val="21"/>
              </w:rPr>
              <w:t>destymulanta</w:t>
            </w:r>
            <w:proofErr w:type="spellEnd"/>
          </w:p>
        </w:tc>
      </w:tr>
      <w:tr w:rsidR="004E2286" w14:paraId="5CCABB26" w14:textId="77777777" w:rsidTr="00CE70B5">
        <w:trPr>
          <w:cantSplit/>
          <w:trHeight w:hRule="exact" w:val="454"/>
        </w:trPr>
        <w:tc>
          <w:tcPr>
            <w:tcW w:w="1132" w:type="dxa"/>
            <w:shd w:val="clear" w:color="auto" w:fill="D9D9D9" w:themeFill="background1" w:themeFillShade="D9"/>
            <w:vAlign w:val="center"/>
          </w:tcPr>
          <w:p w14:paraId="4A4D5508" w14:textId="4920353F" w:rsidR="004E2286" w:rsidRPr="000E0831" w:rsidRDefault="00000000" w:rsidP="004E2286">
            <w:pPr>
              <w:jc w:val="center"/>
              <w:rPr>
                <w:sz w:val="22"/>
                <w:szCs w:val="21"/>
              </w:rPr>
            </w:pPr>
            <m:oMathPara>
              <m:oMath>
                <m:sSub>
                  <m:sSubPr>
                    <m:ctrlPr>
                      <w:rPr>
                        <w:rFonts w:ascii="Cambria Math" w:hAnsi="Cambria Math"/>
                        <w:i/>
                        <w:sz w:val="22"/>
                        <w:szCs w:val="21"/>
                      </w:rPr>
                    </m:ctrlPr>
                  </m:sSubPr>
                  <m:e>
                    <m:r>
                      <w:rPr>
                        <w:rFonts w:ascii="Cambria Math" w:hAnsi="Cambria Math"/>
                        <w:sz w:val="22"/>
                        <w:szCs w:val="21"/>
                      </w:rPr>
                      <m:t>X</m:t>
                    </m:r>
                  </m:e>
                  <m:sub>
                    <m:r>
                      <w:rPr>
                        <w:rFonts w:ascii="Cambria Math" w:hAnsi="Cambria Math"/>
                        <w:sz w:val="22"/>
                        <w:szCs w:val="21"/>
                      </w:rPr>
                      <m:t>5</m:t>
                    </m:r>
                  </m:sub>
                </m:sSub>
              </m:oMath>
            </m:oMathPara>
          </w:p>
        </w:tc>
        <w:tc>
          <w:tcPr>
            <w:tcW w:w="5271" w:type="dxa"/>
            <w:shd w:val="clear" w:color="auto" w:fill="D9D9D9" w:themeFill="background1" w:themeFillShade="D9"/>
            <w:vAlign w:val="center"/>
          </w:tcPr>
          <w:p w14:paraId="13C3E8E1" w14:textId="08A05FF4" w:rsidR="004E2286" w:rsidRPr="000E0831" w:rsidRDefault="000E0831" w:rsidP="004E2286">
            <w:pPr>
              <w:jc w:val="left"/>
              <w:rPr>
                <w:sz w:val="22"/>
                <w:szCs w:val="21"/>
              </w:rPr>
            </w:pPr>
            <w:r w:rsidRPr="000E0831">
              <w:rPr>
                <w:sz w:val="22"/>
                <w:szCs w:val="21"/>
              </w:rPr>
              <w:t>Liczba aptek na 100 000 mieszkańców</w:t>
            </w:r>
          </w:p>
        </w:tc>
        <w:tc>
          <w:tcPr>
            <w:tcW w:w="1170" w:type="dxa"/>
            <w:shd w:val="clear" w:color="auto" w:fill="D9D9D9" w:themeFill="background1" w:themeFillShade="D9"/>
            <w:vAlign w:val="center"/>
          </w:tcPr>
          <w:p w14:paraId="5DC9B277" w14:textId="7712D84D" w:rsidR="004E2286" w:rsidRPr="000E0831" w:rsidRDefault="000E0831" w:rsidP="004E2286">
            <w:pPr>
              <w:jc w:val="center"/>
              <w:rPr>
                <w:sz w:val="22"/>
                <w:szCs w:val="21"/>
              </w:rPr>
            </w:pPr>
            <w:r w:rsidRPr="000E0831">
              <w:rPr>
                <w:sz w:val="22"/>
                <w:szCs w:val="21"/>
              </w:rPr>
              <w:t>szt.</w:t>
            </w:r>
          </w:p>
        </w:tc>
        <w:tc>
          <w:tcPr>
            <w:tcW w:w="1489" w:type="dxa"/>
            <w:shd w:val="clear" w:color="auto" w:fill="D9D9D9" w:themeFill="background1" w:themeFillShade="D9"/>
            <w:vAlign w:val="center"/>
          </w:tcPr>
          <w:p w14:paraId="1DD057F3" w14:textId="7C41821C" w:rsidR="004E2286" w:rsidRPr="000E0831" w:rsidRDefault="000E0831" w:rsidP="004E2286">
            <w:pPr>
              <w:jc w:val="center"/>
              <w:rPr>
                <w:sz w:val="22"/>
                <w:szCs w:val="21"/>
              </w:rPr>
            </w:pPr>
            <w:r w:rsidRPr="000E0831">
              <w:rPr>
                <w:sz w:val="22"/>
                <w:szCs w:val="21"/>
              </w:rPr>
              <w:t>stymulanta</w:t>
            </w:r>
          </w:p>
        </w:tc>
      </w:tr>
      <w:tr w:rsidR="004E2286" w14:paraId="45AD18B0" w14:textId="77777777" w:rsidTr="00C94149">
        <w:trPr>
          <w:cantSplit/>
          <w:trHeight w:hRule="exact" w:val="454"/>
        </w:trPr>
        <w:tc>
          <w:tcPr>
            <w:tcW w:w="1132" w:type="dxa"/>
            <w:vAlign w:val="center"/>
          </w:tcPr>
          <w:p w14:paraId="687A91A5" w14:textId="7FDB96E4" w:rsidR="004E2286" w:rsidRPr="000E0831" w:rsidRDefault="00000000" w:rsidP="004E2286">
            <w:pPr>
              <w:jc w:val="center"/>
              <w:rPr>
                <w:sz w:val="22"/>
                <w:szCs w:val="21"/>
              </w:rPr>
            </w:pPr>
            <m:oMathPara>
              <m:oMath>
                <m:sSub>
                  <m:sSubPr>
                    <m:ctrlPr>
                      <w:rPr>
                        <w:rFonts w:ascii="Cambria Math" w:hAnsi="Cambria Math"/>
                        <w:i/>
                        <w:sz w:val="22"/>
                        <w:szCs w:val="21"/>
                      </w:rPr>
                    </m:ctrlPr>
                  </m:sSubPr>
                  <m:e>
                    <m:r>
                      <w:rPr>
                        <w:rFonts w:ascii="Cambria Math" w:hAnsi="Cambria Math"/>
                        <w:sz w:val="22"/>
                        <w:szCs w:val="21"/>
                      </w:rPr>
                      <m:t>X</m:t>
                    </m:r>
                  </m:e>
                  <m:sub>
                    <m:r>
                      <w:rPr>
                        <w:rFonts w:ascii="Cambria Math" w:hAnsi="Cambria Math"/>
                        <w:sz w:val="22"/>
                        <w:szCs w:val="21"/>
                      </w:rPr>
                      <m:t>6</m:t>
                    </m:r>
                  </m:sub>
                </m:sSub>
              </m:oMath>
            </m:oMathPara>
          </w:p>
        </w:tc>
        <w:tc>
          <w:tcPr>
            <w:tcW w:w="5271" w:type="dxa"/>
            <w:vAlign w:val="center"/>
          </w:tcPr>
          <w:p w14:paraId="413255E9" w14:textId="5F819F56" w:rsidR="004E2286" w:rsidRPr="000E0831" w:rsidRDefault="000E0831" w:rsidP="004E2286">
            <w:pPr>
              <w:jc w:val="left"/>
              <w:rPr>
                <w:sz w:val="22"/>
                <w:szCs w:val="21"/>
              </w:rPr>
            </w:pPr>
            <w:r w:rsidRPr="000E0831">
              <w:rPr>
                <w:sz w:val="22"/>
                <w:szCs w:val="21"/>
              </w:rPr>
              <w:t>Średnia cena za m</w:t>
            </w:r>
            <w:r w:rsidRPr="000E0831">
              <w:rPr>
                <w:sz w:val="22"/>
                <w:szCs w:val="21"/>
                <w:vertAlign w:val="superscript"/>
              </w:rPr>
              <w:t xml:space="preserve">2 </w:t>
            </w:r>
            <w:r w:rsidRPr="000E0831">
              <w:rPr>
                <w:sz w:val="22"/>
                <w:szCs w:val="21"/>
              </w:rPr>
              <w:t>mieszkania</w:t>
            </w:r>
          </w:p>
        </w:tc>
        <w:tc>
          <w:tcPr>
            <w:tcW w:w="1170" w:type="dxa"/>
            <w:vAlign w:val="center"/>
          </w:tcPr>
          <w:p w14:paraId="4316A5DC" w14:textId="1AB3BCD9" w:rsidR="004E2286" w:rsidRPr="000E0831" w:rsidRDefault="000E0831" w:rsidP="004E2286">
            <w:pPr>
              <w:jc w:val="center"/>
              <w:rPr>
                <w:sz w:val="22"/>
                <w:szCs w:val="21"/>
              </w:rPr>
            </w:pPr>
            <w:r w:rsidRPr="000E0831">
              <w:rPr>
                <w:sz w:val="22"/>
                <w:szCs w:val="21"/>
              </w:rPr>
              <w:t>zł</w:t>
            </w:r>
          </w:p>
        </w:tc>
        <w:tc>
          <w:tcPr>
            <w:tcW w:w="1489" w:type="dxa"/>
            <w:vAlign w:val="center"/>
          </w:tcPr>
          <w:p w14:paraId="56E5B712" w14:textId="02B00FF7" w:rsidR="004E2286" w:rsidRPr="000E0831" w:rsidRDefault="000E0831" w:rsidP="004E2286">
            <w:pPr>
              <w:jc w:val="center"/>
              <w:rPr>
                <w:sz w:val="22"/>
                <w:szCs w:val="21"/>
              </w:rPr>
            </w:pPr>
            <w:proofErr w:type="spellStart"/>
            <w:r w:rsidRPr="000E0831">
              <w:rPr>
                <w:sz w:val="22"/>
                <w:szCs w:val="21"/>
              </w:rPr>
              <w:t>destymulanta</w:t>
            </w:r>
            <w:proofErr w:type="spellEnd"/>
          </w:p>
        </w:tc>
      </w:tr>
      <w:tr w:rsidR="004E2286" w14:paraId="692B6531" w14:textId="77777777" w:rsidTr="00CE70B5">
        <w:trPr>
          <w:cantSplit/>
          <w:trHeight w:hRule="exact" w:val="454"/>
        </w:trPr>
        <w:tc>
          <w:tcPr>
            <w:tcW w:w="1132" w:type="dxa"/>
            <w:shd w:val="clear" w:color="auto" w:fill="D9D9D9" w:themeFill="background1" w:themeFillShade="D9"/>
            <w:vAlign w:val="center"/>
          </w:tcPr>
          <w:p w14:paraId="1C98E80A" w14:textId="6657AE0C" w:rsidR="004E2286" w:rsidRPr="000E0831" w:rsidRDefault="00000000" w:rsidP="004E2286">
            <w:pPr>
              <w:jc w:val="center"/>
              <w:rPr>
                <w:sz w:val="22"/>
                <w:szCs w:val="21"/>
              </w:rPr>
            </w:pPr>
            <m:oMathPara>
              <m:oMath>
                <m:sSub>
                  <m:sSubPr>
                    <m:ctrlPr>
                      <w:rPr>
                        <w:rFonts w:ascii="Cambria Math" w:hAnsi="Cambria Math"/>
                        <w:i/>
                        <w:sz w:val="22"/>
                        <w:szCs w:val="21"/>
                      </w:rPr>
                    </m:ctrlPr>
                  </m:sSubPr>
                  <m:e>
                    <m:r>
                      <w:rPr>
                        <w:rFonts w:ascii="Cambria Math" w:hAnsi="Cambria Math"/>
                        <w:sz w:val="22"/>
                        <w:szCs w:val="21"/>
                      </w:rPr>
                      <m:t>X</m:t>
                    </m:r>
                  </m:e>
                  <m:sub>
                    <m:r>
                      <w:rPr>
                        <w:rFonts w:ascii="Cambria Math" w:hAnsi="Cambria Math"/>
                        <w:sz w:val="22"/>
                        <w:szCs w:val="21"/>
                      </w:rPr>
                      <m:t>7</m:t>
                    </m:r>
                  </m:sub>
                </m:sSub>
              </m:oMath>
            </m:oMathPara>
          </w:p>
        </w:tc>
        <w:tc>
          <w:tcPr>
            <w:tcW w:w="5271" w:type="dxa"/>
            <w:shd w:val="clear" w:color="auto" w:fill="D9D9D9" w:themeFill="background1" w:themeFillShade="D9"/>
            <w:vAlign w:val="center"/>
          </w:tcPr>
          <w:p w14:paraId="310A81C7" w14:textId="4543B39C" w:rsidR="004E2286" w:rsidRPr="000E0831" w:rsidRDefault="000E0831" w:rsidP="004E2286">
            <w:pPr>
              <w:jc w:val="left"/>
              <w:rPr>
                <w:sz w:val="22"/>
                <w:szCs w:val="21"/>
              </w:rPr>
            </w:pPr>
            <w:r w:rsidRPr="000E0831">
              <w:rPr>
                <w:sz w:val="22"/>
                <w:szCs w:val="21"/>
              </w:rPr>
              <w:t>Liczba uczelni wyższych na 1 000 000 mieszkańców</w:t>
            </w:r>
          </w:p>
        </w:tc>
        <w:tc>
          <w:tcPr>
            <w:tcW w:w="1170" w:type="dxa"/>
            <w:shd w:val="clear" w:color="auto" w:fill="D9D9D9" w:themeFill="background1" w:themeFillShade="D9"/>
            <w:vAlign w:val="center"/>
          </w:tcPr>
          <w:p w14:paraId="7B218755" w14:textId="6E47B050" w:rsidR="004E2286" w:rsidRPr="000E0831" w:rsidRDefault="000E0831" w:rsidP="004E2286">
            <w:pPr>
              <w:jc w:val="center"/>
              <w:rPr>
                <w:sz w:val="22"/>
                <w:szCs w:val="21"/>
              </w:rPr>
            </w:pPr>
            <w:r>
              <w:rPr>
                <w:sz w:val="22"/>
                <w:szCs w:val="21"/>
              </w:rPr>
              <w:t>szt.</w:t>
            </w:r>
          </w:p>
        </w:tc>
        <w:tc>
          <w:tcPr>
            <w:tcW w:w="1489" w:type="dxa"/>
            <w:shd w:val="clear" w:color="auto" w:fill="D9D9D9" w:themeFill="background1" w:themeFillShade="D9"/>
            <w:vAlign w:val="center"/>
          </w:tcPr>
          <w:p w14:paraId="5051B220" w14:textId="47E95D83" w:rsidR="004E2286" w:rsidRPr="000E0831" w:rsidRDefault="000E0831" w:rsidP="004E2286">
            <w:pPr>
              <w:jc w:val="center"/>
              <w:rPr>
                <w:sz w:val="22"/>
                <w:szCs w:val="21"/>
              </w:rPr>
            </w:pPr>
            <w:r>
              <w:rPr>
                <w:sz w:val="22"/>
                <w:szCs w:val="21"/>
              </w:rPr>
              <w:t>stymulanta</w:t>
            </w:r>
          </w:p>
        </w:tc>
      </w:tr>
      <w:tr w:rsidR="004E2286" w14:paraId="2D9BE52C" w14:textId="77777777" w:rsidTr="00C94149">
        <w:trPr>
          <w:cantSplit/>
          <w:trHeight w:hRule="exact" w:val="454"/>
        </w:trPr>
        <w:tc>
          <w:tcPr>
            <w:tcW w:w="1132" w:type="dxa"/>
            <w:vAlign w:val="center"/>
          </w:tcPr>
          <w:p w14:paraId="4E835FB7" w14:textId="09128BC2" w:rsidR="004E2286" w:rsidRPr="000E0831" w:rsidRDefault="00000000" w:rsidP="004E2286">
            <w:pPr>
              <w:jc w:val="center"/>
              <w:rPr>
                <w:sz w:val="22"/>
                <w:szCs w:val="21"/>
              </w:rPr>
            </w:pPr>
            <m:oMathPara>
              <m:oMath>
                <m:sSub>
                  <m:sSubPr>
                    <m:ctrlPr>
                      <w:rPr>
                        <w:rFonts w:ascii="Cambria Math" w:hAnsi="Cambria Math"/>
                        <w:i/>
                        <w:sz w:val="22"/>
                        <w:szCs w:val="21"/>
                      </w:rPr>
                    </m:ctrlPr>
                  </m:sSubPr>
                  <m:e>
                    <m:r>
                      <w:rPr>
                        <w:rFonts w:ascii="Cambria Math" w:hAnsi="Cambria Math"/>
                        <w:sz w:val="22"/>
                        <w:szCs w:val="21"/>
                      </w:rPr>
                      <m:t>X</m:t>
                    </m:r>
                  </m:e>
                  <m:sub>
                    <m:r>
                      <w:rPr>
                        <w:rFonts w:ascii="Cambria Math" w:hAnsi="Cambria Math"/>
                        <w:sz w:val="22"/>
                        <w:szCs w:val="21"/>
                      </w:rPr>
                      <m:t>8</m:t>
                    </m:r>
                  </m:sub>
                </m:sSub>
              </m:oMath>
            </m:oMathPara>
          </w:p>
        </w:tc>
        <w:tc>
          <w:tcPr>
            <w:tcW w:w="5271" w:type="dxa"/>
            <w:vAlign w:val="center"/>
          </w:tcPr>
          <w:p w14:paraId="20FBD34A" w14:textId="0DEC603B" w:rsidR="004E2286" w:rsidRPr="000E0831" w:rsidRDefault="00D95EE0" w:rsidP="004E2286">
            <w:pPr>
              <w:jc w:val="left"/>
              <w:rPr>
                <w:sz w:val="22"/>
                <w:szCs w:val="21"/>
              </w:rPr>
            </w:pPr>
            <w:r>
              <w:rPr>
                <w:sz w:val="22"/>
                <w:szCs w:val="21"/>
              </w:rPr>
              <w:t>Emisja gazów na km</w:t>
            </w:r>
            <w:r w:rsidRPr="000E0831">
              <w:rPr>
                <w:sz w:val="22"/>
                <w:szCs w:val="21"/>
                <w:vertAlign w:val="superscript"/>
              </w:rPr>
              <w:t>2</w:t>
            </w:r>
          </w:p>
        </w:tc>
        <w:tc>
          <w:tcPr>
            <w:tcW w:w="1170" w:type="dxa"/>
            <w:vAlign w:val="center"/>
          </w:tcPr>
          <w:p w14:paraId="77E56F42" w14:textId="40346EF5" w:rsidR="004E2286" w:rsidRPr="000E0831" w:rsidRDefault="00D95EE0" w:rsidP="004E2286">
            <w:pPr>
              <w:jc w:val="center"/>
              <w:rPr>
                <w:sz w:val="22"/>
                <w:szCs w:val="21"/>
              </w:rPr>
            </w:pPr>
            <w:r>
              <w:rPr>
                <w:sz w:val="22"/>
                <w:szCs w:val="21"/>
              </w:rPr>
              <w:t>t</w:t>
            </w:r>
          </w:p>
        </w:tc>
        <w:tc>
          <w:tcPr>
            <w:tcW w:w="1489" w:type="dxa"/>
            <w:vAlign w:val="center"/>
          </w:tcPr>
          <w:p w14:paraId="37EA2BB7" w14:textId="5493A699" w:rsidR="004E2286" w:rsidRPr="000E0831" w:rsidRDefault="00D95EE0" w:rsidP="004E2286">
            <w:pPr>
              <w:jc w:val="center"/>
              <w:rPr>
                <w:sz w:val="22"/>
                <w:szCs w:val="21"/>
              </w:rPr>
            </w:pPr>
            <w:proofErr w:type="spellStart"/>
            <w:r>
              <w:rPr>
                <w:sz w:val="22"/>
                <w:szCs w:val="21"/>
              </w:rPr>
              <w:t>destymulanta</w:t>
            </w:r>
            <w:proofErr w:type="spellEnd"/>
          </w:p>
        </w:tc>
      </w:tr>
      <w:tr w:rsidR="004E2286" w14:paraId="3206F41B" w14:textId="77777777" w:rsidTr="00CE70B5">
        <w:trPr>
          <w:cantSplit/>
          <w:trHeight w:hRule="exact" w:val="454"/>
        </w:trPr>
        <w:tc>
          <w:tcPr>
            <w:tcW w:w="1132" w:type="dxa"/>
            <w:shd w:val="clear" w:color="auto" w:fill="D9D9D9" w:themeFill="background1" w:themeFillShade="D9"/>
            <w:vAlign w:val="center"/>
          </w:tcPr>
          <w:p w14:paraId="50B38CB8" w14:textId="306E45F6" w:rsidR="004E2286" w:rsidRPr="000E0831" w:rsidRDefault="00000000" w:rsidP="004E2286">
            <w:pPr>
              <w:jc w:val="center"/>
              <w:rPr>
                <w:sz w:val="22"/>
                <w:szCs w:val="21"/>
              </w:rPr>
            </w:pPr>
            <m:oMathPara>
              <m:oMath>
                <m:sSub>
                  <m:sSubPr>
                    <m:ctrlPr>
                      <w:rPr>
                        <w:rFonts w:ascii="Cambria Math" w:hAnsi="Cambria Math"/>
                        <w:i/>
                        <w:sz w:val="22"/>
                        <w:szCs w:val="21"/>
                      </w:rPr>
                    </m:ctrlPr>
                  </m:sSubPr>
                  <m:e>
                    <m:r>
                      <w:rPr>
                        <w:rFonts w:ascii="Cambria Math" w:hAnsi="Cambria Math"/>
                        <w:sz w:val="22"/>
                        <w:szCs w:val="21"/>
                      </w:rPr>
                      <m:t>X</m:t>
                    </m:r>
                  </m:e>
                  <m:sub>
                    <m:r>
                      <w:rPr>
                        <w:rFonts w:ascii="Cambria Math" w:hAnsi="Cambria Math"/>
                        <w:sz w:val="22"/>
                        <w:szCs w:val="21"/>
                      </w:rPr>
                      <m:t>9</m:t>
                    </m:r>
                  </m:sub>
                </m:sSub>
              </m:oMath>
            </m:oMathPara>
          </w:p>
        </w:tc>
        <w:tc>
          <w:tcPr>
            <w:tcW w:w="5271" w:type="dxa"/>
            <w:shd w:val="clear" w:color="auto" w:fill="D9D9D9" w:themeFill="background1" w:themeFillShade="D9"/>
            <w:vAlign w:val="center"/>
          </w:tcPr>
          <w:p w14:paraId="132A507A" w14:textId="4E4FA04F" w:rsidR="004E2286" w:rsidRPr="000E0831" w:rsidRDefault="00D95EE0" w:rsidP="004E2286">
            <w:pPr>
              <w:jc w:val="left"/>
              <w:rPr>
                <w:sz w:val="22"/>
                <w:szCs w:val="21"/>
              </w:rPr>
            </w:pPr>
            <w:r>
              <w:rPr>
                <w:sz w:val="22"/>
                <w:szCs w:val="21"/>
              </w:rPr>
              <w:t>Liczba nowych mieszkań na 100 000 mieszkańców</w:t>
            </w:r>
          </w:p>
        </w:tc>
        <w:tc>
          <w:tcPr>
            <w:tcW w:w="1170" w:type="dxa"/>
            <w:shd w:val="clear" w:color="auto" w:fill="D9D9D9" w:themeFill="background1" w:themeFillShade="D9"/>
            <w:vAlign w:val="center"/>
          </w:tcPr>
          <w:p w14:paraId="595E25CC" w14:textId="73D5CAEB" w:rsidR="004E2286" w:rsidRPr="000E0831" w:rsidRDefault="00D95EE0" w:rsidP="004E2286">
            <w:pPr>
              <w:jc w:val="center"/>
              <w:rPr>
                <w:sz w:val="22"/>
                <w:szCs w:val="21"/>
              </w:rPr>
            </w:pPr>
            <w:r>
              <w:rPr>
                <w:sz w:val="22"/>
                <w:szCs w:val="21"/>
              </w:rPr>
              <w:t>szt.</w:t>
            </w:r>
          </w:p>
        </w:tc>
        <w:tc>
          <w:tcPr>
            <w:tcW w:w="1489" w:type="dxa"/>
            <w:shd w:val="clear" w:color="auto" w:fill="D9D9D9" w:themeFill="background1" w:themeFillShade="D9"/>
            <w:vAlign w:val="center"/>
          </w:tcPr>
          <w:p w14:paraId="0BDCD5E9" w14:textId="5D48278A" w:rsidR="004E2286" w:rsidRPr="000E0831" w:rsidRDefault="00D95EE0" w:rsidP="004E2286">
            <w:pPr>
              <w:jc w:val="center"/>
              <w:rPr>
                <w:sz w:val="22"/>
                <w:szCs w:val="21"/>
              </w:rPr>
            </w:pPr>
            <w:r>
              <w:rPr>
                <w:sz w:val="22"/>
                <w:szCs w:val="21"/>
              </w:rPr>
              <w:t>stymulanta</w:t>
            </w:r>
          </w:p>
        </w:tc>
      </w:tr>
      <w:tr w:rsidR="004E2286" w14:paraId="048A7D76" w14:textId="77777777" w:rsidTr="00C94149">
        <w:trPr>
          <w:cantSplit/>
          <w:trHeight w:hRule="exact" w:val="454"/>
        </w:trPr>
        <w:tc>
          <w:tcPr>
            <w:tcW w:w="1132" w:type="dxa"/>
            <w:vAlign w:val="center"/>
          </w:tcPr>
          <w:p w14:paraId="4FCF8CF2" w14:textId="10CCFA41" w:rsidR="004E2286" w:rsidRPr="000E0831" w:rsidRDefault="00000000" w:rsidP="004E2286">
            <w:pPr>
              <w:jc w:val="center"/>
              <w:rPr>
                <w:sz w:val="22"/>
                <w:szCs w:val="21"/>
              </w:rPr>
            </w:pPr>
            <m:oMathPara>
              <m:oMath>
                <m:sSub>
                  <m:sSubPr>
                    <m:ctrlPr>
                      <w:rPr>
                        <w:rFonts w:ascii="Cambria Math" w:hAnsi="Cambria Math"/>
                        <w:i/>
                        <w:sz w:val="22"/>
                        <w:szCs w:val="21"/>
                      </w:rPr>
                    </m:ctrlPr>
                  </m:sSubPr>
                  <m:e>
                    <m:r>
                      <w:rPr>
                        <w:rFonts w:ascii="Cambria Math" w:hAnsi="Cambria Math"/>
                        <w:sz w:val="22"/>
                        <w:szCs w:val="21"/>
                      </w:rPr>
                      <m:t>X</m:t>
                    </m:r>
                  </m:e>
                  <m:sub>
                    <m:r>
                      <w:rPr>
                        <w:rFonts w:ascii="Cambria Math" w:hAnsi="Cambria Math"/>
                        <w:sz w:val="22"/>
                        <w:szCs w:val="21"/>
                      </w:rPr>
                      <m:t>10</m:t>
                    </m:r>
                  </m:sub>
                </m:sSub>
              </m:oMath>
            </m:oMathPara>
          </w:p>
        </w:tc>
        <w:tc>
          <w:tcPr>
            <w:tcW w:w="5271" w:type="dxa"/>
            <w:vAlign w:val="center"/>
          </w:tcPr>
          <w:p w14:paraId="685EF149" w14:textId="1CCDD830" w:rsidR="004E2286" w:rsidRPr="000E0831" w:rsidRDefault="00D95EE0" w:rsidP="004E2286">
            <w:pPr>
              <w:jc w:val="left"/>
              <w:rPr>
                <w:sz w:val="22"/>
                <w:szCs w:val="21"/>
              </w:rPr>
            </w:pPr>
            <w:r>
              <w:rPr>
                <w:sz w:val="22"/>
                <w:szCs w:val="21"/>
              </w:rPr>
              <w:t>Liczba przestępstw na 100 000 mieszkańców</w:t>
            </w:r>
          </w:p>
        </w:tc>
        <w:tc>
          <w:tcPr>
            <w:tcW w:w="1170" w:type="dxa"/>
            <w:vAlign w:val="center"/>
          </w:tcPr>
          <w:p w14:paraId="1D5B6167" w14:textId="79B0D5AE" w:rsidR="004E2286" w:rsidRPr="000E0831" w:rsidRDefault="00D95EE0" w:rsidP="004E2286">
            <w:pPr>
              <w:jc w:val="center"/>
              <w:rPr>
                <w:sz w:val="22"/>
                <w:szCs w:val="21"/>
              </w:rPr>
            </w:pPr>
            <w:r>
              <w:rPr>
                <w:sz w:val="22"/>
                <w:szCs w:val="21"/>
              </w:rPr>
              <w:t>szt.</w:t>
            </w:r>
          </w:p>
        </w:tc>
        <w:tc>
          <w:tcPr>
            <w:tcW w:w="1489" w:type="dxa"/>
            <w:vAlign w:val="center"/>
          </w:tcPr>
          <w:p w14:paraId="55B464C3" w14:textId="5DB15BE0" w:rsidR="004E2286" w:rsidRPr="000E0831" w:rsidRDefault="00D95EE0" w:rsidP="004E2286">
            <w:pPr>
              <w:jc w:val="center"/>
              <w:rPr>
                <w:sz w:val="22"/>
                <w:szCs w:val="21"/>
              </w:rPr>
            </w:pPr>
            <w:proofErr w:type="spellStart"/>
            <w:r>
              <w:rPr>
                <w:sz w:val="22"/>
                <w:szCs w:val="21"/>
              </w:rPr>
              <w:t>destymulanta</w:t>
            </w:r>
            <w:proofErr w:type="spellEnd"/>
          </w:p>
        </w:tc>
      </w:tr>
      <w:tr w:rsidR="004E2286" w14:paraId="26983FA7" w14:textId="77777777" w:rsidTr="00CE70B5">
        <w:trPr>
          <w:cantSplit/>
          <w:trHeight w:hRule="exact" w:val="454"/>
        </w:trPr>
        <w:tc>
          <w:tcPr>
            <w:tcW w:w="1132" w:type="dxa"/>
            <w:shd w:val="clear" w:color="auto" w:fill="D9D9D9" w:themeFill="background1" w:themeFillShade="D9"/>
            <w:vAlign w:val="center"/>
          </w:tcPr>
          <w:p w14:paraId="4FFBCB91" w14:textId="38FC65BA" w:rsidR="004E2286" w:rsidRPr="000E0831" w:rsidRDefault="00000000" w:rsidP="004E2286">
            <w:pPr>
              <w:jc w:val="center"/>
              <w:rPr>
                <w:sz w:val="22"/>
                <w:szCs w:val="21"/>
              </w:rPr>
            </w:pPr>
            <m:oMathPara>
              <m:oMath>
                <m:sSub>
                  <m:sSubPr>
                    <m:ctrlPr>
                      <w:rPr>
                        <w:rFonts w:ascii="Cambria Math" w:hAnsi="Cambria Math"/>
                        <w:i/>
                        <w:sz w:val="22"/>
                        <w:szCs w:val="21"/>
                      </w:rPr>
                    </m:ctrlPr>
                  </m:sSubPr>
                  <m:e>
                    <m:r>
                      <w:rPr>
                        <w:rFonts w:ascii="Cambria Math" w:hAnsi="Cambria Math"/>
                        <w:sz w:val="22"/>
                        <w:szCs w:val="21"/>
                      </w:rPr>
                      <m:t>X</m:t>
                    </m:r>
                  </m:e>
                  <m:sub>
                    <m:r>
                      <w:rPr>
                        <w:rFonts w:ascii="Cambria Math" w:hAnsi="Cambria Math"/>
                        <w:sz w:val="22"/>
                        <w:szCs w:val="21"/>
                      </w:rPr>
                      <m:t>11</m:t>
                    </m:r>
                  </m:sub>
                </m:sSub>
              </m:oMath>
            </m:oMathPara>
          </w:p>
        </w:tc>
        <w:tc>
          <w:tcPr>
            <w:tcW w:w="5271" w:type="dxa"/>
            <w:shd w:val="clear" w:color="auto" w:fill="D9D9D9" w:themeFill="background1" w:themeFillShade="D9"/>
            <w:vAlign w:val="center"/>
          </w:tcPr>
          <w:p w14:paraId="09BD6042" w14:textId="33BE414E" w:rsidR="004E2286" w:rsidRPr="000E0831" w:rsidRDefault="00D95EE0" w:rsidP="004E2286">
            <w:pPr>
              <w:jc w:val="left"/>
              <w:rPr>
                <w:sz w:val="22"/>
                <w:szCs w:val="21"/>
              </w:rPr>
            </w:pPr>
            <w:r>
              <w:rPr>
                <w:sz w:val="22"/>
                <w:szCs w:val="21"/>
              </w:rPr>
              <w:t>Parki, zielenie, osiedlowe i lasy gminne na 1000 ha</w:t>
            </w:r>
          </w:p>
        </w:tc>
        <w:tc>
          <w:tcPr>
            <w:tcW w:w="1170" w:type="dxa"/>
            <w:shd w:val="clear" w:color="auto" w:fill="D9D9D9" w:themeFill="background1" w:themeFillShade="D9"/>
            <w:vAlign w:val="center"/>
          </w:tcPr>
          <w:p w14:paraId="41226AA4" w14:textId="6BB91F74" w:rsidR="004E2286" w:rsidRPr="000E0831" w:rsidRDefault="00D95EE0" w:rsidP="004E2286">
            <w:pPr>
              <w:jc w:val="center"/>
              <w:rPr>
                <w:sz w:val="22"/>
                <w:szCs w:val="21"/>
              </w:rPr>
            </w:pPr>
            <w:r>
              <w:rPr>
                <w:sz w:val="22"/>
                <w:szCs w:val="21"/>
              </w:rPr>
              <w:t>ha</w:t>
            </w:r>
          </w:p>
        </w:tc>
        <w:tc>
          <w:tcPr>
            <w:tcW w:w="1489" w:type="dxa"/>
            <w:shd w:val="clear" w:color="auto" w:fill="D9D9D9" w:themeFill="background1" w:themeFillShade="D9"/>
            <w:vAlign w:val="center"/>
          </w:tcPr>
          <w:p w14:paraId="6061E4ED" w14:textId="2CA00B85" w:rsidR="004E2286" w:rsidRPr="000E0831" w:rsidRDefault="00D95EE0" w:rsidP="004E2286">
            <w:pPr>
              <w:jc w:val="center"/>
              <w:rPr>
                <w:sz w:val="22"/>
                <w:szCs w:val="21"/>
              </w:rPr>
            </w:pPr>
            <w:r>
              <w:rPr>
                <w:sz w:val="22"/>
                <w:szCs w:val="21"/>
              </w:rPr>
              <w:t>stymulanta</w:t>
            </w:r>
          </w:p>
        </w:tc>
      </w:tr>
      <w:tr w:rsidR="000E0831" w14:paraId="0D589E3F" w14:textId="77777777" w:rsidTr="00C94149">
        <w:trPr>
          <w:cantSplit/>
          <w:trHeight w:hRule="exact" w:val="454"/>
        </w:trPr>
        <w:tc>
          <w:tcPr>
            <w:tcW w:w="1132" w:type="dxa"/>
            <w:vAlign w:val="center"/>
          </w:tcPr>
          <w:p w14:paraId="6F1C6700" w14:textId="45AE69AC" w:rsidR="000E0831" w:rsidRPr="000E0831" w:rsidRDefault="00000000" w:rsidP="000E0831">
            <w:pPr>
              <w:rPr>
                <w:sz w:val="22"/>
                <w:szCs w:val="21"/>
              </w:rPr>
            </w:pPr>
            <m:oMathPara>
              <m:oMath>
                <m:sSub>
                  <m:sSubPr>
                    <m:ctrlPr>
                      <w:rPr>
                        <w:rFonts w:ascii="Cambria Math" w:hAnsi="Cambria Math"/>
                        <w:i/>
                        <w:sz w:val="22"/>
                        <w:szCs w:val="21"/>
                      </w:rPr>
                    </m:ctrlPr>
                  </m:sSubPr>
                  <m:e>
                    <m:r>
                      <w:rPr>
                        <w:rFonts w:ascii="Cambria Math" w:hAnsi="Cambria Math"/>
                        <w:sz w:val="22"/>
                        <w:szCs w:val="21"/>
                      </w:rPr>
                      <m:t>X</m:t>
                    </m:r>
                  </m:e>
                  <m:sub>
                    <m:r>
                      <w:rPr>
                        <w:rFonts w:ascii="Cambria Math" w:hAnsi="Cambria Math"/>
                        <w:sz w:val="22"/>
                        <w:szCs w:val="21"/>
                      </w:rPr>
                      <m:t>12</m:t>
                    </m:r>
                  </m:sub>
                </m:sSub>
              </m:oMath>
            </m:oMathPara>
          </w:p>
        </w:tc>
        <w:tc>
          <w:tcPr>
            <w:tcW w:w="5271" w:type="dxa"/>
            <w:vAlign w:val="center"/>
          </w:tcPr>
          <w:p w14:paraId="2FA853D3" w14:textId="1604216B" w:rsidR="000E0831" w:rsidRPr="000E0831" w:rsidRDefault="00D95EE0" w:rsidP="004E2286">
            <w:pPr>
              <w:jc w:val="left"/>
              <w:rPr>
                <w:sz w:val="22"/>
                <w:szCs w:val="21"/>
              </w:rPr>
            </w:pPr>
            <w:r>
              <w:rPr>
                <w:sz w:val="22"/>
                <w:szCs w:val="21"/>
              </w:rPr>
              <w:t>Liczba wypadków drogowych na 100 000 mieszkańców</w:t>
            </w:r>
          </w:p>
        </w:tc>
        <w:tc>
          <w:tcPr>
            <w:tcW w:w="1170" w:type="dxa"/>
            <w:vAlign w:val="center"/>
          </w:tcPr>
          <w:p w14:paraId="67A4A3FC" w14:textId="67D9114E" w:rsidR="000E0831" w:rsidRPr="000E0831" w:rsidRDefault="00D95EE0" w:rsidP="004E2286">
            <w:pPr>
              <w:jc w:val="center"/>
              <w:rPr>
                <w:sz w:val="22"/>
                <w:szCs w:val="21"/>
              </w:rPr>
            </w:pPr>
            <w:r>
              <w:rPr>
                <w:sz w:val="22"/>
                <w:szCs w:val="21"/>
              </w:rPr>
              <w:t>szt.</w:t>
            </w:r>
          </w:p>
        </w:tc>
        <w:tc>
          <w:tcPr>
            <w:tcW w:w="1489" w:type="dxa"/>
            <w:vAlign w:val="center"/>
          </w:tcPr>
          <w:p w14:paraId="3233EEB0" w14:textId="097972F0" w:rsidR="000E0831" w:rsidRPr="000E0831" w:rsidRDefault="00D95EE0" w:rsidP="00E10C27">
            <w:pPr>
              <w:keepNext/>
              <w:jc w:val="center"/>
              <w:rPr>
                <w:sz w:val="22"/>
                <w:szCs w:val="21"/>
              </w:rPr>
            </w:pPr>
            <w:proofErr w:type="spellStart"/>
            <w:r>
              <w:rPr>
                <w:sz w:val="22"/>
                <w:szCs w:val="21"/>
              </w:rPr>
              <w:t>destymulanta</w:t>
            </w:r>
            <w:proofErr w:type="spellEnd"/>
          </w:p>
        </w:tc>
      </w:tr>
    </w:tbl>
    <w:p w14:paraId="4A253C70" w14:textId="65ECAEF1" w:rsidR="009E4692" w:rsidRDefault="00E10C27" w:rsidP="00E10C27">
      <w:pPr>
        <w:pStyle w:val="Legenda"/>
        <w:jc w:val="center"/>
      </w:pPr>
      <w:r>
        <w:t xml:space="preserve">Tabela </w:t>
      </w:r>
      <w:fldSimple w:instr=" SEQ Tabela \* ARABIC ">
        <w:r w:rsidR="00EF2DB4">
          <w:rPr>
            <w:noProof/>
          </w:rPr>
          <w:t>1</w:t>
        </w:r>
      </w:fldSimple>
      <w:r>
        <w:t>. Zestaw danych.</w:t>
      </w:r>
    </w:p>
    <w:p w14:paraId="23D9E4B3" w14:textId="77777777" w:rsidR="00E10C27" w:rsidRPr="00E10C27" w:rsidRDefault="00E10C27" w:rsidP="00E10C27">
      <w:r>
        <w:tab/>
      </w:r>
      <w:r w:rsidRPr="00E10C27">
        <w:t xml:space="preserve">Wybrane zmienne uwzględniają szeroki zakres aspektów ekonomicznych, społecznych i środowiskowych, które kształtują jakość życia w polskich województwach. Przeciętne wynagrodzenie brutto (X1) stanowi bezpośredni wskaźnik siły nabywczej mieszkańców, co </w:t>
      </w:r>
      <w:r w:rsidRPr="00E10C27">
        <w:lastRenderedPageBreak/>
        <w:t>wpływa na ich zdolność do zaspokajania podstawowych potrzeb. Z kolei stopa bezrobocia (X2) odzwierciedla poziom zatrudnienia i stabilności ekonomicznej regionu. Liczba lekarzy (X3) oraz aptek (X5) na mieszkańca wskazuje na dostępność opieki zdrowotnej, co ma kluczowe znaczenie dla zdrowia publicznego. Opłaty komunalne (X4) oraz średnia cena za metr kwadratowy mieszkania (X6) wpływają na koszty utrzymania i dostępność nieruchomości, co bezpośrednio wiąże się z komfortem życia codziennego.</w:t>
      </w:r>
    </w:p>
    <w:p w14:paraId="3999BD9F" w14:textId="5C5E32CB" w:rsidR="00E80BA4" w:rsidRDefault="00E10C27" w:rsidP="00E80BA4">
      <w:pPr>
        <w:ind w:firstLine="708"/>
      </w:pPr>
      <w:r w:rsidRPr="00E10C27">
        <w:t>Pozostałe zmienne dotyczą aspektów infrastrukturalnych, środowiskowych i</w:t>
      </w:r>
      <w:r>
        <w:t> </w:t>
      </w:r>
      <w:r w:rsidRPr="00E10C27">
        <w:t>bezpieczeństwa. Liczba uczelni wyższych (X7) jest miarą dostępności edukacji i możliwości rozwoju intelektualnego mieszkańców. Emisja gazów (X8) świadczy o stanie środowiska, co wpływa na zdrowie i jakość życia. Liczba nowych mieszkań (X9) odzwierciedla poziom rozwoju infrastruktury mieszkaniowej, a dostępność terenów zielonych (X11) zwiększa atrakcyjność i</w:t>
      </w:r>
      <w:r>
        <w:t> </w:t>
      </w:r>
      <w:r w:rsidRPr="00E10C27">
        <w:t>komfort życia w danym regionie. Z kolei liczba przestępstw (X10) oraz wypadków drogowych (X12) bezpośrednio wpływa na poczucie bezpieczeństwa mieszkańców, co jest kluczowym elementem jakości życia.</w:t>
      </w:r>
      <w:r>
        <w:t xml:space="preserve"> </w:t>
      </w:r>
    </w:p>
    <w:p w14:paraId="592B049B" w14:textId="3FCAEA6A" w:rsidR="00E80BA4" w:rsidRPr="00E80BA4" w:rsidRDefault="00E80BA4" w:rsidP="00E80BA4">
      <w:pPr>
        <w:pStyle w:val="Nagwek2"/>
      </w:pPr>
      <w:hyperlink w:anchor="_Spis_treści" w:history="1">
        <w:bookmarkStart w:id="6" w:name="_Toc180602593"/>
        <w:r w:rsidRPr="00E80BA4">
          <w:rPr>
            <w:rStyle w:val="Hipercze"/>
            <w:color w:val="000000" w:themeColor="text1"/>
            <w:u w:val="none"/>
          </w:rPr>
          <w:t>Statystyki opisowe</w:t>
        </w:r>
        <w:bookmarkEnd w:id="6"/>
      </w:hyperlink>
    </w:p>
    <w:p w14:paraId="51AF63F5" w14:textId="341B64B4" w:rsidR="00920683" w:rsidRDefault="00920683" w:rsidP="00920683">
      <w:r>
        <w:tab/>
        <w:t>W kolejnym kroku krótkiej analizie zostaną poddane statystyki opisowe.</w:t>
      </w:r>
    </w:p>
    <w:tbl>
      <w:tblPr>
        <w:tblW w:w="5394" w:type="pct"/>
        <w:jc w:val="center"/>
        <w:tblCellMar>
          <w:left w:w="70" w:type="dxa"/>
          <w:right w:w="70" w:type="dxa"/>
        </w:tblCellMar>
        <w:tblLook w:val="04A0" w:firstRow="1" w:lastRow="0" w:firstColumn="1" w:lastColumn="0" w:noHBand="0" w:noVBand="1"/>
      </w:tblPr>
      <w:tblGrid>
        <w:gridCol w:w="946"/>
        <w:gridCol w:w="1071"/>
        <w:gridCol w:w="1296"/>
        <w:gridCol w:w="1071"/>
        <w:gridCol w:w="1071"/>
        <w:gridCol w:w="1071"/>
        <w:gridCol w:w="1071"/>
        <w:gridCol w:w="1167"/>
        <w:gridCol w:w="1352"/>
      </w:tblGrid>
      <w:tr w:rsidR="00591799" w:rsidRPr="00591799" w14:paraId="50E76F2F" w14:textId="77777777" w:rsidTr="00345FB1">
        <w:trPr>
          <w:trHeight w:hRule="exact" w:val="454"/>
          <w:jc w:val="center"/>
        </w:trPr>
        <w:tc>
          <w:tcPr>
            <w:tcW w:w="946"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14:paraId="75A8C8DF" w14:textId="53BCEBB1" w:rsidR="00591799" w:rsidRPr="00345FB1" w:rsidRDefault="00591799" w:rsidP="00C94149">
            <w:pPr>
              <w:spacing w:before="0" w:after="0" w:line="240" w:lineRule="auto"/>
              <w:jc w:val="center"/>
              <w:rPr>
                <w:rFonts w:eastAsia="Times New Roman"/>
                <w:b/>
                <w:bCs/>
                <w:color w:val="FFFFFF" w:themeColor="background1"/>
                <w:sz w:val="20"/>
                <w:szCs w:val="20"/>
                <w:lang w:eastAsia="pl-PL"/>
              </w:rPr>
            </w:pPr>
            <w:r w:rsidRPr="00345FB1">
              <w:rPr>
                <w:rFonts w:eastAsia="Times New Roman"/>
                <w:b/>
                <w:bCs/>
                <w:color w:val="FFFFFF" w:themeColor="background1"/>
                <w:sz w:val="20"/>
                <w:szCs w:val="20"/>
                <w:lang w:eastAsia="pl-PL"/>
              </w:rPr>
              <w:t>Zmienna</w:t>
            </w:r>
          </w:p>
        </w:tc>
        <w:tc>
          <w:tcPr>
            <w:tcW w:w="1071"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672EFCE2" w14:textId="77777777" w:rsidR="00591799" w:rsidRPr="00345FB1" w:rsidRDefault="00591799" w:rsidP="00C94149">
            <w:pPr>
              <w:spacing w:before="0" w:after="0" w:line="240" w:lineRule="auto"/>
              <w:jc w:val="center"/>
              <w:rPr>
                <w:rFonts w:eastAsia="Times New Roman"/>
                <w:b/>
                <w:bCs/>
                <w:color w:val="FFFFFF" w:themeColor="background1"/>
                <w:sz w:val="20"/>
                <w:szCs w:val="20"/>
                <w:lang w:eastAsia="pl-PL"/>
              </w:rPr>
            </w:pPr>
            <w:r w:rsidRPr="00345FB1">
              <w:rPr>
                <w:rFonts w:eastAsia="Times New Roman"/>
                <w:b/>
                <w:bCs/>
                <w:color w:val="FFFFFF" w:themeColor="background1"/>
                <w:sz w:val="20"/>
                <w:szCs w:val="20"/>
                <w:lang w:eastAsia="pl-PL"/>
              </w:rPr>
              <w:t>Średnia</w:t>
            </w:r>
          </w:p>
        </w:tc>
        <w:tc>
          <w:tcPr>
            <w:tcW w:w="1296"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10A85D45" w14:textId="77777777" w:rsidR="00591799" w:rsidRPr="00345FB1" w:rsidRDefault="00591799" w:rsidP="00C94149">
            <w:pPr>
              <w:spacing w:before="0" w:after="0" w:line="240" w:lineRule="auto"/>
              <w:jc w:val="center"/>
              <w:rPr>
                <w:rFonts w:eastAsia="Times New Roman"/>
                <w:b/>
                <w:bCs/>
                <w:color w:val="FFFFFF" w:themeColor="background1"/>
                <w:sz w:val="20"/>
                <w:szCs w:val="20"/>
                <w:lang w:eastAsia="pl-PL"/>
              </w:rPr>
            </w:pPr>
            <w:r w:rsidRPr="00345FB1">
              <w:rPr>
                <w:rFonts w:eastAsia="Times New Roman"/>
                <w:b/>
                <w:bCs/>
                <w:color w:val="FFFFFF" w:themeColor="background1"/>
                <w:sz w:val="20"/>
                <w:szCs w:val="20"/>
                <w:lang w:eastAsia="pl-PL"/>
              </w:rPr>
              <w:t>Odchylenie standardowe</w:t>
            </w:r>
          </w:p>
        </w:tc>
        <w:tc>
          <w:tcPr>
            <w:tcW w:w="1071"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260EDA83" w14:textId="77777777" w:rsidR="00591799" w:rsidRPr="00345FB1" w:rsidRDefault="00591799" w:rsidP="00C94149">
            <w:pPr>
              <w:spacing w:before="0" w:after="0" w:line="240" w:lineRule="auto"/>
              <w:jc w:val="center"/>
              <w:rPr>
                <w:rFonts w:eastAsia="Times New Roman"/>
                <w:b/>
                <w:bCs/>
                <w:color w:val="FFFFFF" w:themeColor="background1"/>
                <w:sz w:val="20"/>
                <w:szCs w:val="20"/>
                <w:lang w:eastAsia="pl-PL"/>
              </w:rPr>
            </w:pPr>
            <w:r w:rsidRPr="00345FB1">
              <w:rPr>
                <w:rFonts w:eastAsia="Times New Roman"/>
                <w:b/>
                <w:bCs/>
                <w:color w:val="FFFFFF" w:themeColor="background1"/>
                <w:sz w:val="20"/>
                <w:szCs w:val="20"/>
                <w:lang w:eastAsia="pl-PL"/>
              </w:rPr>
              <w:t>Skośność</w:t>
            </w:r>
          </w:p>
        </w:tc>
        <w:tc>
          <w:tcPr>
            <w:tcW w:w="1071"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22E1A125" w14:textId="77777777" w:rsidR="00591799" w:rsidRPr="00345FB1" w:rsidRDefault="00591799" w:rsidP="00C94149">
            <w:pPr>
              <w:spacing w:before="0" w:after="0" w:line="240" w:lineRule="auto"/>
              <w:jc w:val="center"/>
              <w:rPr>
                <w:rFonts w:eastAsia="Times New Roman"/>
                <w:b/>
                <w:bCs/>
                <w:color w:val="FFFFFF" w:themeColor="background1"/>
                <w:sz w:val="20"/>
                <w:szCs w:val="20"/>
                <w:lang w:eastAsia="pl-PL"/>
              </w:rPr>
            </w:pPr>
            <w:proofErr w:type="spellStart"/>
            <w:r w:rsidRPr="00345FB1">
              <w:rPr>
                <w:rFonts w:eastAsia="Times New Roman"/>
                <w:b/>
                <w:bCs/>
                <w:color w:val="FFFFFF" w:themeColor="background1"/>
                <w:sz w:val="20"/>
                <w:szCs w:val="20"/>
                <w:lang w:eastAsia="pl-PL"/>
              </w:rPr>
              <w:t>Kurtoza</w:t>
            </w:r>
            <w:proofErr w:type="spellEnd"/>
          </w:p>
        </w:tc>
        <w:tc>
          <w:tcPr>
            <w:tcW w:w="1071"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44EFBBD8" w14:textId="77777777" w:rsidR="00591799" w:rsidRPr="00345FB1" w:rsidRDefault="00591799" w:rsidP="00C94149">
            <w:pPr>
              <w:spacing w:before="0" w:after="0" w:line="240" w:lineRule="auto"/>
              <w:jc w:val="center"/>
              <w:rPr>
                <w:rFonts w:eastAsia="Times New Roman"/>
                <w:b/>
                <w:bCs/>
                <w:color w:val="FFFFFF" w:themeColor="background1"/>
                <w:sz w:val="20"/>
                <w:szCs w:val="20"/>
                <w:lang w:eastAsia="pl-PL"/>
              </w:rPr>
            </w:pPr>
            <w:r w:rsidRPr="00345FB1">
              <w:rPr>
                <w:rFonts w:eastAsia="Times New Roman"/>
                <w:b/>
                <w:bCs/>
                <w:color w:val="FFFFFF" w:themeColor="background1"/>
                <w:sz w:val="20"/>
                <w:szCs w:val="20"/>
                <w:lang w:eastAsia="pl-PL"/>
              </w:rPr>
              <w:t>Minimum</w:t>
            </w:r>
          </w:p>
        </w:tc>
        <w:tc>
          <w:tcPr>
            <w:tcW w:w="1071"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3C06182C" w14:textId="77777777" w:rsidR="00591799" w:rsidRPr="00345FB1" w:rsidRDefault="00591799" w:rsidP="00C94149">
            <w:pPr>
              <w:spacing w:before="0" w:after="0" w:line="240" w:lineRule="auto"/>
              <w:jc w:val="center"/>
              <w:rPr>
                <w:rFonts w:eastAsia="Times New Roman"/>
                <w:b/>
                <w:bCs/>
                <w:color w:val="FFFFFF" w:themeColor="background1"/>
                <w:sz w:val="20"/>
                <w:szCs w:val="20"/>
                <w:lang w:eastAsia="pl-PL"/>
              </w:rPr>
            </w:pPr>
            <w:r w:rsidRPr="00345FB1">
              <w:rPr>
                <w:rFonts w:eastAsia="Times New Roman"/>
                <w:b/>
                <w:bCs/>
                <w:color w:val="FFFFFF" w:themeColor="background1"/>
                <w:sz w:val="20"/>
                <w:szCs w:val="20"/>
                <w:lang w:eastAsia="pl-PL"/>
              </w:rPr>
              <w:t>Mediana</w:t>
            </w:r>
          </w:p>
        </w:tc>
        <w:tc>
          <w:tcPr>
            <w:tcW w:w="1167"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50DA2D7F" w14:textId="77777777" w:rsidR="00591799" w:rsidRPr="00345FB1" w:rsidRDefault="00591799" w:rsidP="00C94149">
            <w:pPr>
              <w:spacing w:before="0" w:after="0" w:line="240" w:lineRule="auto"/>
              <w:jc w:val="center"/>
              <w:rPr>
                <w:rFonts w:eastAsia="Times New Roman"/>
                <w:b/>
                <w:bCs/>
                <w:color w:val="FFFFFF" w:themeColor="background1"/>
                <w:sz w:val="20"/>
                <w:szCs w:val="20"/>
                <w:lang w:eastAsia="pl-PL"/>
              </w:rPr>
            </w:pPr>
            <w:r w:rsidRPr="00345FB1">
              <w:rPr>
                <w:rFonts w:eastAsia="Times New Roman"/>
                <w:b/>
                <w:bCs/>
                <w:color w:val="FFFFFF" w:themeColor="background1"/>
                <w:sz w:val="20"/>
                <w:szCs w:val="20"/>
                <w:lang w:eastAsia="pl-PL"/>
              </w:rPr>
              <w:t>Maksimum</w:t>
            </w:r>
          </w:p>
        </w:tc>
        <w:tc>
          <w:tcPr>
            <w:tcW w:w="1012"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5D102EFC" w14:textId="77777777" w:rsidR="00591799" w:rsidRPr="00345FB1" w:rsidRDefault="00591799" w:rsidP="00345FB1">
            <w:pPr>
              <w:spacing w:before="0" w:after="0" w:line="240" w:lineRule="auto"/>
              <w:jc w:val="center"/>
              <w:rPr>
                <w:rFonts w:eastAsia="Times New Roman"/>
                <w:b/>
                <w:bCs/>
                <w:color w:val="FFFFFF" w:themeColor="background1"/>
                <w:sz w:val="20"/>
                <w:szCs w:val="20"/>
                <w:lang w:eastAsia="pl-PL"/>
              </w:rPr>
            </w:pPr>
            <w:r w:rsidRPr="00345FB1">
              <w:rPr>
                <w:rFonts w:eastAsia="Times New Roman"/>
                <w:b/>
                <w:bCs/>
                <w:color w:val="FFFFFF" w:themeColor="background1"/>
                <w:sz w:val="20"/>
                <w:szCs w:val="20"/>
                <w:lang w:eastAsia="pl-PL"/>
              </w:rPr>
              <w:t>Współczynnik zmienności</w:t>
            </w:r>
          </w:p>
        </w:tc>
      </w:tr>
      <w:tr w:rsidR="00591799" w:rsidRPr="00591799" w14:paraId="36DD74B9" w14:textId="77777777" w:rsidTr="00345FB1">
        <w:trPr>
          <w:trHeight w:hRule="exact" w:val="454"/>
          <w:jc w:val="center"/>
        </w:trPr>
        <w:tc>
          <w:tcPr>
            <w:tcW w:w="94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9A13EA8" w14:textId="0EBF69BA" w:rsidR="00591799" w:rsidRPr="00591799" w:rsidRDefault="00000000" w:rsidP="00C94149">
            <w:pPr>
              <w:spacing w:before="0" w:after="0" w:line="240" w:lineRule="auto"/>
              <w:jc w:val="center"/>
              <w:rPr>
                <w:rFonts w:eastAsia="Times New Roman"/>
                <w:b/>
                <w:bCs/>
                <w:color w:val="000000"/>
                <w:sz w:val="22"/>
                <w:lang w:eastAsia="pl-PL"/>
              </w:rPr>
            </w:pPr>
            <m:oMathPara>
              <m:oMath>
                <m:sSub>
                  <m:sSubPr>
                    <m:ctrlPr>
                      <w:rPr>
                        <w:rFonts w:ascii="Cambria Math" w:hAnsi="Cambria Math"/>
                        <w:b/>
                        <w:bCs/>
                        <w:i/>
                        <w:sz w:val="22"/>
                      </w:rPr>
                    </m:ctrlPr>
                  </m:sSubPr>
                  <m:e>
                    <m:r>
                      <m:rPr>
                        <m:sty m:val="bi"/>
                      </m:rPr>
                      <w:rPr>
                        <w:rFonts w:ascii="Cambria Math" w:hAnsi="Cambria Math"/>
                        <w:sz w:val="22"/>
                      </w:rPr>
                      <m:t>X</m:t>
                    </m:r>
                  </m:e>
                  <m:sub>
                    <m:r>
                      <m:rPr>
                        <m:sty m:val="bi"/>
                      </m:rPr>
                      <w:rPr>
                        <w:rFonts w:ascii="Cambria Math" w:hAnsi="Cambria Math"/>
                        <w:sz w:val="22"/>
                      </w:rPr>
                      <m:t>1</m:t>
                    </m:r>
                  </m:sub>
                </m:sSub>
              </m:oMath>
            </m:oMathPara>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19ED920B"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6286,70</w:t>
            </w:r>
          </w:p>
        </w:tc>
        <w:tc>
          <w:tcPr>
            <w:tcW w:w="1296" w:type="dxa"/>
            <w:tcBorders>
              <w:top w:val="nil"/>
              <w:left w:val="nil"/>
              <w:bottom w:val="single" w:sz="4" w:space="0" w:color="auto"/>
              <w:right w:val="single" w:sz="4" w:space="0" w:color="auto"/>
            </w:tcBorders>
            <w:shd w:val="clear" w:color="auto" w:fill="D9D9D9" w:themeFill="background1" w:themeFillShade="D9"/>
            <w:noWrap/>
            <w:vAlign w:val="center"/>
            <w:hideMark/>
          </w:tcPr>
          <w:p w14:paraId="4A086FC3"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595,12</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40B4556B"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1,49</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613DD1F2"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2,45</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1BAC1638"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5662,53</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33DD2C00"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6076,93</w:t>
            </w:r>
          </w:p>
        </w:tc>
        <w:tc>
          <w:tcPr>
            <w:tcW w:w="1167" w:type="dxa"/>
            <w:tcBorders>
              <w:top w:val="nil"/>
              <w:left w:val="nil"/>
              <w:bottom w:val="single" w:sz="4" w:space="0" w:color="auto"/>
              <w:right w:val="single" w:sz="4" w:space="0" w:color="auto"/>
            </w:tcBorders>
            <w:shd w:val="clear" w:color="auto" w:fill="D9D9D9" w:themeFill="background1" w:themeFillShade="D9"/>
            <w:noWrap/>
            <w:vAlign w:val="center"/>
            <w:hideMark/>
          </w:tcPr>
          <w:p w14:paraId="46EDC4AE"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7913,14</w:t>
            </w:r>
          </w:p>
        </w:tc>
        <w:tc>
          <w:tcPr>
            <w:tcW w:w="1012" w:type="dxa"/>
            <w:tcBorders>
              <w:top w:val="nil"/>
              <w:left w:val="nil"/>
              <w:bottom w:val="single" w:sz="4" w:space="0" w:color="auto"/>
              <w:right w:val="single" w:sz="4" w:space="0" w:color="auto"/>
            </w:tcBorders>
            <w:shd w:val="clear" w:color="auto" w:fill="D9D9D9" w:themeFill="background1" w:themeFillShade="D9"/>
            <w:noWrap/>
            <w:vAlign w:val="center"/>
            <w:hideMark/>
          </w:tcPr>
          <w:p w14:paraId="2A9F2865"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0,09</w:t>
            </w:r>
          </w:p>
        </w:tc>
      </w:tr>
      <w:tr w:rsidR="00591799" w:rsidRPr="00591799" w14:paraId="3BB96253" w14:textId="77777777" w:rsidTr="00345FB1">
        <w:trPr>
          <w:trHeight w:hRule="exact" w:val="454"/>
          <w:jc w:val="center"/>
        </w:trPr>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68D3A25D" w14:textId="178BF4AF" w:rsidR="00591799" w:rsidRPr="00591799" w:rsidRDefault="00000000" w:rsidP="00C94149">
            <w:pPr>
              <w:spacing w:before="0" w:after="0" w:line="240" w:lineRule="auto"/>
              <w:jc w:val="center"/>
              <w:rPr>
                <w:rFonts w:eastAsia="Times New Roman"/>
                <w:b/>
                <w:bCs/>
                <w:color w:val="000000"/>
                <w:sz w:val="22"/>
                <w:lang w:eastAsia="pl-PL"/>
              </w:rPr>
            </w:pPr>
            <m:oMathPara>
              <m:oMath>
                <m:sSub>
                  <m:sSubPr>
                    <m:ctrlPr>
                      <w:rPr>
                        <w:rFonts w:ascii="Cambria Math" w:hAnsi="Cambria Math"/>
                        <w:b/>
                        <w:bCs/>
                        <w:i/>
                        <w:sz w:val="22"/>
                      </w:rPr>
                    </m:ctrlPr>
                  </m:sSubPr>
                  <m:e>
                    <m:r>
                      <m:rPr>
                        <m:sty m:val="bi"/>
                      </m:rPr>
                      <w:rPr>
                        <w:rFonts w:ascii="Cambria Math" w:hAnsi="Cambria Math"/>
                        <w:sz w:val="22"/>
                      </w:rPr>
                      <m:t>X</m:t>
                    </m:r>
                  </m:e>
                  <m:sub>
                    <m:r>
                      <m:rPr>
                        <m:sty m:val="bi"/>
                      </m:rPr>
                      <w:rPr>
                        <w:rFonts w:ascii="Cambria Math" w:hAnsi="Cambria Math"/>
                        <w:sz w:val="22"/>
                      </w:rPr>
                      <m:t>2</m:t>
                    </m:r>
                  </m:sub>
                </m:sSub>
              </m:oMath>
            </m:oMathPara>
          </w:p>
        </w:tc>
        <w:tc>
          <w:tcPr>
            <w:tcW w:w="1071" w:type="dxa"/>
            <w:tcBorders>
              <w:top w:val="nil"/>
              <w:left w:val="nil"/>
              <w:bottom w:val="single" w:sz="4" w:space="0" w:color="auto"/>
              <w:right w:val="single" w:sz="4" w:space="0" w:color="auto"/>
            </w:tcBorders>
            <w:shd w:val="clear" w:color="auto" w:fill="auto"/>
            <w:noWrap/>
            <w:vAlign w:val="center"/>
            <w:hideMark/>
          </w:tcPr>
          <w:p w14:paraId="1A08BCBA"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5,90</w:t>
            </w:r>
          </w:p>
        </w:tc>
        <w:tc>
          <w:tcPr>
            <w:tcW w:w="1296" w:type="dxa"/>
            <w:tcBorders>
              <w:top w:val="nil"/>
              <w:left w:val="nil"/>
              <w:bottom w:val="single" w:sz="4" w:space="0" w:color="auto"/>
              <w:right w:val="single" w:sz="4" w:space="0" w:color="auto"/>
            </w:tcBorders>
            <w:shd w:val="clear" w:color="auto" w:fill="auto"/>
            <w:noWrap/>
            <w:vAlign w:val="center"/>
            <w:hideMark/>
          </w:tcPr>
          <w:p w14:paraId="5C3CF779"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1,87</w:t>
            </w:r>
          </w:p>
        </w:tc>
        <w:tc>
          <w:tcPr>
            <w:tcW w:w="1071" w:type="dxa"/>
            <w:tcBorders>
              <w:top w:val="nil"/>
              <w:left w:val="nil"/>
              <w:bottom w:val="single" w:sz="4" w:space="0" w:color="auto"/>
              <w:right w:val="single" w:sz="4" w:space="0" w:color="auto"/>
            </w:tcBorders>
            <w:shd w:val="clear" w:color="auto" w:fill="auto"/>
            <w:noWrap/>
            <w:vAlign w:val="center"/>
            <w:hideMark/>
          </w:tcPr>
          <w:p w14:paraId="29EEB6DF"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0,13</w:t>
            </w:r>
          </w:p>
        </w:tc>
        <w:tc>
          <w:tcPr>
            <w:tcW w:w="1071" w:type="dxa"/>
            <w:tcBorders>
              <w:top w:val="nil"/>
              <w:left w:val="nil"/>
              <w:bottom w:val="single" w:sz="4" w:space="0" w:color="auto"/>
              <w:right w:val="single" w:sz="4" w:space="0" w:color="auto"/>
            </w:tcBorders>
            <w:shd w:val="clear" w:color="auto" w:fill="auto"/>
            <w:noWrap/>
            <w:vAlign w:val="center"/>
            <w:hideMark/>
          </w:tcPr>
          <w:p w14:paraId="45EA61A7"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-1,33</w:t>
            </w:r>
          </w:p>
        </w:tc>
        <w:tc>
          <w:tcPr>
            <w:tcW w:w="1071" w:type="dxa"/>
            <w:tcBorders>
              <w:top w:val="nil"/>
              <w:left w:val="nil"/>
              <w:bottom w:val="single" w:sz="4" w:space="0" w:color="auto"/>
              <w:right w:val="single" w:sz="4" w:space="0" w:color="auto"/>
            </w:tcBorders>
            <w:shd w:val="clear" w:color="auto" w:fill="auto"/>
            <w:noWrap/>
            <w:vAlign w:val="center"/>
            <w:hideMark/>
          </w:tcPr>
          <w:p w14:paraId="4BB118F0"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2,90</w:t>
            </w:r>
          </w:p>
        </w:tc>
        <w:tc>
          <w:tcPr>
            <w:tcW w:w="1071" w:type="dxa"/>
            <w:tcBorders>
              <w:top w:val="nil"/>
              <w:left w:val="nil"/>
              <w:bottom w:val="single" w:sz="4" w:space="0" w:color="auto"/>
              <w:right w:val="single" w:sz="4" w:space="0" w:color="auto"/>
            </w:tcBorders>
            <w:shd w:val="clear" w:color="auto" w:fill="auto"/>
            <w:noWrap/>
            <w:vAlign w:val="center"/>
            <w:hideMark/>
          </w:tcPr>
          <w:p w14:paraId="64167DC9"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5,70</w:t>
            </w:r>
          </w:p>
        </w:tc>
        <w:tc>
          <w:tcPr>
            <w:tcW w:w="1167" w:type="dxa"/>
            <w:tcBorders>
              <w:top w:val="nil"/>
              <w:left w:val="nil"/>
              <w:bottom w:val="single" w:sz="4" w:space="0" w:color="auto"/>
              <w:right w:val="single" w:sz="4" w:space="0" w:color="auto"/>
            </w:tcBorders>
            <w:shd w:val="clear" w:color="auto" w:fill="auto"/>
            <w:noWrap/>
            <w:vAlign w:val="center"/>
            <w:hideMark/>
          </w:tcPr>
          <w:p w14:paraId="4DE4769D"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8,80</w:t>
            </w:r>
          </w:p>
        </w:tc>
        <w:tc>
          <w:tcPr>
            <w:tcW w:w="1012" w:type="dxa"/>
            <w:tcBorders>
              <w:top w:val="nil"/>
              <w:left w:val="nil"/>
              <w:bottom w:val="single" w:sz="4" w:space="0" w:color="auto"/>
              <w:right w:val="single" w:sz="4" w:space="0" w:color="auto"/>
            </w:tcBorders>
            <w:shd w:val="clear" w:color="auto" w:fill="auto"/>
            <w:noWrap/>
            <w:vAlign w:val="center"/>
            <w:hideMark/>
          </w:tcPr>
          <w:p w14:paraId="50A742C5"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0,32</w:t>
            </w:r>
          </w:p>
        </w:tc>
      </w:tr>
      <w:tr w:rsidR="00591799" w:rsidRPr="00591799" w14:paraId="72250E39" w14:textId="77777777" w:rsidTr="00345FB1">
        <w:trPr>
          <w:trHeight w:hRule="exact" w:val="454"/>
          <w:jc w:val="center"/>
        </w:trPr>
        <w:tc>
          <w:tcPr>
            <w:tcW w:w="94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1FDCD10" w14:textId="538967EF" w:rsidR="00591799" w:rsidRPr="00591799" w:rsidRDefault="00000000" w:rsidP="00C94149">
            <w:pPr>
              <w:spacing w:before="0" w:after="0" w:line="240" w:lineRule="auto"/>
              <w:jc w:val="center"/>
              <w:rPr>
                <w:rFonts w:eastAsia="Times New Roman"/>
                <w:b/>
                <w:bCs/>
                <w:color w:val="000000"/>
                <w:sz w:val="22"/>
                <w:lang w:eastAsia="pl-PL"/>
              </w:rPr>
            </w:pPr>
            <m:oMathPara>
              <m:oMath>
                <m:sSub>
                  <m:sSubPr>
                    <m:ctrlPr>
                      <w:rPr>
                        <w:rFonts w:ascii="Cambria Math" w:hAnsi="Cambria Math"/>
                        <w:b/>
                        <w:bCs/>
                        <w:i/>
                        <w:sz w:val="22"/>
                      </w:rPr>
                    </m:ctrlPr>
                  </m:sSubPr>
                  <m:e>
                    <m:r>
                      <m:rPr>
                        <m:sty m:val="bi"/>
                      </m:rPr>
                      <w:rPr>
                        <w:rFonts w:ascii="Cambria Math" w:hAnsi="Cambria Math"/>
                        <w:sz w:val="22"/>
                      </w:rPr>
                      <m:t>X</m:t>
                    </m:r>
                  </m:e>
                  <m:sub>
                    <m:r>
                      <m:rPr>
                        <m:sty m:val="bi"/>
                      </m:rPr>
                      <w:rPr>
                        <w:rFonts w:ascii="Cambria Math" w:hAnsi="Cambria Math"/>
                        <w:sz w:val="22"/>
                      </w:rPr>
                      <m:t>3</m:t>
                    </m:r>
                  </m:sub>
                </m:sSub>
              </m:oMath>
            </m:oMathPara>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10B0C086"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36,19</w:t>
            </w:r>
          </w:p>
        </w:tc>
        <w:tc>
          <w:tcPr>
            <w:tcW w:w="1296" w:type="dxa"/>
            <w:tcBorders>
              <w:top w:val="nil"/>
              <w:left w:val="nil"/>
              <w:bottom w:val="single" w:sz="4" w:space="0" w:color="auto"/>
              <w:right w:val="single" w:sz="4" w:space="0" w:color="auto"/>
            </w:tcBorders>
            <w:shd w:val="clear" w:color="auto" w:fill="D9D9D9" w:themeFill="background1" w:themeFillShade="D9"/>
            <w:noWrap/>
            <w:vAlign w:val="center"/>
            <w:hideMark/>
          </w:tcPr>
          <w:p w14:paraId="67D682C2"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6,64</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2B634184"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-0,02</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19D53428"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-1,15</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233E95C9"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25,60</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3304FCCA"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36,10</w:t>
            </w:r>
          </w:p>
        </w:tc>
        <w:tc>
          <w:tcPr>
            <w:tcW w:w="1167" w:type="dxa"/>
            <w:tcBorders>
              <w:top w:val="nil"/>
              <w:left w:val="nil"/>
              <w:bottom w:val="single" w:sz="4" w:space="0" w:color="auto"/>
              <w:right w:val="single" w:sz="4" w:space="0" w:color="auto"/>
            </w:tcBorders>
            <w:shd w:val="clear" w:color="auto" w:fill="D9D9D9" w:themeFill="background1" w:themeFillShade="D9"/>
            <w:noWrap/>
            <w:vAlign w:val="center"/>
            <w:hideMark/>
          </w:tcPr>
          <w:p w14:paraId="616290C5"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46,90</w:t>
            </w:r>
          </w:p>
        </w:tc>
        <w:tc>
          <w:tcPr>
            <w:tcW w:w="1012" w:type="dxa"/>
            <w:tcBorders>
              <w:top w:val="nil"/>
              <w:left w:val="nil"/>
              <w:bottom w:val="single" w:sz="4" w:space="0" w:color="auto"/>
              <w:right w:val="single" w:sz="4" w:space="0" w:color="auto"/>
            </w:tcBorders>
            <w:shd w:val="clear" w:color="auto" w:fill="D9D9D9" w:themeFill="background1" w:themeFillShade="D9"/>
            <w:noWrap/>
            <w:vAlign w:val="center"/>
            <w:hideMark/>
          </w:tcPr>
          <w:p w14:paraId="1D58C909"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0,18</w:t>
            </w:r>
          </w:p>
        </w:tc>
      </w:tr>
      <w:tr w:rsidR="00591799" w:rsidRPr="00591799" w14:paraId="4EA8F489" w14:textId="77777777" w:rsidTr="00345FB1">
        <w:trPr>
          <w:trHeight w:hRule="exact" w:val="454"/>
          <w:jc w:val="center"/>
        </w:trPr>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129F8424" w14:textId="458E867C" w:rsidR="00591799" w:rsidRPr="00591799" w:rsidRDefault="00000000" w:rsidP="00C94149">
            <w:pPr>
              <w:spacing w:before="0" w:after="0" w:line="240" w:lineRule="auto"/>
              <w:jc w:val="center"/>
              <w:rPr>
                <w:rFonts w:eastAsia="Times New Roman"/>
                <w:b/>
                <w:bCs/>
                <w:color w:val="000000"/>
                <w:sz w:val="22"/>
                <w:lang w:eastAsia="pl-PL"/>
              </w:rPr>
            </w:pPr>
            <m:oMathPara>
              <m:oMath>
                <m:sSub>
                  <m:sSubPr>
                    <m:ctrlPr>
                      <w:rPr>
                        <w:rFonts w:ascii="Cambria Math" w:hAnsi="Cambria Math"/>
                        <w:b/>
                        <w:bCs/>
                        <w:i/>
                        <w:sz w:val="22"/>
                      </w:rPr>
                    </m:ctrlPr>
                  </m:sSubPr>
                  <m:e>
                    <m:r>
                      <m:rPr>
                        <m:sty m:val="bi"/>
                      </m:rPr>
                      <w:rPr>
                        <w:rFonts w:ascii="Cambria Math" w:hAnsi="Cambria Math"/>
                        <w:sz w:val="22"/>
                      </w:rPr>
                      <m:t>X</m:t>
                    </m:r>
                  </m:e>
                  <m:sub>
                    <m:r>
                      <m:rPr>
                        <m:sty m:val="bi"/>
                      </m:rPr>
                      <w:rPr>
                        <w:rFonts w:ascii="Cambria Math" w:hAnsi="Cambria Math"/>
                        <w:sz w:val="22"/>
                      </w:rPr>
                      <m:t>4</m:t>
                    </m:r>
                  </m:sub>
                </m:sSub>
              </m:oMath>
            </m:oMathPara>
          </w:p>
        </w:tc>
        <w:tc>
          <w:tcPr>
            <w:tcW w:w="1071" w:type="dxa"/>
            <w:tcBorders>
              <w:top w:val="nil"/>
              <w:left w:val="nil"/>
              <w:bottom w:val="single" w:sz="4" w:space="0" w:color="auto"/>
              <w:right w:val="single" w:sz="4" w:space="0" w:color="auto"/>
            </w:tcBorders>
            <w:shd w:val="clear" w:color="auto" w:fill="auto"/>
            <w:noWrap/>
            <w:vAlign w:val="center"/>
            <w:hideMark/>
          </w:tcPr>
          <w:p w14:paraId="0C9D0E0E"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154,78</w:t>
            </w:r>
          </w:p>
        </w:tc>
        <w:tc>
          <w:tcPr>
            <w:tcW w:w="1296" w:type="dxa"/>
            <w:tcBorders>
              <w:top w:val="nil"/>
              <w:left w:val="nil"/>
              <w:bottom w:val="single" w:sz="4" w:space="0" w:color="auto"/>
              <w:right w:val="single" w:sz="4" w:space="0" w:color="auto"/>
            </w:tcBorders>
            <w:shd w:val="clear" w:color="auto" w:fill="auto"/>
            <w:noWrap/>
            <w:vAlign w:val="center"/>
            <w:hideMark/>
          </w:tcPr>
          <w:p w14:paraId="0030F2AD"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45,35</w:t>
            </w:r>
          </w:p>
        </w:tc>
        <w:tc>
          <w:tcPr>
            <w:tcW w:w="1071" w:type="dxa"/>
            <w:tcBorders>
              <w:top w:val="nil"/>
              <w:left w:val="nil"/>
              <w:bottom w:val="single" w:sz="4" w:space="0" w:color="auto"/>
              <w:right w:val="single" w:sz="4" w:space="0" w:color="auto"/>
            </w:tcBorders>
            <w:shd w:val="clear" w:color="auto" w:fill="auto"/>
            <w:noWrap/>
            <w:vAlign w:val="center"/>
            <w:hideMark/>
          </w:tcPr>
          <w:p w14:paraId="70DA842D"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0,30</w:t>
            </w:r>
          </w:p>
        </w:tc>
        <w:tc>
          <w:tcPr>
            <w:tcW w:w="1071" w:type="dxa"/>
            <w:tcBorders>
              <w:top w:val="nil"/>
              <w:left w:val="nil"/>
              <w:bottom w:val="single" w:sz="4" w:space="0" w:color="auto"/>
              <w:right w:val="single" w:sz="4" w:space="0" w:color="auto"/>
            </w:tcBorders>
            <w:shd w:val="clear" w:color="auto" w:fill="auto"/>
            <w:noWrap/>
            <w:vAlign w:val="center"/>
            <w:hideMark/>
          </w:tcPr>
          <w:p w14:paraId="0A0DAE6F"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-0,98</w:t>
            </w:r>
          </w:p>
        </w:tc>
        <w:tc>
          <w:tcPr>
            <w:tcW w:w="1071" w:type="dxa"/>
            <w:tcBorders>
              <w:top w:val="nil"/>
              <w:left w:val="nil"/>
              <w:bottom w:val="single" w:sz="4" w:space="0" w:color="auto"/>
              <w:right w:val="single" w:sz="4" w:space="0" w:color="auto"/>
            </w:tcBorders>
            <w:shd w:val="clear" w:color="auto" w:fill="auto"/>
            <w:noWrap/>
            <w:vAlign w:val="center"/>
            <w:hideMark/>
          </w:tcPr>
          <w:p w14:paraId="49E99265"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89,34</w:t>
            </w:r>
          </w:p>
        </w:tc>
        <w:tc>
          <w:tcPr>
            <w:tcW w:w="1071" w:type="dxa"/>
            <w:tcBorders>
              <w:top w:val="nil"/>
              <w:left w:val="nil"/>
              <w:bottom w:val="single" w:sz="4" w:space="0" w:color="auto"/>
              <w:right w:val="single" w:sz="4" w:space="0" w:color="auto"/>
            </w:tcBorders>
            <w:shd w:val="clear" w:color="auto" w:fill="auto"/>
            <w:noWrap/>
            <w:vAlign w:val="center"/>
            <w:hideMark/>
          </w:tcPr>
          <w:p w14:paraId="20A1FDC4"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149,98</w:t>
            </w:r>
          </w:p>
        </w:tc>
        <w:tc>
          <w:tcPr>
            <w:tcW w:w="1167" w:type="dxa"/>
            <w:tcBorders>
              <w:top w:val="nil"/>
              <w:left w:val="nil"/>
              <w:bottom w:val="single" w:sz="4" w:space="0" w:color="auto"/>
              <w:right w:val="single" w:sz="4" w:space="0" w:color="auto"/>
            </w:tcBorders>
            <w:shd w:val="clear" w:color="auto" w:fill="auto"/>
            <w:noWrap/>
            <w:vAlign w:val="center"/>
            <w:hideMark/>
          </w:tcPr>
          <w:p w14:paraId="01911037"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237,60</w:t>
            </w:r>
          </w:p>
        </w:tc>
        <w:tc>
          <w:tcPr>
            <w:tcW w:w="1012" w:type="dxa"/>
            <w:tcBorders>
              <w:top w:val="nil"/>
              <w:left w:val="nil"/>
              <w:bottom w:val="single" w:sz="4" w:space="0" w:color="auto"/>
              <w:right w:val="single" w:sz="4" w:space="0" w:color="auto"/>
            </w:tcBorders>
            <w:shd w:val="clear" w:color="auto" w:fill="auto"/>
            <w:noWrap/>
            <w:vAlign w:val="center"/>
            <w:hideMark/>
          </w:tcPr>
          <w:p w14:paraId="3527B073"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0,29</w:t>
            </w:r>
          </w:p>
        </w:tc>
      </w:tr>
      <w:tr w:rsidR="00591799" w:rsidRPr="00591799" w14:paraId="3E262B52" w14:textId="77777777" w:rsidTr="00345FB1">
        <w:trPr>
          <w:trHeight w:hRule="exact" w:val="454"/>
          <w:jc w:val="center"/>
        </w:trPr>
        <w:tc>
          <w:tcPr>
            <w:tcW w:w="94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2B9F90F" w14:textId="38A6530A" w:rsidR="00591799" w:rsidRPr="00591799" w:rsidRDefault="00000000" w:rsidP="00C94149">
            <w:pPr>
              <w:spacing w:before="0" w:after="0" w:line="240" w:lineRule="auto"/>
              <w:jc w:val="center"/>
              <w:rPr>
                <w:rFonts w:eastAsia="Times New Roman"/>
                <w:b/>
                <w:bCs/>
                <w:color w:val="000000"/>
                <w:sz w:val="22"/>
                <w:lang w:eastAsia="pl-PL"/>
              </w:rPr>
            </w:pPr>
            <m:oMathPara>
              <m:oMath>
                <m:sSub>
                  <m:sSubPr>
                    <m:ctrlPr>
                      <w:rPr>
                        <w:rFonts w:ascii="Cambria Math" w:hAnsi="Cambria Math"/>
                        <w:b/>
                        <w:bCs/>
                        <w:i/>
                        <w:sz w:val="22"/>
                      </w:rPr>
                    </m:ctrlPr>
                  </m:sSubPr>
                  <m:e>
                    <m:r>
                      <m:rPr>
                        <m:sty m:val="bi"/>
                      </m:rPr>
                      <w:rPr>
                        <w:rFonts w:ascii="Cambria Math" w:hAnsi="Cambria Math"/>
                        <w:sz w:val="22"/>
                      </w:rPr>
                      <m:t>X</m:t>
                    </m:r>
                  </m:e>
                  <m:sub>
                    <m:r>
                      <m:rPr>
                        <m:sty m:val="bi"/>
                      </m:rPr>
                      <w:rPr>
                        <w:rFonts w:ascii="Cambria Math" w:hAnsi="Cambria Math"/>
                        <w:sz w:val="22"/>
                      </w:rPr>
                      <m:t>5</m:t>
                    </m:r>
                  </m:sub>
                </m:sSub>
              </m:oMath>
            </m:oMathPara>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7394890A"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30,94</w:t>
            </w:r>
          </w:p>
        </w:tc>
        <w:tc>
          <w:tcPr>
            <w:tcW w:w="1296" w:type="dxa"/>
            <w:tcBorders>
              <w:top w:val="nil"/>
              <w:left w:val="nil"/>
              <w:bottom w:val="single" w:sz="4" w:space="0" w:color="auto"/>
              <w:right w:val="single" w:sz="4" w:space="0" w:color="auto"/>
            </w:tcBorders>
            <w:shd w:val="clear" w:color="auto" w:fill="D9D9D9" w:themeFill="background1" w:themeFillShade="D9"/>
            <w:noWrap/>
            <w:vAlign w:val="center"/>
            <w:hideMark/>
          </w:tcPr>
          <w:p w14:paraId="245A479C"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2,30</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3679F2A1"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0,60</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7F5DE4D9"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-0,41</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50215B48"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27,99</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2AB7BC23"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31,06</w:t>
            </w:r>
          </w:p>
        </w:tc>
        <w:tc>
          <w:tcPr>
            <w:tcW w:w="1167" w:type="dxa"/>
            <w:tcBorders>
              <w:top w:val="nil"/>
              <w:left w:val="nil"/>
              <w:bottom w:val="single" w:sz="4" w:space="0" w:color="auto"/>
              <w:right w:val="single" w:sz="4" w:space="0" w:color="auto"/>
            </w:tcBorders>
            <w:shd w:val="clear" w:color="auto" w:fill="D9D9D9" w:themeFill="background1" w:themeFillShade="D9"/>
            <w:noWrap/>
            <w:vAlign w:val="center"/>
            <w:hideMark/>
          </w:tcPr>
          <w:p w14:paraId="65B96287"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35,76</w:t>
            </w:r>
          </w:p>
        </w:tc>
        <w:tc>
          <w:tcPr>
            <w:tcW w:w="1012" w:type="dxa"/>
            <w:tcBorders>
              <w:top w:val="nil"/>
              <w:left w:val="nil"/>
              <w:bottom w:val="single" w:sz="4" w:space="0" w:color="auto"/>
              <w:right w:val="single" w:sz="4" w:space="0" w:color="auto"/>
            </w:tcBorders>
            <w:shd w:val="clear" w:color="auto" w:fill="D9D9D9" w:themeFill="background1" w:themeFillShade="D9"/>
            <w:noWrap/>
            <w:vAlign w:val="center"/>
            <w:hideMark/>
          </w:tcPr>
          <w:p w14:paraId="1405D0C1"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0,07</w:t>
            </w:r>
          </w:p>
        </w:tc>
      </w:tr>
      <w:tr w:rsidR="00591799" w:rsidRPr="00591799" w14:paraId="50262FB9" w14:textId="77777777" w:rsidTr="00345FB1">
        <w:trPr>
          <w:trHeight w:hRule="exact" w:val="454"/>
          <w:jc w:val="center"/>
        </w:trPr>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958ACE6" w14:textId="3ABDF901" w:rsidR="00591799" w:rsidRPr="00591799" w:rsidRDefault="00000000" w:rsidP="00C94149">
            <w:pPr>
              <w:spacing w:before="0" w:after="0" w:line="240" w:lineRule="auto"/>
              <w:jc w:val="center"/>
              <w:rPr>
                <w:rFonts w:eastAsia="Times New Roman"/>
                <w:b/>
                <w:bCs/>
                <w:color w:val="000000"/>
                <w:sz w:val="22"/>
                <w:lang w:eastAsia="pl-PL"/>
              </w:rPr>
            </w:pPr>
            <m:oMathPara>
              <m:oMath>
                <m:sSub>
                  <m:sSubPr>
                    <m:ctrlPr>
                      <w:rPr>
                        <w:rFonts w:ascii="Cambria Math" w:hAnsi="Cambria Math"/>
                        <w:b/>
                        <w:bCs/>
                        <w:i/>
                        <w:sz w:val="22"/>
                      </w:rPr>
                    </m:ctrlPr>
                  </m:sSubPr>
                  <m:e>
                    <m:r>
                      <m:rPr>
                        <m:sty m:val="bi"/>
                      </m:rPr>
                      <w:rPr>
                        <w:rFonts w:ascii="Cambria Math" w:hAnsi="Cambria Math"/>
                        <w:sz w:val="22"/>
                      </w:rPr>
                      <m:t>X</m:t>
                    </m:r>
                  </m:e>
                  <m:sub>
                    <m:r>
                      <m:rPr>
                        <m:sty m:val="bi"/>
                      </m:rPr>
                      <w:rPr>
                        <w:rFonts w:ascii="Cambria Math" w:hAnsi="Cambria Math"/>
                        <w:sz w:val="22"/>
                      </w:rPr>
                      <m:t>6</m:t>
                    </m:r>
                  </m:sub>
                </m:sSub>
              </m:oMath>
            </m:oMathPara>
          </w:p>
        </w:tc>
        <w:tc>
          <w:tcPr>
            <w:tcW w:w="1071" w:type="dxa"/>
            <w:tcBorders>
              <w:top w:val="nil"/>
              <w:left w:val="nil"/>
              <w:bottom w:val="single" w:sz="4" w:space="0" w:color="auto"/>
              <w:right w:val="single" w:sz="4" w:space="0" w:color="auto"/>
            </w:tcBorders>
            <w:shd w:val="clear" w:color="auto" w:fill="auto"/>
            <w:noWrap/>
            <w:vAlign w:val="center"/>
            <w:hideMark/>
          </w:tcPr>
          <w:p w14:paraId="39EDD1AA"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6435,06</w:t>
            </w:r>
          </w:p>
        </w:tc>
        <w:tc>
          <w:tcPr>
            <w:tcW w:w="1296" w:type="dxa"/>
            <w:tcBorders>
              <w:top w:val="nil"/>
              <w:left w:val="nil"/>
              <w:bottom w:val="single" w:sz="4" w:space="0" w:color="auto"/>
              <w:right w:val="single" w:sz="4" w:space="0" w:color="auto"/>
            </w:tcBorders>
            <w:shd w:val="clear" w:color="auto" w:fill="auto"/>
            <w:noWrap/>
            <w:vAlign w:val="center"/>
            <w:hideMark/>
          </w:tcPr>
          <w:p w14:paraId="739145FD"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1444,55</w:t>
            </w:r>
          </w:p>
        </w:tc>
        <w:tc>
          <w:tcPr>
            <w:tcW w:w="1071" w:type="dxa"/>
            <w:tcBorders>
              <w:top w:val="nil"/>
              <w:left w:val="nil"/>
              <w:bottom w:val="single" w:sz="4" w:space="0" w:color="auto"/>
              <w:right w:val="single" w:sz="4" w:space="0" w:color="auto"/>
            </w:tcBorders>
            <w:shd w:val="clear" w:color="auto" w:fill="auto"/>
            <w:noWrap/>
            <w:vAlign w:val="center"/>
            <w:hideMark/>
          </w:tcPr>
          <w:p w14:paraId="2736F5F2"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1,15</w:t>
            </w:r>
          </w:p>
        </w:tc>
        <w:tc>
          <w:tcPr>
            <w:tcW w:w="1071" w:type="dxa"/>
            <w:tcBorders>
              <w:top w:val="nil"/>
              <w:left w:val="nil"/>
              <w:bottom w:val="single" w:sz="4" w:space="0" w:color="auto"/>
              <w:right w:val="single" w:sz="4" w:space="0" w:color="auto"/>
            </w:tcBorders>
            <w:shd w:val="clear" w:color="auto" w:fill="auto"/>
            <w:noWrap/>
            <w:vAlign w:val="center"/>
            <w:hideMark/>
          </w:tcPr>
          <w:p w14:paraId="02860222"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0,68</w:t>
            </w:r>
          </w:p>
        </w:tc>
        <w:tc>
          <w:tcPr>
            <w:tcW w:w="1071" w:type="dxa"/>
            <w:tcBorders>
              <w:top w:val="nil"/>
              <w:left w:val="nil"/>
              <w:bottom w:val="single" w:sz="4" w:space="0" w:color="auto"/>
              <w:right w:val="single" w:sz="4" w:space="0" w:color="auto"/>
            </w:tcBorders>
            <w:shd w:val="clear" w:color="auto" w:fill="auto"/>
            <w:noWrap/>
            <w:vAlign w:val="center"/>
            <w:hideMark/>
          </w:tcPr>
          <w:p w14:paraId="6A0C952F"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4798,00</w:t>
            </w:r>
          </w:p>
        </w:tc>
        <w:tc>
          <w:tcPr>
            <w:tcW w:w="1071" w:type="dxa"/>
            <w:tcBorders>
              <w:top w:val="nil"/>
              <w:left w:val="nil"/>
              <w:bottom w:val="single" w:sz="4" w:space="0" w:color="auto"/>
              <w:right w:val="single" w:sz="4" w:space="0" w:color="auto"/>
            </w:tcBorders>
            <w:shd w:val="clear" w:color="auto" w:fill="auto"/>
            <w:noWrap/>
            <w:vAlign w:val="center"/>
            <w:hideMark/>
          </w:tcPr>
          <w:p w14:paraId="7FC42D2D"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6113,50</w:t>
            </w:r>
          </w:p>
        </w:tc>
        <w:tc>
          <w:tcPr>
            <w:tcW w:w="1167" w:type="dxa"/>
            <w:tcBorders>
              <w:top w:val="nil"/>
              <w:left w:val="nil"/>
              <w:bottom w:val="single" w:sz="4" w:space="0" w:color="auto"/>
              <w:right w:val="single" w:sz="4" w:space="0" w:color="auto"/>
            </w:tcBorders>
            <w:shd w:val="clear" w:color="auto" w:fill="auto"/>
            <w:noWrap/>
            <w:vAlign w:val="center"/>
            <w:hideMark/>
          </w:tcPr>
          <w:p w14:paraId="240606EB"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9651,00</w:t>
            </w:r>
          </w:p>
        </w:tc>
        <w:tc>
          <w:tcPr>
            <w:tcW w:w="1012" w:type="dxa"/>
            <w:tcBorders>
              <w:top w:val="nil"/>
              <w:left w:val="nil"/>
              <w:bottom w:val="single" w:sz="4" w:space="0" w:color="auto"/>
              <w:right w:val="single" w:sz="4" w:space="0" w:color="auto"/>
            </w:tcBorders>
            <w:shd w:val="clear" w:color="auto" w:fill="auto"/>
            <w:noWrap/>
            <w:vAlign w:val="center"/>
            <w:hideMark/>
          </w:tcPr>
          <w:p w14:paraId="16442AAF"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0,22</w:t>
            </w:r>
          </w:p>
        </w:tc>
      </w:tr>
      <w:tr w:rsidR="00591799" w:rsidRPr="00591799" w14:paraId="167C0F3A" w14:textId="77777777" w:rsidTr="00345FB1">
        <w:trPr>
          <w:trHeight w:hRule="exact" w:val="454"/>
          <w:jc w:val="center"/>
        </w:trPr>
        <w:tc>
          <w:tcPr>
            <w:tcW w:w="94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401B63B" w14:textId="54C7302D" w:rsidR="00591799" w:rsidRPr="00591799" w:rsidRDefault="00000000" w:rsidP="00C94149">
            <w:pPr>
              <w:spacing w:before="0" w:after="0" w:line="240" w:lineRule="auto"/>
              <w:jc w:val="center"/>
              <w:rPr>
                <w:rFonts w:eastAsia="Times New Roman"/>
                <w:b/>
                <w:bCs/>
                <w:color w:val="000000"/>
                <w:sz w:val="22"/>
                <w:lang w:eastAsia="pl-PL"/>
              </w:rPr>
            </w:pPr>
            <m:oMathPara>
              <m:oMath>
                <m:sSub>
                  <m:sSubPr>
                    <m:ctrlPr>
                      <w:rPr>
                        <w:rFonts w:ascii="Cambria Math" w:hAnsi="Cambria Math"/>
                        <w:b/>
                        <w:bCs/>
                        <w:i/>
                        <w:sz w:val="22"/>
                      </w:rPr>
                    </m:ctrlPr>
                  </m:sSubPr>
                  <m:e>
                    <m:r>
                      <m:rPr>
                        <m:sty m:val="bi"/>
                      </m:rPr>
                      <w:rPr>
                        <w:rFonts w:ascii="Cambria Math" w:hAnsi="Cambria Math"/>
                        <w:sz w:val="22"/>
                      </w:rPr>
                      <m:t>X</m:t>
                    </m:r>
                  </m:e>
                  <m:sub>
                    <m:r>
                      <m:rPr>
                        <m:sty m:val="bi"/>
                      </m:rPr>
                      <w:rPr>
                        <w:rFonts w:ascii="Cambria Math" w:hAnsi="Cambria Math"/>
                        <w:sz w:val="22"/>
                      </w:rPr>
                      <m:t>7</m:t>
                    </m:r>
                  </m:sub>
                </m:sSub>
              </m:oMath>
            </m:oMathPara>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30B8D019"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8,26</w:t>
            </w:r>
          </w:p>
        </w:tc>
        <w:tc>
          <w:tcPr>
            <w:tcW w:w="1296" w:type="dxa"/>
            <w:tcBorders>
              <w:top w:val="nil"/>
              <w:left w:val="nil"/>
              <w:bottom w:val="single" w:sz="4" w:space="0" w:color="auto"/>
              <w:right w:val="single" w:sz="4" w:space="0" w:color="auto"/>
            </w:tcBorders>
            <w:shd w:val="clear" w:color="auto" w:fill="D9D9D9" w:themeFill="background1" w:themeFillShade="D9"/>
            <w:noWrap/>
            <w:vAlign w:val="center"/>
            <w:hideMark/>
          </w:tcPr>
          <w:p w14:paraId="3D1420AE"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2,75</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483685A2"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0,62</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6EB16A32"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0,78</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2743F1E8"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3,66</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74A420C7"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8,19</w:t>
            </w:r>
          </w:p>
        </w:tc>
        <w:tc>
          <w:tcPr>
            <w:tcW w:w="1167" w:type="dxa"/>
            <w:tcBorders>
              <w:top w:val="nil"/>
              <w:left w:val="nil"/>
              <w:bottom w:val="single" w:sz="4" w:space="0" w:color="auto"/>
              <w:right w:val="single" w:sz="4" w:space="0" w:color="auto"/>
            </w:tcBorders>
            <w:shd w:val="clear" w:color="auto" w:fill="D9D9D9" w:themeFill="background1" w:themeFillShade="D9"/>
            <w:noWrap/>
            <w:vAlign w:val="center"/>
            <w:hideMark/>
          </w:tcPr>
          <w:p w14:paraId="578A67C8"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14,70</w:t>
            </w:r>
          </w:p>
        </w:tc>
        <w:tc>
          <w:tcPr>
            <w:tcW w:w="1012" w:type="dxa"/>
            <w:tcBorders>
              <w:top w:val="nil"/>
              <w:left w:val="nil"/>
              <w:bottom w:val="single" w:sz="4" w:space="0" w:color="auto"/>
              <w:right w:val="single" w:sz="4" w:space="0" w:color="auto"/>
            </w:tcBorders>
            <w:shd w:val="clear" w:color="auto" w:fill="D9D9D9" w:themeFill="background1" w:themeFillShade="D9"/>
            <w:noWrap/>
            <w:vAlign w:val="center"/>
            <w:hideMark/>
          </w:tcPr>
          <w:p w14:paraId="73BC364D"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0,33</w:t>
            </w:r>
          </w:p>
        </w:tc>
      </w:tr>
      <w:tr w:rsidR="00591799" w:rsidRPr="00591799" w14:paraId="779FB53F" w14:textId="77777777" w:rsidTr="00345FB1">
        <w:trPr>
          <w:trHeight w:hRule="exact" w:val="454"/>
          <w:jc w:val="center"/>
        </w:trPr>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060E316" w14:textId="38AB3378" w:rsidR="00591799" w:rsidRPr="00591799" w:rsidRDefault="00000000" w:rsidP="00C94149">
            <w:pPr>
              <w:spacing w:before="0" w:after="0" w:line="240" w:lineRule="auto"/>
              <w:jc w:val="center"/>
              <w:rPr>
                <w:rFonts w:eastAsia="Times New Roman"/>
                <w:b/>
                <w:bCs/>
                <w:color w:val="000000"/>
                <w:sz w:val="22"/>
                <w:lang w:eastAsia="pl-PL"/>
              </w:rPr>
            </w:pPr>
            <m:oMathPara>
              <m:oMath>
                <m:sSub>
                  <m:sSubPr>
                    <m:ctrlPr>
                      <w:rPr>
                        <w:rFonts w:ascii="Cambria Math" w:hAnsi="Cambria Math"/>
                        <w:b/>
                        <w:bCs/>
                        <w:i/>
                        <w:sz w:val="22"/>
                      </w:rPr>
                    </m:ctrlPr>
                  </m:sSubPr>
                  <m:e>
                    <m:r>
                      <m:rPr>
                        <m:sty m:val="bi"/>
                      </m:rPr>
                      <w:rPr>
                        <w:rFonts w:ascii="Cambria Math" w:hAnsi="Cambria Math"/>
                        <w:sz w:val="22"/>
                      </w:rPr>
                      <m:t>X</m:t>
                    </m:r>
                  </m:e>
                  <m:sub>
                    <m:r>
                      <m:rPr>
                        <m:sty m:val="bi"/>
                      </m:rPr>
                      <w:rPr>
                        <w:rFonts w:ascii="Cambria Math" w:hAnsi="Cambria Math"/>
                        <w:sz w:val="22"/>
                      </w:rPr>
                      <m:t>8</m:t>
                    </m:r>
                  </m:sub>
                </m:sSub>
              </m:oMath>
            </m:oMathPara>
          </w:p>
        </w:tc>
        <w:tc>
          <w:tcPr>
            <w:tcW w:w="1071" w:type="dxa"/>
            <w:tcBorders>
              <w:top w:val="nil"/>
              <w:left w:val="nil"/>
              <w:bottom w:val="single" w:sz="4" w:space="0" w:color="auto"/>
              <w:right w:val="single" w:sz="4" w:space="0" w:color="auto"/>
            </w:tcBorders>
            <w:shd w:val="clear" w:color="auto" w:fill="auto"/>
            <w:noWrap/>
            <w:vAlign w:val="center"/>
            <w:hideMark/>
          </w:tcPr>
          <w:p w14:paraId="0FF4939E"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754,91</w:t>
            </w:r>
          </w:p>
        </w:tc>
        <w:tc>
          <w:tcPr>
            <w:tcW w:w="1296" w:type="dxa"/>
            <w:tcBorders>
              <w:top w:val="nil"/>
              <w:left w:val="nil"/>
              <w:bottom w:val="single" w:sz="4" w:space="0" w:color="auto"/>
              <w:right w:val="single" w:sz="4" w:space="0" w:color="auto"/>
            </w:tcBorders>
            <w:shd w:val="clear" w:color="auto" w:fill="auto"/>
            <w:noWrap/>
            <w:vAlign w:val="center"/>
            <w:hideMark/>
          </w:tcPr>
          <w:p w14:paraId="34CFD8F5"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800,87</w:t>
            </w:r>
          </w:p>
        </w:tc>
        <w:tc>
          <w:tcPr>
            <w:tcW w:w="1071" w:type="dxa"/>
            <w:tcBorders>
              <w:top w:val="nil"/>
              <w:left w:val="nil"/>
              <w:bottom w:val="single" w:sz="4" w:space="0" w:color="auto"/>
              <w:right w:val="single" w:sz="4" w:space="0" w:color="auto"/>
            </w:tcBorders>
            <w:shd w:val="clear" w:color="auto" w:fill="auto"/>
            <w:noWrap/>
            <w:vAlign w:val="center"/>
            <w:hideMark/>
          </w:tcPr>
          <w:p w14:paraId="24C31090"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1,37</w:t>
            </w:r>
          </w:p>
        </w:tc>
        <w:tc>
          <w:tcPr>
            <w:tcW w:w="1071" w:type="dxa"/>
            <w:tcBorders>
              <w:top w:val="nil"/>
              <w:left w:val="nil"/>
              <w:bottom w:val="single" w:sz="4" w:space="0" w:color="auto"/>
              <w:right w:val="single" w:sz="4" w:space="0" w:color="auto"/>
            </w:tcBorders>
            <w:shd w:val="clear" w:color="auto" w:fill="auto"/>
            <w:noWrap/>
            <w:vAlign w:val="center"/>
            <w:hideMark/>
          </w:tcPr>
          <w:p w14:paraId="6A5F2AD1"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0,91</w:t>
            </w:r>
          </w:p>
        </w:tc>
        <w:tc>
          <w:tcPr>
            <w:tcW w:w="1071" w:type="dxa"/>
            <w:tcBorders>
              <w:top w:val="nil"/>
              <w:left w:val="nil"/>
              <w:bottom w:val="single" w:sz="4" w:space="0" w:color="auto"/>
              <w:right w:val="single" w:sz="4" w:space="0" w:color="auto"/>
            </w:tcBorders>
            <w:shd w:val="clear" w:color="auto" w:fill="auto"/>
            <w:noWrap/>
            <w:vAlign w:val="center"/>
            <w:hideMark/>
          </w:tcPr>
          <w:p w14:paraId="5FFA9134"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66,63</w:t>
            </w:r>
          </w:p>
        </w:tc>
        <w:tc>
          <w:tcPr>
            <w:tcW w:w="1071" w:type="dxa"/>
            <w:tcBorders>
              <w:top w:val="nil"/>
              <w:left w:val="nil"/>
              <w:bottom w:val="single" w:sz="4" w:space="0" w:color="auto"/>
              <w:right w:val="single" w:sz="4" w:space="0" w:color="auto"/>
            </w:tcBorders>
            <w:shd w:val="clear" w:color="auto" w:fill="auto"/>
            <w:noWrap/>
            <w:vAlign w:val="center"/>
            <w:hideMark/>
          </w:tcPr>
          <w:p w14:paraId="2AA16CB5"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410,01</w:t>
            </w:r>
          </w:p>
        </w:tc>
        <w:tc>
          <w:tcPr>
            <w:tcW w:w="1167" w:type="dxa"/>
            <w:tcBorders>
              <w:top w:val="nil"/>
              <w:left w:val="nil"/>
              <w:bottom w:val="single" w:sz="4" w:space="0" w:color="auto"/>
              <w:right w:val="single" w:sz="4" w:space="0" w:color="auto"/>
            </w:tcBorders>
            <w:shd w:val="clear" w:color="auto" w:fill="auto"/>
            <w:noWrap/>
            <w:vAlign w:val="center"/>
            <w:hideMark/>
          </w:tcPr>
          <w:p w14:paraId="0DD4160D"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2636,04</w:t>
            </w:r>
          </w:p>
        </w:tc>
        <w:tc>
          <w:tcPr>
            <w:tcW w:w="1012" w:type="dxa"/>
            <w:tcBorders>
              <w:top w:val="nil"/>
              <w:left w:val="nil"/>
              <w:bottom w:val="single" w:sz="4" w:space="0" w:color="auto"/>
              <w:right w:val="single" w:sz="4" w:space="0" w:color="auto"/>
            </w:tcBorders>
            <w:shd w:val="clear" w:color="auto" w:fill="auto"/>
            <w:noWrap/>
            <w:vAlign w:val="center"/>
            <w:hideMark/>
          </w:tcPr>
          <w:p w14:paraId="1C5EB057"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1,06</w:t>
            </w:r>
          </w:p>
        </w:tc>
      </w:tr>
      <w:tr w:rsidR="00591799" w:rsidRPr="00591799" w14:paraId="5E251D31" w14:textId="77777777" w:rsidTr="00345FB1">
        <w:trPr>
          <w:trHeight w:hRule="exact" w:val="454"/>
          <w:jc w:val="center"/>
        </w:trPr>
        <w:tc>
          <w:tcPr>
            <w:tcW w:w="94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4F92234" w14:textId="70B8FF68" w:rsidR="00591799" w:rsidRPr="00591799" w:rsidRDefault="00000000" w:rsidP="00C94149">
            <w:pPr>
              <w:spacing w:before="0" w:after="0" w:line="240" w:lineRule="auto"/>
              <w:jc w:val="center"/>
              <w:rPr>
                <w:rFonts w:eastAsia="Times New Roman"/>
                <w:b/>
                <w:bCs/>
                <w:color w:val="000000"/>
                <w:sz w:val="22"/>
                <w:lang w:eastAsia="pl-PL"/>
              </w:rPr>
            </w:pPr>
            <m:oMathPara>
              <m:oMath>
                <m:sSub>
                  <m:sSubPr>
                    <m:ctrlPr>
                      <w:rPr>
                        <w:rFonts w:ascii="Cambria Math" w:hAnsi="Cambria Math"/>
                        <w:b/>
                        <w:bCs/>
                        <w:i/>
                        <w:sz w:val="22"/>
                      </w:rPr>
                    </m:ctrlPr>
                  </m:sSubPr>
                  <m:e>
                    <m:r>
                      <m:rPr>
                        <m:sty m:val="bi"/>
                      </m:rPr>
                      <w:rPr>
                        <w:rFonts w:ascii="Cambria Math" w:hAnsi="Cambria Math"/>
                        <w:sz w:val="22"/>
                      </w:rPr>
                      <m:t>X</m:t>
                    </m:r>
                  </m:e>
                  <m:sub>
                    <m:r>
                      <m:rPr>
                        <m:sty m:val="bi"/>
                      </m:rPr>
                      <w:rPr>
                        <w:rFonts w:ascii="Cambria Math" w:hAnsi="Cambria Math"/>
                        <w:sz w:val="22"/>
                      </w:rPr>
                      <m:t>9</m:t>
                    </m:r>
                  </m:sub>
                </m:sSub>
              </m:oMath>
            </m:oMathPara>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24A20985"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596,54</w:t>
            </w:r>
          </w:p>
        </w:tc>
        <w:tc>
          <w:tcPr>
            <w:tcW w:w="1296" w:type="dxa"/>
            <w:tcBorders>
              <w:top w:val="nil"/>
              <w:left w:val="nil"/>
              <w:bottom w:val="single" w:sz="4" w:space="0" w:color="auto"/>
              <w:right w:val="single" w:sz="4" w:space="0" w:color="auto"/>
            </w:tcBorders>
            <w:shd w:val="clear" w:color="auto" w:fill="D9D9D9" w:themeFill="background1" w:themeFillShade="D9"/>
            <w:noWrap/>
            <w:vAlign w:val="center"/>
            <w:hideMark/>
          </w:tcPr>
          <w:p w14:paraId="77540AFB"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146,59</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6E362CF3"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0,12</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2F676A87"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-0,38</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2D6E8773"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349,73</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044F086B"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571,94</w:t>
            </w:r>
          </w:p>
        </w:tc>
        <w:tc>
          <w:tcPr>
            <w:tcW w:w="1167" w:type="dxa"/>
            <w:tcBorders>
              <w:top w:val="nil"/>
              <w:left w:val="nil"/>
              <w:bottom w:val="single" w:sz="4" w:space="0" w:color="auto"/>
              <w:right w:val="single" w:sz="4" w:space="0" w:color="auto"/>
            </w:tcBorders>
            <w:shd w:val="clear" w:color="auto" w:fill="D9D9D9" w:themeFill="background1" w:themeFillShade="D9"/>
            <w:noWrap/>
            <w:vAlign w:val="center"/>
            <w:hideMark/>
          </w:tcPr>
          <w:p w14:paraId="6702A8D7"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874,10</w:t>
            </w:r>
          </w:p>
        </w:tc>
        <w:tc>
          <w:tcPr>
            <w:tcW w:w="1012" w:type="dxa"/>
            <w:tcBorders>
              <w:top w:val="nil"/>
              <w:left w:val="nil"/>
              <w:bottom w:val="single" w:sz="4" w:space="0" w:color="auto"/>
              <w:right w:val="single" w:sz="4" w:space="0" w:color="auto"/>
            </w:tcBorders>
            <w:shd w:val="clear" w:color="auto" w:fill="D9D9D9" w:themeFill="background1" w:themeFillShade="D9"/>
            <w:noWrap/>
            <w:vAlign w:val="center"/>
            <w:hideMark/>
          </w:tcPr>
          <w:p w14:paraId="6C14343E"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0,25</w:t>
            </w:r>
          </w:p>
        </w:tc>
      </w:tr>
      <w:tr w:rsidR="00591799" w:rsidRPr="00591799" w14:paraId="489A742A" w14:textId="77777777" w:rsidTr="00345FB1">
        <w:trPr>
          <w:trHeight w:hRule="exact" w:val="454"/>
          <w:jc w:val="center"/>
        </w:trPr>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50DDC594" w14:textId="696CBFCD" w:rsidR="00591799" w:rsidRPr="00591799" w:rsidRDefault="00000000" w:rsidP="00C94149">
            <w:pPr>
              <w:spacing w:before="0" w:after="0" w:line="240" w:lineRule="auto"/>
              <w:jc w:val="center"/>
              <w:rPr>
                <w:rFonts w:eastAsia="Times New Roman"/>
                <w:b/>
                <w:bCs/>
                <w:color w:val="000000"/>
                <w:sz w:val="22"/>
                <w:lang w:eastAsia="pl-PL"/>
              </w:rPr>
            </w:pPr>
            <m:oMathPara>
              <m:oMath>
                <m:sSub>
                  <m:sSubPr>
                    <m:ctrlPr>
                      <w:rPr>
                        <w:rFonts w:ascii="Cambria Math" w:hAnsi="Cambria Math"/>
                        <w:b/>
                        <w:bCs/>
                        <w:i/>
                        <w:sz w:val="22"/>
                      </w:rPr>
                    </m:ctrlPr>
                  </m:sSubPr>
                  <m:e>
                    <m:r>
                      <m:rPr>
                        <m:sty m:val="bi"/>
                      </m:rPr>
                      <w:rPr>
                        <w:rFonts w:ascii="Cambria Math" w:hAnsi="Cambria Math"/>
                        <w:sz w:val="22"/>
                      </w:rPr>
                      <m:t>X</m:t>
                    </m:r>
                  </m:e>
                  <m:sub>
                    <m:r>
                      <m:rPr>
                        <m:sty m:val="bi"/>
                      </m:rPr>
                      <w:rPr>
                        <w:rFonts w:ascii="Cambria Math" w:hAnsi="Cambria Math"/>
                        <w:sz w:val="22"/>
                      </w:rPr>
                      <m:t>10</m:t>
                    </m:r>
                  </m:sub>
                </m:sSub>
              </m:oMath>
            </m:oMathPara>
          </w:p>
        </w:tc>
        <w:tc>
          <w:tcPr>
            <w:tcW w:w="1071" w:type="dxa"/>
            <w:tcBorders>
              <w:top w:val="nil"/>
              <w:left w:val="nil"/>
              <w:bottom w:val="single" w:sz="4" w:space="0" w:color="auto"/>
              <w:right w:val="single" w:sz="4" w:space="0" w:color="auto"/>
            </w:tcBorders>
            <w:shd w:val="clear" w:color="auto" w:fill="auto"/>
            <w:noWrap/>
            <w:vAlign w:val="center"/>
            <w:hideMark/>
          </w:tcPr>
          <w:p w14:paraId="66F1A45E"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2165,94</w:t>
            </w:r>
          </w:p>
        </w:tc>
        <w:tc>
          <w:tcPr>
            <w:tcW w:w="1296" w:type="dxa"/>
            <w:tcBorders>
              <w:top w:val="nil"/>
              <w:left w:val="nil"/>
              <w:bottom w:val="single" w:sz="4" w:space="0" w:color="auto"/>
              <w:right w:val="single" w:sz="4" w:space="0" w:color="auto"/>
            </w:tcBorders>
            <w:shd w:val="clear" w:color="auto" w:fill="auto"/>
            <w:noWrap/>
            <w:vAlign w:val="center"/>
            <w:hideMark/>
          </w:tcPr>
          <w:p w14:paraId="5F3B8FAD"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521,85</w:t>
            </w:r>
          </w:p>
        </w:tc>
        <w:tc>
          <w:tcPr>
            <w:tcW w:w="1071" w:type="dxa"/>
            <w:tcBorders>
              <w:top w:val="nil"/>
              <w:left w:val="nil"/>
              <w:bottom w:val="single" w:sz="4" w:space="0" w:color="auto"/>
              <w:right w:val="single" w:sz="4" w:space="0" w:color="auto"/>
            </w:tcBorders>
            <w:shd w:val="clear" w:color="auto" w:fill="auto"/>
            <w:noWrap/>
            <w:vAlign w:val="center"/>
            <w:hideMark/>
          </w:tcPr>
          <w:p w14:paraId="0B03BE69"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1,04</w:t>
            </w:r>
          </w:p>
        </w:tc>
        <w:tc>
          <w:tcPr>
            <w:tcW w:w="1071" w:type="dxa"/>
            <w:tcBorders>
              <w:top w:val="nil"/>
              <w:left w:val="nil"/>
              <w:bottom w:val="single" w:sz="4" w:space="0" w:color="auto"/>
              <w:right w:val="single" w:sz="4" w:space="0" w:color="auto"/>
            </w:tcBorders>
            <w:shd w:val="clear" w:color="auto" w:fill="auto"/>
            <w:noWrap/>
            <w:vAlign w:val="center"/>
            <w:hideMark/>
          </w:tcPr>
          <w:p w14:paraId="29AC7E77"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2,21</w:t>
            </w:r>
          </w:p>
        </w:tc>
        <w:tc>
          <w:tcPr>
            <w:tcW w:w="1071" w:type="dxa"/>
            <w:tcBorders>
              <w:top w:val="nil"/>
              <w:left w:val="nil"/>
              <w:bottom w:val="single" w:sz="4" w:space="0" w:color="auto"/>
              <w:right w:val="single" w:sz="4" w:space="0" w:color="auto"/>
            </w:tcBorders>
            <w:shd w:val="clear" w:color="auto" w:fill="auto"/>
            <w:noWrap/>
            <w:vAlign w:val="center"/>
            <w:hideMark/>
          </w:tcPr>
          <w:p w14:paraId="597C572C"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1294,26</w:t>
            </w:r>
          </w:p>
        </w:tc>
        <w:tc>
          <w:tcPr>
            <w:tcW w:w="1071" w:type="dxa"/>
            <w:tcBorders>
              <w:top w:val="nil"/>
              <w:left w:val="nil"/>
              <w:bottom w:val="single" w:sz="4" w:space="0" w:color="auto"/>
              <w:right w:val="single" w:sz="4" w:space="0" w:color="auto"/>
            </w:tcBorders>
            <w:shd w:val="clear" w:color="auto" w:fill="auto"/>
            <w:noWrap/>
            <w:vAlign w:val="center"/>
            <w:hideMark/>
          </w:tcPr>
          <w:p w14:paraId="122918D1"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2089,76</w:t>
            </w:r>
          </w:p>
        </w:tc>
        <w:tc>
          <w:tcPr>
            <w:tcW w:w="1167" w:type="dxa"/>
            <w:tcBorders>
              <w:top w:val="nil"/>
              <w:left w:val="nil"/>
              <w:bottom w:val="single" w:sz="4" w:space="0" w:color="auto"/>
              <w:right w:val="single" w:sz="4" w:space="0" w:color="auto"/>
            </w:tcBorders>
            <w:shd w:val="clear" w:color="auto" w:fill="auto"/>
            <w:noWrap/>
            <w:vAlign w:val="center"/>
            <w:hideMark/>
          </w:tcPr>
          <w:p w14:paraId="4DA9B7A2"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3519,04</w:t>
            </w:r>
          </w:p>
        </w:tc>
        <w:tc>
          <w:tcPr>
            <w:tcW w:w="1012" w:type="dxa"/>
            <w:tcBorders>
              <w:top w:val="nil"/>
              <w:left w:val="nil"/>
              <w:bottom w:val="single" w:sz="4" w:space="0" w:color="auto"/>
              <w:right w:val="single" w:sz="4" w:space="0" w:color="auto"/>
            </w:tcBorders>
            <w:shd w:val="clear" w:color="auto" w:fill="auto"/>
            <w:noWrap/>
            <w:vAlign w:val="center"/>
            <w:hideMark/>
          </w:tcPr>
          <w:p w14:paraId="02F6940D"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0,24</w:t>
            </w:r>
          </w:p>
        </w:tc>
      </w:tr>
      <w:tr w:rsidR="00591799" w:rsidRPr="00591799" w14:paraId="4F241481" w14:textId="77777777" w:rsidTr="00345FB1">
        <w:trPr>
          <w:trHeight w:hRule="exact" w:val="454"/>
          <w:jc w:val="center"/>
        </w:trPr>
        <w:tc>
          <w:tcPr>
            <w:tcW w:w="94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8674700" w14:textId="49BBE296" w:rsidR="00591799" w:rsidRPr="00591799" w:rsidRDefault="00000000" w:rsidP="00C94149">
            <w:pPr>
              <w:spacing w:before="0" w:after="0" w:line="240" w:lineRule="auto"/>
              <w:jc w:val="center"/>
              <w:rPr>
                <w:rFonts w:eastAsia="Times New Roman"/>
                <w:b/>
                <w:bCs/>
                <w:color w:val="000000"/>
                <w:sz w:val="22"/>
                <w:lang w:eastAsia="pl-PL"/>
              </w:rPr>
            </w:pPr>
            <m:oMathPara>
              <m:oMath>
                <m:sSub>
                  <m:sSubPr>
                    <m:ctrlPr>
                      <w:rPr>
                        <w:rFonts w:ascii="Cambria Math" w:hAnsi="Cambria Math"/>
                        <w:b/>
                        <w:bCs/>
                        <w:i/>
                        <w:sz w:val="22"/>
                      </w:rPr>
                    </m:ctrlPr>
                  </m:sSubPr>
                  <m:e>
                    <m:r>
                      <m:rPr>
                        <m:sty m:val="bi"/>
                      </m:rPr>
                      <w:rPr>
                        <w:rFonts w:ascii="Cambria Math" w:hAnsi="Cambria Math"/>
                        <w:sz w:val="22"/>
                      </w:rPr>
                      <m:t>X</m:t>
                    </m:r>
                  </m:e>
                  <m:sub>
                    <m:r>
                      <m:rPr>
                        <m:sty m:val="bi"/>
                      </m:rPr>
                      <w:rPr>
                        <w:rFonts w:ascii="Cambria Math" w:hAnsi="Cambria Math"/>
                        <w:sz w:val="22"/>
                      </w:rPr>
                      <m:t>11</m:t>
                    </m:r>
                  </m:sub>
                </m:sSub>
              </m:oMath>
            </m:oMathPara>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5D1BB060"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4,68</w:t>
            </w:r>
          </w:p>
        </w:tc>
        <w:tc>
          <w:tcPr>
            <w:tcW w:w="1296" w:type="dxa"/>
            <w:tcBorders>
              <w:top w:val="nil"/>
              <w:left w:val="nil"/>
              <w:bottom w:val="single" w:sz="4" w:space="0" w:color="auto"/>
              <w:right w:val="single" w:sz="4" w:space="0" w:color="auto"/>
            </w:tcBorders>
            <w:shd w:val="clear" w:color="auto" w:fill="D9D9D9" w:themeFill="background1" w:themeFillShade="D9"/>
            <w:noWrap/>
            <w:vAlign w:val="center"/>
            <w:hideMark/>
          </w:tcPr>
          <w:p w14:paraId="0A4A49DD"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4,04</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5F0067D8"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2,06</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2D9CAB07"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4,31</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6E59F20C"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1,28</w:t>
            </w:r>
          </w:p>
        </w:tc>
        <w:tc>
          <w:tcPr>
            <w:tcW w:w="1071" w:type="dxa"/>
            <w:tcBorders>
              <w:top w:val="nil"/>
              <w:left w:val="nil"/>
              <w:bottom w:val="single" w:sz="4" w:space="0" w:color="auto"/>
              <w:right w:val="single" w:sz="4" w:space="0" w:color="auto"/>
            </w:tcBorders>
            <w:shd w:val="clear" w:color="auto" w:fill="D9D9D9" w:themeFill="background1" w:themeFillShade="D9"/>
            <w:noWrap/>
            <w:vAlign w:val="center"/>
            <w:hideMark/>
          </w:tcPr>
          <w:p w14:paraId="0BA7B3A5"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3,32</w:t>
            </w:r>
          </w:p>
        </w:tc>
        <w:tc>
          <w:tcPr>
            <w:tcW w:w="1167" w:type="dxa"/>
            <w:tcBorders>
              <w:top w:val="nil"/>
              <w:left w:val="nil"/>
              <w:bottom w:val="single" w:sz="4" w:space="0" w:color="auto"/>
              <w:right w:val="single" w:sz="4" w:space="0" w:color="auto"/>
            </w:tcBorders>
            <w:shd w:val="clear" w:color="auto" w:fill="D9D9D9" w:themeFill="background1" w:themeFillShade="D9"/>
            <w:noWrap/>
            <w:vAlign w:val="center"/>
            <w:hideMark/>
          </w:tcPr>
          <w:p w14:paraId="3BA36907"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16,54</w:t>
            </w:r>
          </w:p>
        </w:tc>
        <w:tc>
          <w:tcPr>
            <w:tcW w:w="1012" w:type="dxa"/>
            <w:tcBorders>
              <w:top w:val="nil"/>
              <w:left w:val="nil"/>
              <w:bottom w:val="single" w:sz="4" w:space="0" w:color="auto"/>
              <w:right w:val="single" w:sz="4" w:space="0" w:color="auto"/>
            </w:tcBorders>
            <w:shd w:val="clear" w:color="auto" w:fill="D9D9D9" w:themeFill="background1" w:themeFillShade="D9"/>
            <w:noWrap/>
            <w:vAlign w:val="center"/>
            <w:hideMark/>
          </w:tcPr>
          <w:p w14:paraId="07011234"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0,86</w:t>
            </w:r>
          </w:p>
        </w:tc>
      </w:tr>
      <w:tr w:rsidR="00591799" w:rsidRPr="00591799" w14:paraId="50FDB0DD" w14:textId="77777777" w:rsidTr="00345FB1">
        <w:trPr>
          <w:trHeight w:hRule="exact" w:val="454"/>
          <w:jc w:val="center"/>
        </w:trPr>
        <w:tc>
          <w:tcPr>
            <w:tcW w:w="946" w:type="dxa"/>
            <w:tcBorders>
              <w:top w:val="nil"/>
              <w:left w:val="single" w:sz="4" w:space="0" w:color="auto"/>
              <w:bottom w:val="single" w:sz="4" w:space="0" w:color="auto"/>
              <w:right w:val="single" w:sz="4" w:space="0" w:color="auto"/>
            </w:tcBorders>
            <w:shd w:val="clear" w:color="auto" w:fill="auto"/>
            <w:noWrap/>
            <w:vAlign w:val="center"/>
            <w:hideMark/>
          </w:tcPr>
          <w:p w14:paraId="36337ADF" w14:textId="31C0EC2C" w:rsidR="00591799" w:rsidRPr="00591799" w:rsidRDefault="00000000" w:rsidP="00C94149">
            <w:pPr>
              <w:spacing w:before="0" w:after="0" w:line="240" w:lineRule="auto"/>
              <w:jc w:val="center"/>
              <w:rPr>
                <w:rFonts w:eastAsia="Times New Roman"/>
                <w:b/>
                <w:bCs/>
                <w:color w:val="000000"/>
                <w:sz w:val="22"/>
                <w:lang w:eastAsia="pl-PL"/>
              </w:rPr>
            </w:pPr>
            <m:oMathPara>
              <m:oMath>
                <m:sSub>
                  <m:sSubPr>
                    <m:ctrlPr>
                      <w:rPr>
                        <w:rFonts w:ascii="Cambria Math" w:hAnsi="Cambria Math"/>
                        <w:b/>
                        <w:bCs/>
                        <w:i/>
                        <w:sz w:val="22"/>
                      </w:rPr>
                    </m:ctrlPr>
                  </m:sSubPr>
                  <m:e>
                    <m:r>
                      <m:rPr>
                        <m:sty m:val="bi"/>
                      </m:rPr>
                      <w:rPr>
                        <w:rFonts w:ascii="Cambria Math" w:hAnsi="Cambria Math"/>
                        <w:sz w:val="22"/>
                      </w:rPr>
                      <m:t>X</m:t>
                    </m:r>
                  </m:e>
                  <m:sub>
                    <m:r>
                      <m:rPr>
                        <m:sty m:val="bi"/>
                      </m:rPr>
                      <w:rPr>
                        <w:rFonts w:ascii="Cambria Math" w:hAnsi="Cambria Math"/>
                        <w:sz w:val="22"/>
                      </w:rPr>
                      <m:t>12</m:t>
                    </m:r>
                  </m:sub>
                </m:sSub>
              </m:oMath>
            </m:oMathPara>
          </w:p>
        </w:tc>
        <w:tc>
          <w:tcPr>
            <w:tcW w:w="1071" w:type="dxa"/>
            <w:tcBorders>
              <w:top w:val="nil"/>
              <w:left w:val="nil"/>
              <w:bottom w:val="single" w:sz="4" w:space="0" w:color="auto"/>
              <w:right w:val="single" w:sz="4" w:space="0" w:color="auto"/>
            </w:tcBorders>
            <w:shd w:val="clear" w:color="auto" w:fill="auto"/>
            <w:noWrap/>
            <w:vAlign w:val="center"/>
            <w:hideMark/>
          </w:tcPr>
          <w:p w14:paraId="6FFD86F7"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54,89</w:t>
            </w:r>
          </w:p>
        </w:tc>
        <w:tc>
          <w:tcPr>
            <w:tcW w:w="1296" w:type="dxa"/>
            <w:tcBorders>
              <w:top w:val="nil"/>
              <w:left w:val="nil"/>
              <w:bottom w:val="single" w:sz="4" w:space="0" w:color="auto"/>
              <w:right w:val="single" w:sz="4" w:space="0" w:color="auto"/>
            </w:tcBorders>
            <w:shd w:val="clear" w:color="auto" w:fill="auto"/>
            <w:noWrap/>
            <w:vAlign w:val="center"/>
            <w:hideMark/>
          </w:tcPr>
          <w:p w14:paraId="6C2F9648"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14,93</w:t>
            </w:r>
          </w:p>
        </w:tc>
        <w:tc>
          <w:tcPr>
            <w:tcW w:w="1071" w:type="dxa"/>
            <w:tcBorders>
              <w:top w:val="nil"/>
              <w:left w:val="nil"/>
              <w:bottom w:val="single" w:sz="4" w:space="0" w:color="auto"/>
              <w:right w:val="single" w:sz="4" w:space="0" w:color="auto"/>
            </w:tcBorders>
            <w:shd w:val="clear" w:color="auto" w:fill="auto"/>
            <w:noWrap/>
            <w:vAlign w:val="center"/>
            <w:hideMark/>
          </w:tcPr>
          <w:p w14:paraId="78A53F37"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0,75</w:t>
            </w:r>
          </w:p>
        </w:tc>
        <w:tc>
          <w:tcPr>
            <w:tcW w:w="1071" w:type="dxa"/>
            <w:tcBorders>
              <w:top w:val="nil"/>
              <w:left w:val="nil"/>
              <w:bottom w:val="single" w:sz="4" w:space="0" w:color="auto"/>
              <w:right w:val="single" w:sz="4" w:space="0" w:color="auto"/>
            </w:tcBorders>
            <w:shd w:val="clear" w:color="auto" w:fill="auto"/>
            <w:noWrap/>
            <w:vAlign w:val="center"/>
            <w:hideMark/>
          </w:tcPr>
          <w:p w14:paraId="767712F2"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1,78</w:t>
            </w:r>
          </w:p>
        </w:tc>
        <w:tc>
          <w:tcPr>
            <w:tcW w:w="1071" w:type="dxa"/>
            <w:tcBorders>
              <w:top w:val="nil"/>
              <w:left w:val="nil"/>
              <w:bottom w:val="single" w:sz="4" w:space="0" w:color="auto"/>
              <w:right w:val="single" w:sz="4" w:space="0" w:color="auto"/>
            </w:tcBorders>
            <w:shd w:val="clear" w:color="auto" w:fill="auto"/>
            <w:noWrap/>
            <w:vAlign w:val="center"/>
            <w:hideMark/>
          </w:tcPr>
          <w:p w14:paraId="511EB264"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29,12</w:t>
            </w:r>
          </w:p>
        </w:tc>
        <w:tc>
          <w:tcPr>
            <w:tcW w:w="1071" w:type="dxa"/>
            <w:tcBorders>
              <w:top w:val="nil"/>
              <w:left w:val="nil"/>
              <w:bottom w:val="single" w:sz="4" w:space="0" w:color="auto"/>
              <w:right w:val="single" w:sz="4" w:space="0" w:color="auto"/>
            </w:tcBorders>
            <w:shd w:val="clear" w:color="auto" w:fill="auto"/>
            <w:noWrap/>
            <w:vAlign w:val="center"/>
            <w:hideMark/>
          </w:tcPr>
          <w:p w14:paraId="21AE967F"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53,13</w:t>
            </w:r>
          </w:p>
        </w:tc>
        <w:tc>
          <w:tcPr>
            <w:tcW w:w="1167" w:type="dxa"/>
            <w:tcBorders>
              <w:top w:val="nil"/>
              <w:left w:val="nil"/>
              <w:bottom w:val="single" w:sz="4" w:space="0" w:color="auto"/>
              <w:right w:val="single" w:sz="4" w:space="0" w:color="auto"/>
            </w:tcBorders>
            <w:shd w:val="clear" w:color="auto" w:fill="auto"/>
            <w:noWrap/>
            <w:vAlign w:val="center"/>
            <w:hideMark/>
          </w:tcPr>
          <w:p w14:paraId="41D05CC1" w14:textId="77777777" w:rsidR="00591799" w:rsidRPr="00591799" w:rsidRDefault="00591799" w:rsidP="00C94149">
            <w:pPr>
              <w:spacing w:before="0" w:after="0" w:line="240" w:lineRule="auto"/>
              <w:jc w:val="center"/>
              <w:rPr>
                <w:rFonts w:eastAsia="Times New Roman"/>
                <w:color w:val="000000"/>
                <w:sz w:val="22"/>
                <w:lang w:eastAsia="pl-PL"/>
              </w:rPr>
            </w:pPr>
            <w:r w:rsidRPr="00591799">
              <w:rPr>
                <w:rFonts w:eastAsia="Times New Roman"/>
                <w:color w:val="000000"/>
                <w:sz w:val="22"/>
                <w:lang w:eastAsia="pl-PL"/>
              </w:rPr>
              <w:t>92,87</w:t>
            </w:r>
          </w:p>
        </w:tc>
        <w:tc>
          <w:tcPr>
            <w:tcW w:w="1012" w:type="dxa"/>
            <w:tcBorders>
              <w:top w:val="nil"/>
              <w:left w:val="nil"/>
              <w:bottom w:val="single" w:sz="4" w:space="0" w:color="auto"/>
              <w:right w:val="single" w:sz="4" w:space="0" w:color="auto"/>
            </w:tcBorders>
            <w:shd w:val="clear" w:color="auto" w:fill="auto"/>
            <w:noWrap/>
            <w:vAlign w:val="center"/>
            <w:hideMark/>
          </w:tcPr>
          <w:p w14:paraId="7183310D" w14:textId="77777777" w:rsidR="00591799" w:rsidRPr="00591799" w:rsidRDefault="00591799" w:rsidP="00C94149">
            <w:pPr>
              <w:keepNext/>
              <w:spacing w:before="0" w:after="0" w:line="240" w:lineRule="auto"/>
              <w:jc w:val="center"/>
              <w:rPr>
                <w:rFonts w:eastAsia="Times New Roman"/>
                <w:color w:val="000000"/>
                <w:sz w:val="22"/>
                <w:lang w:eastAsia="pl-PL"/>
              </w:rPr>
            </w:pPr>
            <w:r w:rsidRPr="00591799">
              <w:rPr>
                <w:rFonts w:eastAsia="Times New Roman"/>
                <w:color w:val="000000"/>
                <w:sz w:val="22"/>
                <w:lang w:eastAsia="pl-PL"/>
              </w:rPr>
              <w:t>0,27</w:t>
            </w:r>
          </w:p>
        </w:tc>
      </w:tr>
    </w:tbl>
    <w:p w14:paraId="1503E0A8" w14:textId="0F4438E6" w:rsidR="00591799" w:rsidRDefault="00591799" w:rsidP="00591799">
      <w:pPr>
        <w:pStyle w:val="Legenda"/>
        <w:jc w:val="center"/>
      </w:pPr>
      <w:r>
        <w:t xml:space="preserve">Tabela </w:t>
      </w:r>
      <w:fldSimple w:instr=" SEQ Tabela \* ARABIC ">
        <w:r w:rsidR="00EF2DB4">
          <w:rPr>
            <w:noProof/>
          </w:rPr>
          <w:t>2</w:t>
        </w:r>
      </w:fldSimple>
      <w:r>
        <w:t>. Statystyki opisowe.</w:t>
      </w:r>
    </w:p>
    <w:p w14:paraId="1CEF0537" w14:textId="78BF2012" w:rsidR="00591799" w:rsidRDefault="00591799" w:rsidP="00591799">
      <w:r>
        <w:lastRenderedPageBreak/>
        <w:tab/>
      </w:r>
      <w:r w:rsidRPr="00591799">
        <w:t>Statystyki opisowe dla wybranych zmiennych pokazują interesujące zróżnicowanie pomiędzy polskimi województwami. Przykładowo, przeciętne wynagrodzenie (X1) wykazuje relatywnie niską zmienność (współczynnik zmienności 0,09), co sugeruje, że poziom wynagrodzeń w większości województw jest zbliżony, choć wysoka skośność (1,49) wskazuje na kilka województw o wyraźnie wyższych płacach.</w:t>
      </w:r>
      <w:r w:rsidR="009E5CA5">
        <w:t xml:space="preserve"> </w:t>
      </w:r>
      <w:r w:rsidR="009E5CA5" w:rsidRPr="009E5CA5">
        <w:t xml:space="preserve">Z kolei </w:t>
      </w:r>
      <w:r w:rsidR="009E5CA5">
        <w:t xml:space="preserve">z dużą zmiennością mamy do czynienia </w:t>
      </w:r>
      <w:r w:rsidR="009E5CA5" w:rsidRPr="009E5CA5">
        <w:t>w przypadku emisji gazów (X8), gdzie współczynnik zmienności wynosi aż 1,06, co wskazuje na duże zróżnicowanie pod względem zanieczyszczenia powietrza.</w:t>
      </w:r>
    </w:p>
    <w:p w14:paraId="2D9A87A2" w14:textId="2B3D3B43" w:rsidR="009E5CA5" w:rsidRDefault="009E5CA5" w:rsidP="00591799">
      <w:r>
        <w:tab/>
      </w:r>
      <w:r w:rsidRPr="009E5CA5">
        <w:t xml:space="preserve">Warto zwrócić uwagę na niektóre zmienne charakteryzujące się dużą asymetrią rozkładu. Na przykład, liczba parków i terenów zielonych (X11) ma wysoką skośność (2,06) oraz </w:t>
      </w:r>
      <w:proofErr w:type="spellStart"/>
      <w:r w:rsidRPr="009E5CA5">
        <w:t>kurtozę</w:t>
      </w:r>
      <w:proofErr w:type="spellEnd"/>
      <w:r w:rsidRPr="009E5CA5">
        <w:t xml:space="preserve"> (4,31), co oznacza, że tylko nieliczne województwa posiadają wyjątkowo rozległe tereny zielone, podczas gdy w większości przypadków ich ilość jest znacznie mniejsza.</w:t>
      </w:r>
    </w:p>
    <w:p w14:paraId="01ACC44B" w14:textId="4B1D4635" w:rsidR="009E5CA5" w:rsidRDefault="009E5CA5" w:rsidP="00591799">
      <w:r>
        <w:tab/>
      </w:r>
      <w:r w:rsidRPr="009E5CA5">
        <w:t>Podobnie zmienne związane z bezpieczeństwem, takie jak liczba przestępstw (X10) i</w:t>
      </w:r>
      <w:r>
        <w:t> </w:t>
      </w:r>
      <w:r w:rsidRPr="009E5CA5">
        <w:t xml:space="preserve">liczba wypadków drogowych (X12), również charakteryzują się podwyższonymi wartościami skośności i </w:t>
      </w:r>
      <w:proofErr w:type="spellStart"/>
      <w:r w:rsidRPr="009E5CA5">
        <w:t>kurtozy</w:t>
      </w:r>
      <w:proofErr w:type="spellEnd"/>
      <w:r w:rsidRPr="009E5CA5">
        <w:t xml:space="preserve">, co oznacza, że tylko kilka województw znacząco odstaje od reszty pod względem zagrożeń dla bezpieczeństwa. Te czynniki mogą mieć duże znaczenie w ocenie poziomu życia, ponieważ poczucie bezpieczeństwa odgrywa kluczową rolę w subiektywnej ocenie jakości życia. </w:t>
      </w:r>
    </w:p>
    <w:p w14:paraId="2D76CE0F" w14:textId="02778823" w:rsidR="00E80BA4" w:rsidRPr="00E80BA4" w:rsidRDefault="009E5CA5" w:rsidP="00E80BA4">
      <w:pPr>
        <w:ind w:firstLine="708"/>
      </w:pPr>
      <w:r w:rsidRPr="009E5CA5">
        <w:t>Kombinacja</w:t>
      </w:r>
      <w:r>
        <w:t xml:space="preserve"> zaproponowanych</w:t>
      </w:r>
      <w:r w:rsidRPr="009E5CA5">
        <w:t xml:space="preserve"> zmiennych w porządkowaniu liniowym pozwoli na wyłonienie województw, które nie tylko przodują pod względem dobrobytu ekonomicznego, ale również zapewniają bezpieczne i zdrowe warunki życia.</w:t>
      </w:r>
      <w:r>
        <w:t xml:space="preserve"> </w:t>
      </w:r>
    </w:p>
    <w:p w14:paraId="7FD10ED2" w14:textId="7237D7E2" w:rsidR="00E80BA4" w:rsidRPr="00E80BA4" w:rsidRDefault="00E80BA4" w:rsidP="00E80BA4">
      <w:pPr>
        <w:pStyle w:val="Nagwek2"/>
      </w:pPr>
      <w:hyperlink w:anchor="_Spis_treści" w:history="1">
        <w:bookmarkStart w:id="7" w:name="_Toc180602594"/>
        <w:r w:rsidRPr="00E80BA4">
          <w:rPr>
            <w:rStyle w:val="Hipercze"/>
            <w:color w:val="000000" w:themeColor="text1"/>
            <w:u w:val="none"/>
          </w:rPr>
          <w:t>Macierz korelacji</w:t>
        </w:r>
        <w:bookmarkEnd w:id="7"/>
      </w:hyperlink>
    </w:p>
    <w:p w14:paraId="62C2985A" w14:textId="15D69B75" w:rsidR="009E5CA5" w:rsidRDefault="009E5CA5" w:rsidP="009E5CA5">
      <w:pPr>
        <w:ind w:firstLine="708"/>
      </w:pPr>
      <w:r>
        <w:t>Warto jednak jeszcze zwrócić uwagę na macierz korelacji, która również może wstępnie dostarczyć kilku istotnych informacji.</w:t>
      </w:r>
      <w:r w:rsidR="00E80BA4">
        <w:t xml:space="preserve"> W obliczeniach zdecydowałem się na skorzystanie z korelacji Tau Kendalla, z uwagi na małą liczbę danych w próbie (16). Ponadto wysoka skośność rozkładu niektórych zmiennych, świadczy o pochodzeniu danych z rozkładów, które nie są zbliżone do rozkładu normalnego, wobec czego użycie korelacji np. Pearsona mogłoby być mało precyzyjne.</w:t>
      </w:r>
    </w:p>
    <w:p w14:paraId="2D6203AB" w14:textId="77777777" w:rsidR="00E80BA4" w:rsidRDefault="00E80BA4" w:rsidP="00C94149"/>
    <w:tbl>
      <w:tblPr>
        <w:tblW w:w="9144" w:type="dxa"/>
        <w:jc w:val="center"/>
        <w:tblCellMar>
          <w:left w:w="70" w:type="dxa"/>
          <w:right w:w="70" w:type="dxa"/>
        </w:tblCellMar>
        <w:tblLook w:val="04A0" w:firstRow="1" w:lastRow="0" w:firstColumn="1" w:lastColumn="0" w:noHBand="0" w:noVBand="1"/>
      </w:tblPr>
      <w:tblGrid>
        <w:gridCol w:w="984"/>
        <w:gridCol w:w="680"/>
        <w:gridCol w:w="680"/>
        <w:gridCol w:w="680"/>
        <w:gridCol w:w="680"/>
        <w:gridCol w:w="680"/>
        <w:gridCol w:w="680"/>
        <w:gridCol w:w="680"/>
        <w:gridCol w:w="680"/>
        <w:gridCol w:w="680"/>
        <w:gridCol w:w="680"/>
        <w:gridCol w:w="680"/>
        <w:gridCol w:w="680"/>
      </w:tblGrid>
      <w:tr w:rsidR="00853A26" w:rsidRPr="00853A26" w14:paraId="5BFA9144" w14:textId="77777777" w:rsidTr="00DB00DE">
        <w:trPr>
          <w:trHeight w:hRule="exact" w:val="454"/>
          <w:jc w:val="center"/>
        </w:trPr>
        <w:tc>
          <w:tcPr>
            <w:tcW w:w="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F3D9EFD" w14:textId="1FC759BF"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lastRenderedPageBreak/>
              <w:t>Zmienna</w:t>
            </w:r>
          </w:p>
        </w:tc>
        <w:tc>
          <w:tcPr>
            <w:tcW w:w="68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A092FAB" w14:textId="77777777"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X1</w:t>
            </w:r>
          </w:p>
        </w:tc>
        <w:tc>
          <w:tcPr>
            <w:tcW w:w="68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D769235" w14:textId="77777777"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X2</w:t>
            </w:r>
          </w:p>
        </w:tc>
        <w:tc>
          <w:tcPr>
            <w:tcW w:w="68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8D3C1FD" w14:textId="77777777"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X3</w:t>
            </w:r>
          </w:p>
        </w:tc>
        <w:tc>
          <w:tcPr>
            <w:tcW w:w="68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EC5CC5F" w14:textId="77777777"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X4</w:t>
            </w:r>
          </w:p>
        </w:tc>
        <w:tc>
          <w:tcPr>
            <w:tcW w:w="68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53E1A98" w14:textId="77777777"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X5</w:t>
            </w:r>
          </w:p>
        </w:tc>
        <w:tc>
          <w:tcPr>
            <w:tcW w:w="68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A8F415C" w14:textId="77777777"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X6</w:t>
            </w:r>
          </w:p>
        </w:tc>
        <w:tc>
          <w:tcPr>
            <w:tcW w:w="68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4CB6847" w14:textId="77777777"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X7</w:t>
            </w:r>
          </w:p>
        </w:tc>
        <w:tc>
          <w:tcPr>
            <w:tcW w:w="68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A6C16F3" w14:textId="77777777"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X8</w:t>
            </w:r>
          </w:p>
        </w:tc>
        <w:tc>
          <w:tcPr>
            <w:tcW w:w="68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FB95A17" w14:textId="77777777"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X9</w:t>
            </w:r>
          </w:p>
        </w:tc>
        <w:tc>
          <w:tcPr>
            <w:tcW w:w="68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4C22131" w14:textId="77777777"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X10</w:t>
            </w:r>
          </w:p>
        </w:tc>
        <w:tc>
          <w:tcPr>
            <w:tcW w:w="68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67FF971" w14:textId="77777777"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X11</w:t>
            </w:r>
          </w:p>
        </w:tc>
        <w:tc>
          <w:tcPr>
            <w:tcW w:w="68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6913713" w14:textId="77777777"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X12</w:t>
            </w:r>
          </w:p>
        </w:tc>
      </w:tr>
      <w:tr w:rsidR="00853A26" w:rsidRPr="00853A26" w14:paraId="53336E2E" w14:textId="77777777" w:rsidTr="00DB00DE">
        <w:trPr>
          <w:trHeight w:hRule="exact" w:val="454"/>
          <w:jc w:val="center"/>
        </w:trPr>
        <w:tc>
          <w:tcPr>
            <w:tcW w:w="984"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6A3D4D7" w14:textId="77777777"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X1</w:t>
            </w:r>
          </w:p>
        </w:tc>
        <w:tc>
          <w:tcPr>
            <w:tcW w:w="680" w:type="dxa"/>
            <w:tcBorders>
              <w:top w:val="nil"/>
              <w:left w:val="nil"/>
              <w:bottom w:val="single" w:sz="4" w:space="0" w:color="auto"/>
              <w:right w:val="single" w:sz="4" w:space="0" w:color="auto"/>
            </w:tcBorders>
            <w:shd w:val="clear" w:color="auto" w:fill="auto"/>
            <w:noWrap/>
            <w:vAlign w:val="center"/>
            <w:hideMark/>
          </w:tcPr>
          <w:p w14:paraId="46290E9A" w14:textId="77777777" w:rsidR="00853A26" w:rsidRPr="00325478" w:rsidRDefault="00853A26" w:rsidP="00853A26">
            <w:pPr>
              <w:spacing w:before="0" w:after="0" w:line="240" w:lineRule="auto"/>
              <w:jc w:val="center"/>
              <w:rPr>
                <w:rFonts w:eastAsia="Times New Roman"/>
                <w:b/>
                <w:bCs/>
                <w:color w:val="000000"/>
                <w:sz w:val="22"/>
                <w:lang w:eastAsia="pl-PL"/>
              </w:rPr>
            </w:pPr>
            <w:r w:rsidRPr="00325478">
              <w:rPr>
                <w:rFonts w:eastAsia="Times New Roman"/>
                <w:b/>
                <w:bCs/>
                <w:color w:val="000000"/>
                <w:sz w:val="22"/>
                <w:lang w:eastAsia="pl-PL"/>
              </w:rPr>
              <w:t>1.00</w:t>
            </w:r>
          </w:p>
        </w:tc>
        <w:tc>
          <w:tcPr>
            <w:tcW w:w="680" w:type="dxa"/>
            <w:tcBorders>
              <w:top w:val="nil"/>
              <w:left w:val="nil"/>
              <w:bottom w:val="single" w:sz="4" w:space="0" w:color="auto"/>
              <w:right w:val="single" w:sz="4" w:space="0" w:color="auto"/>
            </w:tcBorders>
            <w:shd w:val="clear" w:color="auto" w:fill="auto"/>
            <w:noWrap/>
            <w:vAlign w:val="center"/>
            <w:hideMark/>
          </w:tcPr>
          <w:p w14:paraId="30220343"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-0.66</w:t>
            </w:r>
          </w:p>
        </w:tc>
        <w:tc>
          <w:tcPr>
            <w:tcW w:w="680" w:type="dxa"/>
            <w:tcBorders>
              <w:top w:val="nil"/>
              <w:left w:val="nil"/>
              <w:bottom w:val="single" w:sz="4" w:space="0" w:color="auto"/>
              <w:right w:val="single" w:sz="4" w:space="0" w:color="auto"/>
            </w:tcBorders>
            <w:shd w:val="clear" w:color="auto" w:fill="auto"/>
            <w:noWrap/>
            <w:vAlign w:val="center"/>
            <w:hideMark/>
          </w:tcPr>
          <w:p w14:paraId="23E3E899"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0.44</w:t>
            </w:r>
          </w:p>
        </w:tc>
        <w:tc>
          <w:tcPr>
            <w:tcW w:w="680" w:type="dxa"/>
            <w:tcBorders>
              <w:top w:val="nil"/>
              <w:left w:val="nil"/>
              <w:bottom w:val="single" w:sz="4" w:space="0" w:color="auto"/>
              <w:right w:val="single" w:sz="4" w:space="0" w:color="auto"/>
            </w:tcBorders>
            <w:shd w:val="clear" w:color="auto" w:fill="auto"/>
            <w:noWrap/>
            <w:vAlign w:val="center"/>
            <w:hideMark/>
          </w:tcPr>
          <w:p w14:paraId="795F0574"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0.48</w:t>
            </w:r>
          </w:p>
        </w:tc>
        <w:tc>
          <w:tcPr>
            <w:tcW w:w="680" w:type="dxa"/>
            <w:tcBorders>
              <w:top w:val="nil"/>
              <w:left w:val="nil"/>
              <w:bottom w:val="single" w:sz="4" w:space="0" w:color="auto"/>
              <w:right w:val="single" w:sz="4" w:space="0" w:color="auto"/>
            </w:tcBorders>
            <w:shd w:val="clear" w:color="auto" w:fill="auto"/>
            <w:noWrap/>
            <w:vAlign w:val="center"/>
            <w:hideMark/>
          </w:tcPr>
          <w:p w14:paraId="4D61251B"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-0.02</w:t>
            </w:r>
          </w:p>
        </w:tc>
        <w:tc>
          <w:tcPr>
            <w:tcW w:w="680" w:type="dxa"/>
            <w:tcBorders>
              <w:top w:val="nil"/>
              <w:left w:val="nil"/>
              <w:bottom w:val="single" w:sz="4" w:space="0" w:color="auto"/>
              <w:right w:val="single" w:sz="4" w:space="0" w:color="auto"/>
            </w:tcBorders>
            <w:shd w:val="clear" w:color="auto" w:fill="auto"/>
            <w:noWrap/>
            <w:vAlign w:val="center"/>
            <w:hideMark/>
          </w:tcPr>
          <w:p w14:paraId="22D9614A"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0.43</w:t>
            </w:r>
          </w:p>
        </w:tc>
        <w:tc>
          <w:tcPr>
            <w:tcW w:w="680" w:type="dxa"/>
            <w:tcBorders>
              <w:top w:val="nil"/>
              <w:left w:val="nil"/>
              <w:bottom w:val="single" w:sz="4" w:space="0" w:color="auto"/>
              <w:right w:val="single" w:sz="4" w:space="0" w:color="auto"/>
            </w:tcBorders>
            <w:shd w:val="clear" w:color="auto" w:fill="auto"/>
            <w:noWrap/>
            <w:vAlign w:val="center"/>
            <w:hideMark/>
          </w:tcPr>
          <w:p w14:paraId="08761D9E"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0.35</w:t>
            </w:r>
          </w:p>
        </w:tc>
        <w:tc>
          <w:tcPr>
            <w:tcW w:w="680" w:type="dxa"/>
            <w:tcBorders>
              <w:top w:val="nil"/>
              <w:left w:val="nil"/>
              <w:bottom w:val="single" w:sz="4" w:space="0" w:color="auto"/>
              <w:right w:val="single" w:sz="4" w:space="0" w:color="auto"/>
            </w:tcBorders>
            <w:shd w:val="clear" w:color="auto" w:fill="auto"/>
            <w:noWrap/>
            <w:vAlign w:val="center"/>
            <w:hideMark/>
          </w:tcPr>
          <w:p w14:paraId="365ADFAF"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0.43</w:t>
            </w:r>
          </w:p>
        </w:tc>
        <w:tc>
          <w:tcPr>
            <w:tcW w:w="680" w:type="dxa"/>
            <w:tcBorders>
              <w:top w:val="nil"/>
              <w:left w:val="nil"/>
              <w:bottom w:val="single" w:sz="4" w:space="0" w:color="auto"/>
              <w:right w:val="single" w:sz="4" w:space="0" w:color="auto"/>
            </w:tcBorders>
            <w:shd w:val="clear" w:color="auto" w:fill="auto"/>
            <w:noWrap/>
            <w:vAlign w:val="center"/>
            <w:hideMark/>
          </w:tcPr>
          <w:p w14:paraId="574419A2"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0.42</w:t>
            </w:r>
          </w:p>
        </w:tc>
        <w:tc>
          <w:tcPr>
            <w:tcW w:w="680" w:type="dxa"/>
            <w:tcBorders>
              <w:top w:val="nil"/>
              <w:left w:val="nil"/>
              <w:bottom w:val="single" w:sz="4" w:space="0" w:color="auto"/>
              <w:right w:val="single" w:sz="4" w:space="0" w:color="auto"/>
            </w:tcBorders>
            <w:shd w:val="clear" w:color="auto" w:fill="auto"/>
            <w:noWrap/>
            <w:vAlign w:val="center"/>
            <w:hideMark/>
          </w:tcPr>
          <w:p w14:paraId="6A984C9E"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0.40</w:t>
            </w:r>
          </w:p>
        </w:tc>
        <w:tc>
          <w:tcPr>
            <w:tcW w:w="680" w:type="dxa"/>
            <w:tcBorders>
              <w:top w:val="nil"/>
              <w:left w:val="nil"/>
              <w:bottom w:val="single" w:sz="4" w:space="0" w:color="auto"/>
              <w:right w:val="single" w:sz="4" w:space="0" w:color="auto"/>
            </w:tcBorders>
            <w:shd w:val="clear" w:color="auto" w:fill="auto"/>
            <w:noWrap/>
            <w:vAlign w:val="center"/>
            <w:hideMark/>
          </w:tcPr>
          <w:p w14:paraId="6FC03165"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0.28</w:t>
            </w:r>
          </w:p>
        </w:tc>
        <w:tc>
          <w:tcPr>
            <w:tcW w:w="680" w:type="dxa"/>
            <w:tcBorders>
              <w:top w:val="nil"/>
              <w:left w:val="nil"/>
              <w:bottom w:val="single" w:sz="4" w:space="0" w:color="auto"/>
              <w:right w:val="single" w:sz="4" w:space="0" w:color="auto"/>
            </w:tcBorders>
            <w:shd w:val="clear" w:color="auto" w:fill="auto"/>
            <w:noWrap/>
            <w:vAlign w:val="center"/>
            <w:hideMark/>
          </w:tcPr>
          <w:p w14:paraId="3B33F464"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0.20</w:t>
            </w:r>
          </w:p>
        </w:tc>
      </w:tr>
      <w:tr w:rsidR="00853A26" w:rsidRPr="00853A26" w14:paraId="3D34D998" w14:textId="77777777" w:rsidTr="00DB00DE">
        <w:trPr>
          <w:trHeight w:hRule="exact" w:val="454"/>
          <w:jc w:val="center"/>
        </w:trPr>
        <w:tc>
          <w:tcPr>
            <w:tcW w:w="984"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716A9FB" w14:textId="77777777"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X2</w:t>
            </w:r>
          </w:p>
        </w:tc>
        <w:tc>
          <w:tcPr>
            <w:tcW w:w="680" w:type="dxa"/>
            <w:tcBorders>
              <w:top w:val="nil"/>
              <w:left w:val="nil"/>
              <w:bottom w:val="single" w:sz="4" w:space="0" w:color="auto"/>
              <w:right w:val="single" w:sz="4" w:space="0" w:color="auto"/>
            </w:tcBorders>
            <w:shd w:val="clear" w:color="auto" w:fill="auto"/>
            <w:noWrap/>
            <w:vAlign w:val="center"/>
            <w:hideMark/>
          </w:tcPr>
          <w:p w14:paraId="3B840921"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-0.66</w:t>
            </w:r>
          </w:p>
        </w:tc>
        <w:tc>
          <w:tcPr>
            <w:tcW w:w="680" w:type="dxa"/>
            <w:tcBorders>
              <w:top w:val="nil"/>
              <w:left w:val="nil"/>
              <w:bottom w:val="single" w:sz="4" w:space="0" w:color="auto"/>
              <w:right w:val="single" w:sz="4" w:space="0" w:color="auto"/>
            </w:tcBorders>
            <w:shd w:val="clear" w:color="auto" w:fill="auto"/>
            <w:noWrap/>
            <w:vAlign w:val="center"/>
            <w:hideMark/>
          </w:tcPr>
          <w:p w14:paraId="535F1612" w14:textId="77777777" w:rsidR="00853A26" w:rsidRPr="00325478" w:rsidRDefault="00853A26" w:rsidP="00853A26">
            <w:pPr>
              <w:spacing w:before="0" w:after="0" w:line="240" w:lineRule="auto"/>
              <w:jc w:val="center"/>
              <w:rPr>
                <w:rFonts w:eastAsia="Times New Roman"/>
                <w:b/>
                <w:bCs/>
                <w:color w:val="000000"/>
                <w:sz w:val="22"/>
                <w:lang w:eastAsia="pl-PL"/>
              </w:rPr>
            </w:pPr>
            <w:r w:rsidRPr="00325478">
              <w:rPr>
                <w:rFonts w:eastAsia="Times New Roman"/>
                <w:b/>
                <w:bCs/>
                <w:color w:val="000000"/>
                <w:sz w:val="22"/>
                <w:lang w:eastAsia="pl-PL"/>
              </w:rPr>
              <w:t>1.00</w:t>
            </w:r>
          </w:p>
        </w:tc>
        <w:tc>
          <w:tcPr>
            <w:tcW w:w="680" w:type="dxa"/>
            <w:tcBorders>
              <w:top w:val="nil"/>
              <w:left w:val="nil"/>
              <w:bottom w:val="single" w:sz="4" w:space="0" w:color="auto"/>
              <w:right w:val="single" w:sz="4" w:space="0" w:color="auto"/>
            </w:tcBorders>
            <w:shd w:val="clear" w:color="auto" w:fill="auto"/>
            <w:noWrap/>
            <w:vAlign w:val="center"/>
            <w:hideMark/>
          </w:tcPr>
          <w:p w14:paraId="01DE9DA4"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-0.20</w:t>
            </w:r>
          </w:p>
        </w:tc>
        <w:tc>
          <w:tcPr>
            <w:tcW w:w="680" w:type="dxa"/>
            <w:tcBorders>
              <w:top w:val="nil"/>
              <w:left w:val="nil"/>
              <w:bottom w:val="single" w:sz="4" w:space="0" w:color="auto"/>
              <w:right w:val="single" w:sz="4" w:space="0" w:color="auto"/>
            </w:tcBorders>
            <w:shd w:val="clear" w:color="auto" w:fill="auto"/>
            <w:noWrap/>
            <w:vAlign w:val="center"/>
            <w:hideMark/>
          </w:tcPr>
          <w:p w14:paraId="54523BAC"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-0.31</w:t>
            </w:r>
          </w:p>
        </w:tc>
        <w:tc>
          <w:tcPr>
            <w:tcW w:w="680" w:type="dxa"/>
            <w:tcBorders>
              <w:top w:val="nil"/>
              <w:left w:val="nil"/>
              <w:bottom w:val="single" w:sz="4" w:space="0" w:color="auto"/>
              <w:right w:val="single" w:sz="4" w:space="0" w:color="auto"/>
            </w:tcBorders>
            <w:shd w:val="clear" w:color="auto" w:fill="auto"/>
            <w:noWrap/>
            <w:vAlign w:val="center"/>
            <w:hideMark/>
          </w:tcPr>
          <w:p w14:paraId="71C81DEF"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-0.01</w:t>
            </w:r>
          </w:p>
        </w:tc>
        <w:tc>
          <w:tcPr>
            <w:tcW w:w="680" w:type="dxa"/>
            <w:tcBorders>
              <w:top w:val="nil"/>
              <w:left w:val="nil"/>
              <w:bottom w:val="single" w:sz="4" w:space="0" w:color="auto"/>
              <w:right w:val="single" w:sz="4" w:space="0" w:color="auto"/>
            </w:tcBorders>
            <w:shd w:val="clear" w:color="auto" w:fill="auto"/>
            <w:noWrap/>
            <w:vAlign w:val="center"/>
            <w:hideMark/>
          </w:tcPr>
          <w:p w14:paraId="2531529C"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-0.23</w:t>
            </w:r>
          </w:p>
        </w:tc>
        <w:tc>
          <w:tcPr>
            <w:tcW w:w="680" w:type="dxa"/>
            <w:tcBorders>
              <w:top w:val="nil"/>
              <w:left w:val="nil"/>
              <w:bottom w:val="single" w:sz="4" w:space="0" w:color="auto"/>
              <w:right w:val="single" w:sz="4" w:space="0" w:color="auto"/>
            </w:tcBorders>
            <w:shd w:val="clear" w:color="auto" w:fill="auto"/>
            <w:noWrap/>
            <w:vAlign w:val="center"/>
            <w:hideMark/>
          </w:tcPr>
          <w:p w14:paraId="703AFD04"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-0.24</w:t>
            </w:r>
          </w:p>
        </w:tc>
        <w:tc>
          <w:tcPr>
            <w:tcW w:w="680" w:type="dxa"/>
            <w:tcBorders>
              <w:top w:val="nil"/>
              <w:left w:val="nil"/>
              <w:bottom w:val="single" w:sz="4" w:space="0" w:color="auto"/>
              <w:right w:val="single" w:sz="4" w:space="0" w:color="auto"/>
            </w:tcBorders>
            <w:shd w:val="clear" w:color="auto" w:fill="auto"/>
            <w:noWrap/>
            <w:vAlign w:val="center"/>
            <w:hideMark/>
          </w:tcPr>
          <w:p w14:paraId="22097432"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-0.33</w:t>
            </w:r>
          </w:p>
        </w:tc>
        <w:tc>
          <w:tcPr>
            <w:tcW w:w="680" w:type="dxa"/>
            <w:tcBorders>
              <w:top w:val="nil"/>
              <w:left w:val="nil"/>
              <w:bottom w:val="single" w:sz="4" w:space="0" w:color="auto"/>
              <w:right w:val="single" w:sz="4" w:space="0" w:color="auto"/>
            </w:tcBorders>
            <w:shd w:val="clear" w:color="auto" w:fill="auto"/>
            <w:noWrap/>
            <w:vAlign w:val="center"/>
            <w:hideMark/>
          </w:tcPr>
          <w:p w14:paraId="5FBB71A9"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-0.34</w:t>
            </w:r>
          </w:p>
        </w:tc>
        <w:tc>
          <w:tcPr>
            <w:tcW w:w="680" w:type="dxa"/>
            <w:tcBorders>
              <w:top w:val="nil"/>
              <w:left w:val="nil"/>
              <w:bottom w:val="single" w:sz="4" w:space="0" w:color="auto"/>
              <w:right w:val="single" w:sz="4" w:space="0" w:color="auto"/>
            </w:tcBorders>
            <w:shd w:val="clear" w:color="auto" w:fill="auto"/>
            <w:noWrap/>
            <w:vAlign w:val="center"/>
            <w:hideMark/>
          </w:tcPr>
          <w:p w14:paraId="350455E2"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-0.41</w:t>
            </w:r>
          </w:p>
        </w:tc>
        <w:tc>
          <w:tcPr>
            <w:tcW w:w="680" w:type="dxa"/>
            <w:tcBorders>
              <w:top w:val="nil"/>
              <w:left w:val="nil"/>
              <w:bottom w:val="single" w:sz="4" w:space="0" w:color="auto"/>
              <w:right w:val="single" w:sz="4" w:space="0" w:color="auto"/>
            </w:tcBorders>
            <w:shd w:val="clear" w:color="auto" w:fill="auto"/>
            <w:noWrap/>
            <w:vAlign w:val="center"/>
            <w:hideMark/>
          </w:tcPr>
          <w:p w14:paraId="025F91C0"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-0.28</w:t>
            </w:r>
          </w:p>
        </w:tc>
        <w:tc>
          <w:tcPr>
            <w:tcW w:w="680" w:type="dxa"/>
            <w:tcBorders>
              <w:top w:val="nil"/>
              <w:left w:val="nil"/>
              <w:bottom w:val="single" w:sz="4" w:space="0" w:color="auto"/>
              <w:right w:val="single" w:sz="4" w:space="0" w:color="auto"/>
            </w:tcBorders>
            <w:shd w:val="clear" w:color="auto" w:fill="auto"/>
            <w:noWrap/>
            <w:vAlign w:val="center"/>
            <w:hideMark/>
          </w:tcPr>
          <w:p w14:paraId="276733A4"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-0.16</w:t>
            </w:r>
          </w:p>
        </w:tc>
      </w:tr>
      <w:tr w:rsidR="00853A26" w:rsidRPr="00853A26" w14:paraId="3846532B" w14:textId="77777777" w:rsidTr="00DB00DE">
        <w:trPr>
          <w:trHeight w:hRule="exact" w:val="454"/>
          <w:jc w:val="center"/>
        </w:trPr>
        <w:tc>
          <w:tcPr>
            <w:tcW w:w="984"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8C83D9" w14:textId="77777777"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X3</w:t>
            </w:r>
          </w:p>
        </w:tc>
        <w:tc>
          <w:tcPr>
            <w:tcW w:w="680" w:type="dxa"/>
            <w:tcBorders>
              <w:top w:val="nil"/>
              <w:left w:val="nil"/>
              <w:bottom w:val="single" w:sz="4" w:space="0" w:color="auto"/>
              <w:right w:val="single" w:sz="4" w:space="0" w:color="auto"/>
            </w:tcBorders>
            <w:shd w:val="clear" w:color="auto" w:fill="auto"/>
            <w:noWrap/>
            <w:vAlign w:val="center"/>
            <w:hideMark/>
          </w:tcPr>
          <w:p w14:paraId="3CAAD753"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0.44</w:t>
            </w:r>
          </w:p>
        </w:tc>
        <w:tc>
          <w:tcPr>
            <w:tcW w:w="680" w:type="dxa"/>
            <w:tcBorders>
              <w:top w:val="nil"/>
              <w:left w:val="nil"/>
              <w:bottom w:val="single" w:sz="4" w:space="0" w:color="auto"/>
              <w:right w:val="single" w:sz="4" w:space="0" w:color="auto"/>
            </w:tcBorders>
            <w:shd w:val="clear" w:color="auto" w:fill="auto"/>
            <w:noWrap/>
            <w:vAlign w:val="center"/>
            <w:hideMark/>
          </w:tcPr>
          <w:p w14:paraId="01136D8A"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-0.20</w:t>
            </w:r>
          </w:p>
        </w:tc>
        <w:tc>
          <w:tcPr>
            <w:tcW w:w="680" w:type="dxa"/>
            <w:tcBorders>
              <w:top w:val="nil"/>
              <w:left w:val="nil"/>
              <w:bottom w:val="single" w:sz="4" w:space="0" w:color="auto"/>
              <w:right w:val="single" w:sz="4" w:space="0" w:color="auto"/>
            </w:tcBorders>
            <w:shd w:val="clear" w:color="auto" w:fill="auto"/>
            <w:noWrap/>
            <w:vAlign w:val="center"/>
            <w:hideMark/>
          </w:tcPr>
          <w:p w14:paraId="615DE733" w14:textId="77777777" w:rsidR="00853A26" w:rsidRPr="00325478" w:rsidRDefault="00853A26" w:rsidP="00853A26">
            <w:pPr>
              <w:spacing w:before="0" w:after="0" w:line="240" w:lineRule="auto"/>
              <w:jc w:val="center"/>
              <w:rPr>
                <w:rFonts w:eastAsia="Times New Roman"/>
                <w:b/>
                <w:bCs/>
                <w:color w:val="000000"/>
                <w:sz w:val="22"/>
                <w:lang w:eastAsia="pl-PL"/>
              </w:rPr>
            </w:pPr>
            <w:r w:rsidRPr="00325478">
              <w:rPr>
                <w:rFonts w:eastAsia="Times New Roman"/>
                <w:b/>
                <w:bCs/>
                <w:color w:val="000000"/>
                <w:sz w:val="22"/>
                <w:lang w:eastAsia="pl-PL"/>
              </w:rPr>
              <w:t>1.00</w:t>
            </w:r>
          </w:p>
        </w:tc>
        <w:tc>
          <w:tcPr>
            <w:tcW w:w="680" w:type="dxa"/>
            <w:tcBorders>
              <w:top w:val="nil"/>
              <w:left w:val="nil"/>
              <w:bottom w:val="single" w:sz="4" w:space="0" w:color="auto"/>
              <w:right w:val="single" w:sz="4" w:space="0" w:color="auto"/>
            </w:tcBorders>
            <w:shd w:val="clear" w:color="auto" w:fill="auto"/>
            <w:noWrap/>
            <w:vAlign w:val="center"/>
            <w:hideMark/>
          </w:tcPr>
          <w:p w14:paraId="6A7B85D7"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0.26</w:t>
            </w:r>
          </w:p>
        </w:tc>
        <w:tc>
          <w:tcPr>
            <w:tcW w:w="680" w:type="dxa"/>
            <w:tcBorders>
              <w:top w:val="nil"/>
              <w:left w:val="nil"/>
              <w:bottom w:val="single" w:sz="4" w:space="0" w:color="auto"/>
              <w:right w:val="single" w:sz="4" w:space="0" w:color="auto"/>
            </w:tcBorders>
            <w:shd w:val="clear" w:color="auto" w:fill="auto"/>
            <w:noWrap/>
            <w:vAlign w:val="center"/>
            <w:hideMark/>
          </w:tcPr>
          <w:p w14:paraId="1FCA6725"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0.21</w:t>
            </w:r>
          </w:p>
        </w:tc>
        <w:tc>
          <w:tcPr>
            <w:tcW w:w="680" w:type="dxa"/>
            <w:tcBorders>
              <w:top w:val="nil"/>
              <w:left w:val="nil"/>
              <w:bottom w:val="single" w:sz="4" w:space="0" w:color="auto"/>
              <w:right w:val="single" w:sz="4" w:space="0" w:color="auto"/>
            </w:tcBorders>
            <w:shd w:val="clear" w:color="auto" w:fill="auto"/>
            <w:noWrap/>
            <w:vAlign w:val="center"/>
            <w:hideMark/>
          </w:tcPr>
          <w:p w14:paraId="32E3A858"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0.43</w:t>
            </w:r>
          </w:p>
        </w:tc>
        <w:tc>
          <w:tcPr>
            <w:tcW w:w="680" w:type="dxa"/>
            <w:tcBorders>
              <w:top w:val="nil"/>
              <w:left w:val="nil"/>
              <w:bottom w:val="single" w:sz="4" w:space="0" w:color="auto"/>
              <w:right w:val="single" w:sz="4" w:space="0" w:color="auto"/>
            </w:tcBorders>
            <w:shd w:val="clear" w:color="auto" w:fill="auto"/>
            <w:noWrap/>
            <w:vAlign w:val="center"/>
            <w:hideMark/>
          </w:tcPr>
          <w:p w14:paraId="62BE10C2"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0.46</w:t>
            </w:r>
          </w:p>
        </w:tc>
        <w:tc>
          <w:tcPr>
            <w:tcW w:w="680" w:type="dxa"/>
            <w:tcBorders>
              <w:top w:val="nil"/>
              <w:left w:val="nil"/>
              <w:bottom w:val="single" w:sz="4" w:space="0" w:color="auto"/>
              <w:right w:val="single" w:sz="4" w:space="0" w:color="auto"/>
            </w:tcBorders>
            <w:shd w:val="clear" w:color="auto" w:fill="auto"/>
            <w:noWrap/>
            <w:vAlign w:val="center"/>
            <w:hideMark/>
          </w:tcPr>
          <w:p w14:paraId="3095C5AF"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0.33</w:t>
            </w:r>
          </w:p>
        </w:tc>
        <w:tc>
          <w:tcPr>
            <w:tcW w:w="680" w:type="dxa"/>
            <w:tcBorders>
              <w:top w:val="nil"/>
              <w:left w:val="nil"/>
              <w:bottom w:val="single" w:sz="4" w:space="0" w:color="auto"/>
              <w:right w:val="single" w:sz="4" w:space="0" w:color="auto"/>
            </w:tcBorders>
            <w:shd w:val="clear" w:color="auto" w:fill="auto"/>
            <w:noWrap/>
            <w:vAlign w:val="center"/>
            <w:hideMark/>
          </w:tcPr>
          <w:p w14:paraId="7CCD90EE"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0.09</w:t>
            </w:r>
          </w:p>
        </w:tc>
        <w:tc>
          <w:tcPr>
            <w:tcW w:w="680" w:type="dxa"/>
            <w:tcBorders>
              <w:top w:val="nil"/>
              <w:left w:val="nil"/>
              <w:bottom w:val="single" w:sz="4" w:space="0" w:color="auto"/>
              <w:right w:val="single" w:sz="4" w:space="0" w:color="auto"/>
            </w:tcBorders>
            <w:shd w:val="clear" w:color="auto" w:fill="auto"/>
            <w:noWrap/>
            <w:vAlign w:val="center"/>
            <w:hideMark/>
          </w:tcPr>
          <w:p w14:paraId="753DE9CD"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0.14</w:t>
            </w:r>
          </w:p>
        </w:tc>
        <w:tc>
          <w:tcPr>
            <w:tcW w:w="680" w:type="dxa"/>
            <w:tcBorders>
              <w:top w:val="nil"/>
              <w:left w:val="nil"/>
              <w:bottom w:val="single" w:sz="4" w:space="0" w:color="auto"/>
              <w:right w:val="single" w:sz="4" w:space="0" w:color="auto"/>
            </w:tcBorders>
            <w:shd w:val="clear" w:color="auto" w:fill="auto"/>
            <w:noWrap/>
            <w:vAlign w:val="center"/>
            <w:hideMark/>
          </w:tcPr>
          <w:p w14:paraId="633F5A87"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-0.03</w:t>
            </w:r>
          </w:p>
        </w:tc>
        <w:tc>
          <w:tcPr>
            <w:tcW w:w="680" w:type="dxa"/>
            <w:tcBorders>
              <w:top w:val="nil"/>
              <w:left w:val="nil"/>
              <w:bottom w:val="single" w:sz="4" w:space="0" w:color="auto"/>
              <w:right w:val="single" w:sz="4" w:space="0" w:color="auto"/>
            </w:tcBorders>
            <w:shd w:val="clear" w:color="auto" w:fill="auto"/>
            <w:noWrap/>
            <w:vAlign w:val="center"/>
            <w:hideMark/>
          </w:tcPr>
          <w:p w14:paraId="1080CD08"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0.06</w:t>
            </w:r>
          </w:p>
        </w:tc>
      </w:tr>
      <w:tr w:rsidR="00853A26" w:rsidRPr="00853A26" w14:paraId="7A0CCF9D" w14:textId="77777777" w:rsidTr="00DB00DE">
        <w:trPr>
          <w:trHeight w:hRule="exact" w:val="454"/>
          <w:jc w:val="center"/>
        </w:trPr>
        <w:tc>
          <w:tcPr>
            <w:tcW w:w="984"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CF1795A" w14:textId="77777777"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X4</w:t>
            </w:r>
          </w:p>
        </w:tc>
        <w:tc>
          <w:tcPr>
            <w:tcW w:w="680" w:type="dxa"/>
            <w:tcBorders>
              <w:top w:val="nil"/>
              <w:left w:val="nil"/>
              <w:bottom w:val="single" w:sz="4" w:space="0" w:color="auto"/>
              <w:right w:val="single" w:sz="4" w:space="0" w:color="auto"/>
            </w:tcBorders>
            <w:shd w:val="clear" w:color="auto" w:fill="auto"/>
            <w:noWrap/>
            <w:vAlign w:val="center"/>
            <w:hideMark/>
          </w:tcPr>
          <w:p w14:paraId="56C95EA4"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0.48</w:t>
            </w:r>
          </w:p>
        </w:tc>
        <w:tc>
          <w:tcPr>
            <w:tcW w:w="680" w:type="dxa"/>
            <w:tcBorders>
              <w:top w:val="nil"/>
              <w:left w:val="nil"/>
              <w:bottom w:val="single" w:sz="4" w:space="0" w:color="auto"/>
              <w:right w:val="single" w:sz="4" w:space="0" w:color="auto"/>
            </w:tcBorders>
            <w:shd w:val="clear" w:color="auto" w:fill="auto"/>
            <w:noWrap/>
            <w:vAlign w:val="center"/>
            <w:hideMark/>
          </w:tcPr>
          <w:p w14:paraId="06409778"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-0.31</w:t>
            </w:r>
          </w:p>
        </w:tc>
        <w:tc>
          <w:tcPr>
            <w:tcW w:w="680" w:type="dxa"/>
            <w:tcBorders>
              <w:top w:val="nil"/>
              <w:left w:val="nil"/>
              <w:bottom w:val="single" w:sz="4" w:space="0" w:color="auto"/>
              <w:right w:val="single" w:sz="4" w:space="0" w:color="auto"/>
            </w:tcBorders>
            <w:shd w:val="clear" w:color="auto" w:fill="auto"/>
            <w:noWrap/>
            <w:vAlign w:val="center"/>
            <w:hideMark/>
          </w:tcPr>
          <w:p w14:paraId="76FF7A8E"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0.26</w:t>
            </w:r>
          </w:p>
        </w:tc>
        <w:tc>
          <w:tcPr>
            <w:tcW w:w="680" w:type="dxa"/>
            <w:tcBorders>
              <w:top w:val="nil"/>
              <w:left w:val="nil"/>
              <w:bottom w:val="single" w:sz="4" w:space="0" w:color="auto"/>
              <w:right w:val="single" w:sz="4" w:space="0" w:color="auto"/>
            </w:tcBorders>
            <w:shd w:val="clear" w:color="auto" w:fill="auto"/>
            <w:noWrap/>
            <w:vAlign w:val="center"/>
            <w:hideMark/>
          </w:tcPr>
          <w:p w14:paraId="420DA0FB" w14:textId="77777777" w:rsidR="00853A26" w:rsidRPr="00325478" w:rsidRDefault="00853A26" w:rsidP="00853A26">
            <w:pPr>
              <w:spacing w:before="0" w:after="0" w:line="240" w:lineRule="auto"/>
              <w:jc w:val="center"/>
              <w:rPr>
                <w:rFonts w:eastAsia="Times New Roman"/>
                <w:b/>
                <w:bCs/>
                <w:color w:val="000000"/>
                <w:sz w:val="22"/>
                <w:lang w:eastAsia="pl-PL"/>
              </w:rPr>
            </w:pPr>
            <w:r w:rsidRPr="00325478">
              <w:rPr>
                <w:rFonts w:eastAsia="Times New Roman"/>
                <w:b/>
                <w:bCs/>
                <w:color w:val="000000"/>
                <w:sz w:val="22"/>
                <w:lang w:eastAsia="pl-PL"/>
              </w:rPr>
              <w:t>1.00</w:t>
            </w:r>
          </w:p>
        </w:tc>
        <w:tc>
          <w:tcPr>
            <w:tcW w:w="680" w:type="dxa"/>
            <w:tcBorders>
              <w:top w:val="nil"/>
              <w:left w:val="nil"/>
              <w:bottom w:val="single" w:sz="4" w:space="0" w:color="auto"/>
              <w:right w:val="single" w:sz="4" w:space="0" w:color="auto"/>
            </w:tcBorders>
            <w:shd w:val="clear" w:color="auto" w:fill="auto"/>
            <w:noWrap/>
            <w:vAlign w:val="center"/>
            <w:hideMark/>
          </w:tcPr>
          <w:p w14:paraId="1FE59FB7"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-0.23</w:t>
            </w:r>
          </w:p>
        </w:tc>
        <w:tc>
          <w:tcPr>
            <w:tcW w:w="680" w:type="dxa"/>
            <w:tcBorders>
              <w:top w:val="nil"/>
              <w:left w:val="nil"/>
              <w:bottom w:val="single" w:sz="4" w:space="0" w:color="auto"/>
              <w:right w:val="single" w:sz="4" w:space="0" w:color="auto"/>
            </w:tcBorders>
            <w:shd w:val="clear" w:color="auto" w:fill="auto"/>
            <w:noWrap/>
            <w:vAlign w:val="center"/>
            <w:hideMark/>
          </w:tcPr>
          <w:p w14:paraId="472D03DA"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0.28</w:t>
            </w:r>
          </w:p>
        </w:tc>
        <w:tc>
          <w:tcPr>
            <w:tcW w:w="680" w:type="dxa"/>
            <w:tcBorders>
              <w:top w:val="nil"/>
              <w:left w:val="nil"/>
              <w:bottom w:val="single" w:sz="4" w:space="0" w:color="auto"/>
              <w:right w:val="single" w:sz="4" w:space="0" w:color="auto"/>
            </w:tcBorders>
            <w:shd w:val="clear" w:color="auto" w:fill="auto"/>
            <w:noWrap/>
            <w:vAlign w:val="center"/>
            <w:hideMark/>
          </w:tcPr>
          <w:p w14:paraId="24F989E7"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0.20</w:t>
            </w:r>
          </w:p>
        </w:tc>
        <w:tc>
          <w:tcPr>
            <w:tcW w:w="680" w:type="dxa"/>
            <w:tcBorders>
              <w:top w:val="nil"/>
              <w:left w:val="nil"/>
              <w:bottom w:val="single" w:sz="4" w:space="0" w:color="auto"/>
              <w:right w:val="single" w:sz="4" w:space="0" w:color="auto"/>
            </w:tcBorders>
            <w:shd w:val="clear" w:color="auto" w:fill="auto"/>
            <w:noWrap/>
            <w:vAlign w:val="center"/>
            <w:hideMark/>
          </w:tcPr>
          <w:p w14:paraId="142C363E"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0.12</w:t>
            </w:r>
          </w:p>
        </w:tc>
        <w:tc>
          <w:tcPr>
            <w:tcW w:w="680" w:type="dxa"/>
            <w:tcBorders>
              <w:top w:val="nil"/>
              <w:left w:val="nil"/>
              <w:bottom w:val="single" w:sz="4" w:space="0" w:color="auto"/>
              <w:right w:val="single" w:sz="4" w:space="0" w:color="auto"/>
            </w:tcBorders>
            <w:shd w:val="clear" w:color="auto" w:fill="auto"/>
            <w:noWrap/>
            <w:vAlign w:val="center"/>
            <w:hideMark/>
          </w:tcPr>
          <w:p w14:paraId="7F299B65"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0.37</w:t>
            </w:r>
          </w:p>
        </w:tc>
        <w:tc>
          <w:tcPr>
            <w:tcW w:w="680" w:type="dxa"/>
            <w:tcBorders>
              <w:top w:val="nil"/>
              <w:left w:val="nil"/>
              <w:bottom w:val="single" w:sz="4" w:space="0" w:color="auto"/>
              <w:right w:val="single" w:sz="4" w:space="0" w:color="auto"/>
            </w:tcBorders>
            <w:shd w:val="clear" w:color="auto" w:fill="auto"/>
            <w:noWrap/>
            <w:vAlign w:val="center"/>
            <w:hideMark/>
          </w:tcPr>
          <w:p w14:paraId="7A3B7EB4"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0.45</w:t>
            </w:r>
          </w:p>
        </w:tc>
        <w:tc>
          <w:tcPr>
            <w:tcW w:w="680" w:type="dxa"/>
            <w:tcBorders>
              <w:top w:val="nil"/>
              <w:left w:val="nil"/>
              <w:bottom w:val="single" w:sz="4" w:space="0" w:color="auto"/>
              <w:right w:val="single" w:sz="4" w:space="0" w:color="auto"/>
            </w:tcBorders>
            <w:shd w:val="clear" w:color="auto" w:fill="auto"/>
            <w:noWrap/>
            <w:vAlign w:val="center"/>
            <w:hideMark/>
          </w:tcPr>
          <w:p w14:paraId="5778B9BF"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0.00</w:t>
            </w:r>
          </w:p>
        </w:tc>
        <w:tc>
          <w:tcPr>
            <w:tcW w:w="680" w:type="dxa"/>
            <w:tcBorders>
              <w:top w:val="nil"/>
              <w:left w:val="nil"/>
              <w:bottom w:val="single" w:sz="4" w:space="0" w:color="auto"/>
              <w:right w:val="single" w:sz="4" w:space="0" w:color="auto"/>
            </w:tcBorders>
            <w:shd w:val="clear" w:color="auto" w:fill="auto"/>
            <w:noWrap/>
            <w:vAlign w:val="center"/>
            <w:hideMark/>
          </w:tcPr>
          <w:p w14:paraId="4D7AC60D"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0.18</w:t>
            </w:r>
          </w:p>
        </w:tc>
      </w:tr>
      <w:tr w:rsidR="00853A26" w:rsidRPr="00853A26" w14:paraId="5A266E0F" w14:textId="77777777" w:rsidTr="00DB00DE">
        <w:trPr>
          <w:trHeight w:hRule="exact" w:val="454"/>
          <w:jc w:val="center"/>
        </w:trPr>
        <w:tc>
          <w:tcPr>
            <w:tcW w:w="984"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885B3A5" w14:textId="77777777"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X5</w:t>
            </w:r>
          </w:p>
        </w:tc>
        <w:tc>
          <w:tcPr>
            <w:tcW w:w="680" w:type="dxa"/>
            <w:tcBorders>
              <w:top w:val="nil"/>
              <w:left w:val="nil"/>
              <w:bottom w:val="single" w:sz="4" w:space="0" w:color="auto"/>
              <w:right w:val="single" w:sz="4" w:space="0" w:color="auto"/>
            </w:tcBorders>
            <w:shd w:val="clear" w:color="auto" w:fill="auto"/>
            <w:noWrap/>
            <w:vAlign w:val="center"/>
            <w:hideMark/>
          </w:tcPr>
          <w:p w14:paraId="1C49934A"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-0.02</w:t>
            </w:r>
          </w:p>
        </w:tc>
        <w:tc>
          <w:tcPr>
            <w:tcW w:w="680" w:type="dxa"/>
            <w:tcBorders>
              <w:top w:val="nil"/>
              <w:left w:val="nil"/>
              <w:bottom w:val="single" w:sz="4" w:space="0" w:color="auto"/>
              <w:right w:val="single" w:sz="4" w:space="0" w:color="auto"/>
            </w:tcBorders>
            <w:shd w:val="clear" w:color="auto" w:fill="auto"/>
            <w:noWrap/>
            <w:vAlign w:val="center"/>
            <w:hideMark/>
          </w:tcPr>
          <w:p w14:paraId="4DA44943"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-0.01</w:t>
            </w:r>
          </w:p>
        </w:tc>
        <w:tc>
          <w:tcPr>
            <w:tcW w:w="680" w:type="dxa"/>
            <w:tcBorders>
              <w:top w:val="nil"/>
              <w:left w:val="nil"/>
              <w:bottom w:val="single" w:sz="4" w:space="0" w:color="auto"/>
              <w:right w:val="single" w:sz="4" w:space="0" w:color="auto"/>
            </w:tcBorders>
            <w:shd w:val="clear" w:color="auto" w:fill="auto"/>
            <w:noWrap/>
            <w:vAlign w:val="center"/>
            <w:hideMark/>
          </w:tcPr>
          <w:p w14:paraId="329B5ED7"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0.21</w:t>
            </w:r>
          </w:p>
        </w:tc>
        <w:tc>
          <w:tcPr>
            <w:tcW w:w="680" w:type="dxa"/>
            <w:tcBorders>
              <w:top w:val="nil"/>
              <w:left w:val="nil"/>
              <w:bottom w:val="single" w:sz="4" w:space="0" w:color="auto"/>
              <w:right w:val="single" w:sz="4" w:space="0" w:color="auto"/>
            </w:tcBorders>
            <w:shd w:val="clear" w:color="auto" w:fill="auto"/>
            <w:noWrap/>
            <w:vAlign w:val="center"/>
            <w:hideMark/>
          </w:tcPr>
          <w:p w14:paraId="0D922D3C"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-0.23</w:t>
            </w:r>
          </w:p>
        </w:tc>
        <w:tc>
          <w:tcPr>
            <w:tcW w:w="680" w:type="dxa"/>
            <w:tcBorders>
              <w:top w:val="nil"/>
              <w:left w:val="nil"/>
              <w:bottom w:val="single" w:sz="4" w:space="0" w:color="auto"/>
              <w:right w:val="single" w:sz="4" w:space="0" w:color="auto"/>
            </w:tcBorders>
            <w:shd w:val="clear" w:color="auto" w:fill="auto"/>
            <w:noWrap/>
            <w:vAlign w:val="center"/>
            <w:hideMark/>
          </w:tcPr>
          <w:p w14:paraId="3BDE0315" w14:textId="77777777" w:rsidR="00853A26" w:rsidRPr="00325478" w:rsidRDefault="00853A26" w:rsidP="00853A26">
            <w:pPr>
              <w:spacing w:before="0" w:after="0" w:line="240" w:lineRule="auto"/>
              <w:jc w:val="center"/>
              <w:rPr>
                <w:rFonts w:eastAsia="Times New Roman"/>
                <w:b/>
                <w:bCs/>
                <w:color w:val="000000"/>
                <w:sz w:val="22"/>
                <w:lang w:eastAsia="pl-PL"/>
              </w:rPr>
            </w:pPr>
            <w:r w:rsidRPr="00325478">
              <w:rPr>
                <w:rFonts w:eastAsia="Times New Roman"/>
                <w:b/>
                <w:bCs/>
                <w:color w:val="000000"/>
                <w:sz w:val="22"/>
                <w:lang w:eastAsia="pl-PL"/>
              </w:rPr>
              <w:t>1.00</w:t>
            </w:r>
          </w:p>
        </w:tc>
        <w:tc>
          <w:tcPr>
            <w:tcW w:w="680" w:type="dxa"/>
            <w:tcBorders>
              <w:top w:val="nil"/>
              <w:left w:val="nil"/>
              <w:bottom w:val="single" w:sz="4" w:space="0" w:color="auto"/>
              <w:right w:val="single" w:sz="4" w:space="0" w:color="auto"/>
            </w:tcBorders>
            <w:shd w:val="clear" w:color="auto" w:fill="auto"/>
            <w:noWrap/>
            <w:vAlign w:val="center"/>
            <w:hideMark/>
          </w:tcPr>
          <w:p w14:paraId="4F28FD84"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0.15</w:t>
            </w:r>
          </w:p>
        </w:tc>
        <w:tc>
          <w:tcPr>
            <w:tcW w:w="680" w:type="dxa"/>
            <w:tcBorders>
              <w:top w:val="nil"/>
              <w:left w:val="nil"/>
              <w:bottom w:val="single" w:sz="4" w:space="0" w:color="auto"/>
              <w:right w:val="single" w:sz="4" w:space="0" w:color="auto"/>
            </w:tcBorders>
            <w:shd w:val="clear" w:color="auto" w:fill="auto"/>
            <w:noWrap/>
            <w:vAlign w:val="center"/>
            <w:hideMark/>
          </w:tcPr>
          <w:p w14:paraId="72929654"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0.17</w:t>
            </w:r>
          </w:p>
        </w:tc>
        <w:tc>
          <w:tcPr>
            <w:tcW w:w="680" w:type="dxa"/>
            <w:tcBorders>
              <w:top w:val="nil"/>
              <w:left w:val="nil"/>
              <w:bottom w:val="single" w:sz="4" w:space="0" w:color="auto"/>
              <w:right w:val="single" w:sz="4" w:space="0" w:color="auto"/>
            </w:tcBorders>
            <w:shd w:val="clear" w:color="auto" w:fill="auto"/>
            <w:noWrap/>
            <w:vAlign w:val="center"/>
            <w:hideMark/>
          </w:tcPr>
          <w:p w14:paraId="7C9E0B80"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0.08</w:t>
            </w:r>
          </w:p>
        </w:tc>
        <w:tc>
          <w:tcPr>
            <w:tcW w:w="680" w:type="dxa"/>
            <w:tcBorders>
              <w:top w:val="nil"/>
              <w:left w:val="nil"/>
              <w:bottom w:val="single" w:sz="4" w:space="0" w:color="auto"/>
              <w:right w:val="single" w:sz="4" w:space="0" w:color="auto"/>
            </w:tcBorders>
            <w:shd w:val="clear" w:color="auto" w:fill="auto"/>
            <w:noWrap/>
            <w:vAlign w:val="center"/>
            <w:hideMark/>
          </w:tcPr>
          <w:p w14:paraId="562C186C"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-0.20</w:t>
            </w:r>
          </w:p>
        </w:tc>
        <w:tc>
          <w:tcPr>
            <w:tcW w:w="680" w:type="dxa"/>
            <w:tcBorders>
              <w:top w:val="nil"/>
              <w:left w:val="nil"/>
              <w:bottom w:val="single" w:sz="4" w:space="0" w:color="auto"/>
              <w:right w:val="single" w:sz="4" w:space="0" w:color="auto"/>
            </w:tcBorders>
            <w:shd w:val="clear" w:color="auto" w:fill="auto"/>
            <w:noWrap/>
            <w:vAlign w:val="center"/>
            <w:hideMark/>
          </w:tcPr>
          <w:p w14:paraId="74B1C8DD"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-0.35</w:t>
            </w:r>
          </w:p>
        </w:tc>
        <w:tc>
          <w:tcPr>
            <w:tcW w:w="680" w:type="dxa"/>
            <w:tcBorders>
              <w:top w:val="nil"/>
              <w:left w:val="nil"/>
              <w:bottom w:val="single" w:sz="4" w:space="0" w:color="auto"/>
              <w:right w:val="single" w:sz="4" w:space="0" w:color="auto"/>
            </w:tcBorders>
            <w:shd w:val="clear" w:color="auto" w:fill="auto"/>
            <w:noWrap/>
            <w:vAlign w:val="center"/>
            <w:hideMark/>
          </w:tcPr>
          <w:p w14:paraId="6373BA1F"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-0.07</w:t>
            </w:r>
          </w:p>
        </w:tc>
        <w:tc>
          <w:tcPr>
            <w:tcW w:w="680" w:type="dxa"/>
            <w:tcBorders>
              <w:top w:val="nil"/>
              <w:left w:val="nil"/>
              <w:bottom w:val="single" w:sz="4" w:space="0" w:color="auto"/>
              <w:right w:val="single" w:sz="4" w:space="0" w:color="auto"/>
            </w:tcBorders>
            <w:shd w:val="clear" w:color="auto" w:fill="auto"/>
            <w:noWrap/>
            <w:vAlign w:val="center"/>
            <w:hideMark/>
          </w:tcPr>
          <w:p w14:paraId="69B8306B"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-0.02</w:t>
            </w:r>
          </w:p>
        </w:tc>
      </w:tr>
      <w:tr w:rsidR="00853A26" w:rsidRPr="00853A26" w14:paraId="4E94FCDC" w14:textId="77777777" w:rsidTr="00DB00DE">
        <w:trPr>
          <w:trHeight w:hRule="exact" w:val="454"/>
          <w:jc w:val="center"/>
        </w:trPr>
        <w:tc>
          <w:tcPr>
            <w:tcW w:w="984"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F591297" w14:textId="77777777"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X6</w:t>
            </w:r>
          </w:p>
        </w:tc>
        <w:tc>
          <w:tcPr>
            <w:tcW w:w="680" w:type="dxa"/>
            <w:tcBorders>
              <w:top w:val="nil"/>
              <w:left w:val="nil"/>
              <w:bottom w:val="single" w:sz="4" w:space="0" w:color="auto"/>
              <w:right w:val="single" w:sz="4" w:space="0" w:color="auto"/>
            </w:tcBorders>
            <w:shd w:val="clear" w:color="auto" w:fill="auto"/>
            <w:noWrap/>
            <w:vAlign w:val="center"/>
            <w:hideMark/>
          </w:tcPr>
          <w:p w14:paraId="672AD5DD"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0.43</w:t>
            </w:r>
          </w:p>
        </w:tc>
        <w:tc>
          <w:tcPr>
            <w:tcW w:w="680" w:type="dxa"/>
            <w:tcBorders>
              <w:top w:val="nil"/>
              <w:left w:val="nil"/>
              <w:bottom w:val="single" w:sz="4" w:space="0" w:color="auto"/>
              <w:right w:val="single" w:sz="4" w:space="0" w:color="auto"/>
            </w:tcBorders>
            <w:shd w:val="clear" w:color="auto" w:fill="auto"/>
            <w:noWrap/>
            <w:vAlign w:val="center"/>
            <w:hideMark/>
          </w:tcPr>
          <w:p w14:paraId="715B6329"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-0.23</w:t>
            </w:r>
          </w:p>
        </w:tc>
        <w:tc>
          <w:tcPr>
            <w:tcW w:w="680" w:type="dxa"/>
            <w:tcBorders>
              <w:top w:val="nil"/>
              <w:left w:val="nil"/>
              <w:bottom w:val="single" w:sz="4" w:space="0" w:color="auto"/>
              <w:right w:val="single" w:sz="4" w:space="0" w:color="auto"/>
            </w:tcBorders>
            <w:shd w:val="clear" w:color="auto" w:fill="auto"/>
            <w:noWrap/>
            <w:vAlign w:val="center"/>
            <w:hideMark/>
          </w:tcPr>
          <w:p w14:paraId="59F820F7"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0.43</w:t>
            </w:r>
          </w:p>
        </w:tc>
        <w:tc>
          <w:tcPr>
            <w:tcW w:w="680" w:type="dxa"/>
            <w:tcBorders>
              <w:top w:val="nil"/>
              <w:left w:val="nil"/>
              <w:bottom w:val="single" w:sz="4" w:space="0" w:color="auto"/>
              <w:right w:val="single" w:sz="4" w:space="0" w:color="auto"/>
            </w:tcBorders>
            <w:shd w:val="clear" w:color="auto" w:fill="auto"/>
            <w:noWrap/>
            <w:vAlign w:val="center"/>
            <w:hideMark/>
          </w:tcPr>
          <w:p w14:paraId="1F15945A"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0.28</w:t>
            </w:r>
          </w:p>
        </w:tc>
        <w:tc>
          <w:tcPr>
            <w:tcW w:w="680" w:type="dxa"/>
            <w:tcBorders>
              <w:top w:val="nil"/>
              <w:left w:val="nil"/>
              <w:bottom w:val="single" w:sz="4" w:space="0" w:color="auto"/>
              <w:right w:val="single" w:sz="4" w:space="0" w:color="auto"/>
            </w:tcBorders>
            <w:shd w:val="clear" w:color="auto" w:fill="auto"/>
            <w:noWrap/>
            <w:vAlign w:val="center"/>
            <w:hideMark/>
          </w:tcPr>
          <w:p w14:paraId="19E8F466"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0.15</w:t>
            </w:r>
          </w:p>
        </w:tc>
        <w:tc>
          <w:tcPr>
            <w:tcW w:w="680" w:type="dxa"/>
            <w:tcBorders>
              <w:top w:val="nil"/>
              <w:left w:val="nil"/>
              <w:bottom w:val="single" w:sz="4" w:space="0" w:color="auto"/>
              <w:right w:val="single" w:sz="4" w:space="0" w:color="auto"/>
            </w:tcBorders>
            <w:shd w:val="clear" w:color="auto" w:fill="auto"/>
            <w:noWrap/>
            <w:vAlign w:val="center"/>
            <w:hideMark/>
          </w:tcPr>
          <w:p w14:paraId="18F4AD45" w14:textId="77777777" w:rsidR="00853A26" w:rsidRPr="00325478" w:rsidRDefault="00853A26" w:rsidP="00853A26">
            <w:pPr>
              <w:spacing w:before="0" w:after="0" w:line="240" w:lineRule="auto"/>
              <w:jc w:val="center"/>
              <w:rPr>
                <w:rFonts w:eastAsia="Times New Roman"/>
                <w:b/>
                <w:bCs/>
                <w:color w:val="000000"/>
                <w:sz w:val="22"/>
                <w:lang w:eastAsia="pl-PL"/>
              </w:rPr>
            </w:pPr>
            <w:r w:rsidRPr="00325478">
              <w:rPr>
                <w:rFonts w:eastAsia="Times New Roman"/>
                <w:b/>
                <w:bCs/>
                <w:color w:val="000000"/>
                <w:sz w:val="22"/>
                <w:lang w:eastAsia="pl-PL"/>
              </w:rPr>
              <w:t>1.00</w:t>
            </w:r>
          </w:p>
        </w:tc>
        <w:tc>
          <w:tcPr>
            <w:tcW w:w="680" w:type="dxa"/>
            <w:tcBorders>
              <w:top w:val="nil"/>
              <w:left w:val="nil"/>
              <w:bottom w:val="single" w:sz="4" w:space="0" w:color="auto"/>
              <w:right w:val="single" w:sz="4" w:space="0" w:color="auto"/>
            </w:tcBorders>
            <w:shd w:val="clear" w:color="auto" w:fill="auto"/>
            <w:noWrap/>
            <w:vAlign w:val="center"/>
            <w:hideMark/>
          </w:tcPr>
          <w:p w14:paraId="7DA7FD17"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0.55</w:t>
            </w:r>
          </w:p>
        </w:tc>
        <w:tc>
          <w:tcPr>
            <w:tcW w:w="680" w:type="dxa"/>
            <w:tcBorders>
              <w:top w:val="nil"/>
              <w:left w:val="nil"/>
              <w:bottom w:val="single" w:sz="4" w:space="0" w:color="auto"/>
              <w:right w:val="single" w:sz="4" w:space="0" w:color="auto"/>
            </w:tcBorders>
            <w:shd w:val="clear" w:color="auto" w:fill="auto"/>
            <w:noWrap/>
            <w:vAlign w:val="center"/>
            <w:hideMark/>
          </w:tcPr>
          <w:p w14:paraId="30A55112"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0.07</w:t>
            </w:r>
          </w:p>
        </w:tc>
        <w:tc>
          <w:tcPr>
            <w:tcW w:w="680" w:type="dxa"/>
            <w:tcBorders>
              <w:top w:val="nil"/>
              <w:left w:val="nil"/>
              <w:bottom w:val="single" w:sz="4" w:space="0" w:color="auto"/>
              <w:right w:val="single" w:sz="4" w:space="0" w:color="auto"/>
            </w:tcBorders>
            <w:shd w:val="clear" w:color="auto" w:fill="auto"/>
            <w:noWrap/>
            <w:vAlign w:val="center"/>
            <w:hideMark/>
          </w:tcPr>
          <w:p w14:paraId="5123E0CD"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0.48</w:t>
            </w:r>
          </w:p>
        </w:tc>
        <w:tc>
          <w:tcPr>
            <w:tcW w:w="680" w:type="dxa"/>
            <w:tcBorders>
              <w:top w:val="nil"/>
              <w:left w:val="nil"/>
              <w:bottom w:val="single" w:sz="4" w:space="0" w:color="auto"/>
              <w:right w:val="single" w:sz="4" w:space="0" w:color="auto"/>
            </w:tcBorders>
            <w:shd w:val="clear" w:color="auto" w:fill="auto"/>
            <w:noWrap/>
            <w:vAlign w:val="center"/>
            <w:hideMark/>
          </w:tcPr>
          <w:p w14:paraId="6873FA54"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0.03</w:t>
            </w:r>
          </w:p>
        </w:tc>
        <w:tc>
          <w:tcPr>
            <w:tcW w:w="680" w:type="dxa"/>
            <w:tcBorders>
              <w:top w:val="nil"/>
              <w:left w:val="nil"/>
              <w:bottom w:val="single" w:sz="4" w:space="0" w:color="auto"/>
              <w:right w:val="single" w:sz="4" w:space="0" w:color="auto"/>
            </w:tcBorders>
            <w:shd w:val="clear" w:color="auto" w:fill="auto"/>
            <w:noWrap/>
            <w:vAlign w:val="center"/>
            <w:hideMark/>
          </w:tcPr>
          <w:p w14:paraId="44574AE6"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0.02</w:t>
            </w:r>
          </w:p>
        </w:tc>
        <w:tc>
          <w:tcPr>
            <w:tcW w:w="680" w:type="dxa"/>
            <w:tcBorders>
              <w:top w:val="nil"/>
              <w:left w:val="nil"/>
              <w:bottom w:val="single" w:sz="4" w:space="0" w:color="auto"/>
              <w:right w:val="single" w:sz="4" w:space="0" w:color="auto"/>
            </w:tcBorders>
            <w:shd w:val="clear" w:color="auto" w:fill="auto"/>
            <w:noWrap/>
            <w:vAlign w:val="center"/>
            <w:hideMark/>
          </w:tcPr>
          <w:p w14:paraId="63E11FFC"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0.27</w:t>
            </w:r>
          </w:p>
        </w:tc>
      </w:tr>
      <w:tr w:rsidR="00853A26" w:rsidRPr="00853A26" w14:paraId="66AE59E9" w14:textId="77777777" w:rsidTr="00DB00DE">
        <w:trPr>
          <w:trHeight w:hRule="exact" w:val="454"/>
          <w:jc w:val="center"/>
        </w:trPr>
        <w:tc>
          <w:tcPr>
            <w:tcW w:w="984"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4B5567E" w14:textId="77777777"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X7</w:t>
            </w:r>
          </w:p>
        </w:tc>
        <w:tc>
          <w:tcPr>
            <w:tcW w:w="680" w:type="dxa"/>
            <w:tcBorders>
              <w:top w:val="nil"/>
              <w:left w:val="nil"/>
              <w:bottom w:val="single" w:sz="4" w:space="0" w:color="auto"/>
              <w:right w:val="single" w:sz="4" w:space="0" w:color="auto"/>
            </w:tcBorders>
            <w:shd w:val="clear" w:color="auto" w:fill="auto"/>
            <w:noWrap/>
            <w:vAlign w:val="center"/>
            <w:hideMark/>
          </w:tcPr>
          <w:p w14:paraId="7BC4000E"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0.35</w:t>
            </w:r>
          </w:p>
        </w:tc>
        <w:tc>
          <w:tcPr>
            <w:tcW w:w="680" w:type="dxa"/>
            <w:tcBorders>
              <w:top w:val="nil"/>
              <w:left w:val="nil"/>
              <w:bottom w:val="single" w:sz="4" w:space="0" w:color="auto"/>
              <w:right w:val="single" w:sz="4" w:space="0" w:color="auto"/>
            </w:tcBorders>
            <w:shd w:val="clear" w:color="auto" w:fill="auto"/>
            <w:noWrap/>
            <w:vAlign w:val="center"/>
            <w:hideMark/>
          </w:tcPr>
          <w:p w14:paraId="29430296"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-0.24</w:t>
            </w:r>
          </w:p>
        </w:tc>
        <w:tc>
          <w:tcPr>
            <w:tcW w:w="680" w:type="dxa"/>
            <w:tcBorders>
              <w:top w:val="nil"/>
              <w:left w:val="nil"/>
              <w:bottom w:val="single" w:sz="4" w:space="0" w:color="auto"/>
              <w:right w:val="single" w:sz="4" w:space="0" w:color="auto"/>
            </w:tcBorders>
            <w:shd w:val="clear" w:color="auto" w:fill="auto"/>
            <w:noWrap/>
            <w:vAlign w:val="center"/>
            <w:hideMark/>
          </w:tcPr>
          <w:p w14:paraId="0AC704BE"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0.46</w:t>
            </w:r>
          </w:p>
        </w:tc>
        <w:tc>
          <w:tcPr>
            <w:tcW w:w="680" w:type="dxa"/>
            <w:tcBorders>
              <w:top w:val="nil"/>
              <w:left w:val="nil"/>
              <w:bottom w:val="single" w:sz="4" w:space="0" w:color="auto"/>
              <w:right w:val="single" w:sz="4" w:space="0" w:color="auto"/>
            </w:tcBorders>
            <w:shd w:val="clear" w:color="auto" w:fill="auto"/>
            <w:noWrap/>
            <w:vAlign w:val="center"/>
            <w:hideMark/>
          </w:tcPr>
          <w:p w14:paraId="100DB51C"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0.20</w:t>
            </w:r>
          </w:p>
        </w:tc>
        <w:tc>
          <w:tcPr>
            <w:tcW w:w="680" w:type="dxa"/>
            <w:tcBorders>
              <w:top w:val="nil"/>
              <w:left w:val="nil"/>
              <w:bottom w:val="single" w:sz="4" w:space="0" w:color="auto"/>
              <w:right w:val="single" w:sz="4" w:space="0" w:color="auto"/>
            </w:tcBorders>
            <w:shd w:val="clear" w:color="auto" w:fill="auto"/>
            <w:noWrap/>
            <w:vAlign w:val="center"/>
            <w:hideMark/>
          </w:tcPr>
          <w:p w14:paraId="78E99C9B"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0.17</w:t>
            </w:r>
          </w:p>
        </w:tc>
        <w:tc>
          <w:tcPr>
            <w:tcW w:w="680" w:type="dxa"/>
            <w:tcBorders>
              <w:top w:val="nil"/>
              <w:left w:val="nil"/>
              <w:bottom w:val="single" w:sz="4" w:space="0" w:color="auto"/>
              <w:right w:val="single" w:sz="4" w:space="0" w:color="auto"/>
            </w:tcBorders>
            <w:shd w:val="clear" w:color="auto" w:fill="auto"/>
            <w:noWrap/>
            <w:vAlign w:val="center"/>
            <w:hideMark/>
          </w:tcPr>
          <w:p w14:paraId="3529D14F"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0.55</w:t>
            </w:r>
          </w:p>
        </w:tc>
        <w:tc>
          <w:tcPr>
            <w:tcW w:w="680" w:type="dxa"/>
            <w:tcBorders>
              <w:top w:val="nil"/>
              <w:left w:val="nil"/>
              <w:bottom w:val="single" w:sz="4" w:space="0" w:color="auto"/>
              <w:right w:val="single" w:sz="4" w:space="0" w:color="auto"/>
            </w:tcBorders>
            <w:shd w:val="clear" w:color="auto" w:fill="auto"/>
            <w:noWrap/>
            <w:vAlign w:val="center"/>
            <w:hideMark/>
          </w:tcPr>
          <w:p w14:paraId="204F85DD" w14:textId="77777777" w:rsidR="00853A26" w:rsidRPr="00325478" w:rsidRDefault="00853A26" w:rsidP="00853A26">
            <w:pPr>
              <w:spacing w:before="0" w:after="0" w:line="240" w:lineRule="auto"/>
              <w:jc w:val="center"/>
              <w:rPr>
                <w:rFonts w:eastAsia="Times New Roman"/>
                <w:b/>
                <w:bCs/>
                <w:color w:val="000000"/>
                <w:sz w:val="22"/>
                <w:lang w:eastAsia="pl-PL"/>
              </w:rPr>
            </w:pPr>
            <w:r w:rsidRPr="00325478">
              <w:rPr>
                <w:rFonts w:eastAsia="Times New Roman"/>
                <w:b/>
                <w:bCs/>
                <w:color w:val="000000"/>
                <w:sz w:val="22"/>
                <w:lang w:eastAsia="pl-PL"/>
              </w:rPr>
              <w:t>1.00</w:t>
            </w:r>
          </w:p>
        </w:tc>
        <w:tc>
          <w:tcPr>
            <w:tcW w:w="680" w:type="dxa"/>
            <w:tcBorders>
              <w:top w:val="nil"/>
              <w:left w:val="nil"/>
              <w:bottom w:val="single" w:sz="4" w:space="0" w:color="auto"/>
              <w:right w:val="single" w:sz="4" w:space="0" w:color="auto"/>
            </w:tcBorders>
            <w:shd w:val="clear" w:color="auto" w:fill="auto"/>
            <w:noWrap/>
            <w:vAlign w:val="center"/>
            <w:hideMark/>
          </w:tcPr>
          <w:p w14:paraId="25CF31AC"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0.15</w:t>
            </w:r>
          </w:p>
        </w:tc>
        <w:tc>
          <w:tcPr>
            <w:tcW w:w="680" w:type="dxa"/>
            <w:tcBorders>
              <w:top w:val="nil"/>
              <w:left w:val="nil"/>
              <w:bottom w:val="single" w:sz="4" w:space="0" w:color="auto"/>
              <w:right w:val="single" w:sz="4" w:space="0" w:color="auto"/>
            </w:tcBorders>
            <w:shd w:val="clear" w:color="auto" w:fill="auto"/>
            <w:noWrap/>
            <w:vAlign w:val="center"/>
            <w:hideMark/>
          </w:tcPr>
          <w:p w14:paraId="18B16AC7"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0.43</w:t>
            </w:r>
          </w:p>
        </w:tc>
        <w:tc>
          <w:tcPr>
            <w:tcW w:w="680" w:type="dxa"/>
            <w:tcBorders>
              <w:top w:val="nil"/>
              <w:left w:val="nil"/>
              <w:bottom w:val="single" w:sz="4" w:space="0" w:color="auto"/>
              <w:right w:val="single" w:sz="4" w:space="0" w:color="auto"/>
            </w:tcBorders>
            <w:shd w:val="clear" w:color="auto" w:fill="auto"/>
            <w:noWrap/>
            <w:vAlign w:val="center"/>
            <w:hideMark/>
          </w:tcPr>
          <w:p w14:paraId="695A1F38"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0.18</w:t>
            </w:r>
          </w:p>
        </w:tc>
        <w:tc>
          <w:tcPr>
            <w:tcW w:w="680" w:type="dxa"/>
            <w:tcBorders>
              <w:top w:val="nil"/>
              <w:left w:val="nil"/>
              <w:bottom w:val="single" w:sz="4" w:space="0" w:color="auto"/>
              <w:right w:val="single" w:sz="4" w:space="0" w:color="auto"/>
            </w:tcBorders>
            <w:shd w:val="clear" w:color="auto" w:fill="auto"/>
            <w:noWrap/>
            <w:vAlign w:val="center"/>
            <w:hideMark/>
          </w:tcPr>
          <w:p w14:paraId="416C99C2"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-0.10</w:t>
            </w:r>
          </w:p>
        </w:tc>
        <w:tc>
          <w:tcPr>
            <w:tcW w:w="680" w:type="dxa"/>
            <w:tcBorders>
              <w:top w:val="nil"/>
              <w:left w:val="nil"/>
              <w:bottom w:val="single" w:sz="4" w:space="0" w:color="auto"/>
              <w:right w:val="single" w:sz="4" w:space="0" w:color="auto"/>
            </w:tcBorders>
            <w:shd w:val="clear" w:color="auto" w:fill="auto"/>
            <w:noWrap/>
            <w:vAlign w:val="center"/>
            <w:hideMark/>
          </w:tcPr>
          <w:p w14:paraId="7E538F53"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0.08</w:t>
            </w:r>
          </w:p>
        </w:tc>
      </w:tr>
      <w:tr w:rsidR="00853A26" w:rsidRPr="00853A26" w14:paraId="20DF78F1" w14:textId="77777777" w:rsidTr="00DB00DE">
        <w:trPr>
          <w:trHeight w:hRule="exact" w:val="454"/>
          <w:jc w:val="center"/>
        </w:trPr>
        <w:tc>
          <w:tcPr>
            <w:tcW w:w="984"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9BC3C1A" w14:textId="77777777"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X8</w:t>
            </w:r>
          </w:p>
        </w:tc>
        <w:tc>
          <w:tcPr>
            <w:tcW w:w="680" w:type="dxa"/>
            <w:tcBorders>
              <w:top w:val="nil"/>
              <w:left w:val="nil"/>
              <w:bottom w:val="single" w:sz="4" w:space="0" w:color="auto"/>
              <w:right w:val="single" w:sz="4" w:space="0" w:color="auto"/>
            </w:tcBorders>
            <w:shd w:val="clear" w:color="auto" w:fill="auto"/>
            <w:noWrap/>
            <w:vAlign w:val="center"/>
            <w:hideMark/>
          </w:tcPr>
          <w:p w14:paraId="555A7FF8"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0.43</w:t>
            </w:r>
          </w:p>
        </w:tc>
        <w:tc>
          <w:tcPr>
            <w:tcW w:w="680" w:type="dxa"/>
            <w:tcBorders>
              <w:top w:val="nil"/>
              <w:left w:val="nil"/>
              <w:bottom w:val="single" w:sz="4" w:space="0" w:color="auto"/>
              <w:right w:val="single" w:sz="4" w:space="0" w:color="auto"/>
            </w:tcBorders>
            <w:shd w:val="clear" w:color="auto" w:fill="auto"/>
            <w:noWrap/>
            <w:vAlign w:val="center"/>
            <w:hideMark/>
          </w:tcPr>
          <w:p w14:paraId="0BEC34B9"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-0.33</w:t>
            </w:r>
          </w:p>
        </w:tc>
        <w:tc>
          <w:tcPr>
            <w:tcW w:w="680" w:type="dxa"/>
            <w:tcBorders>
              <w:top w:val="nil"/>
              <w:left w:val="nil"/>
              <w:bottom w:val="single" w:sz="4" w:space="0" w:color="auto"/>
              <w:right w:val="single" w:sz="4" w:space="0" w:color="auto"/>
            </w:tcBorders>
            <w:shd w:val="clear" w:color="auto" w:fill="auto"/>
            <w:noWrap/>
            <w:vAlign w:val="center"/>
            <w:hideMark/>
          </w:tcPr>
          <w:p w14:paraId="7FAF58B2"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0.33</w:t>
            </w:r>
          </w:p>
        </w:tc>
        <w:tc>
          <w:tcPr>
            <w:tcW w:w="680" w:type="dxa"/>
            <w:tcBorders>
              <w:top w:val="nil"/>
              <w:left w:val="nil"/>
              <w:bottom w:val="single" w:sz="4" w:space="0" w:color="auto"/>
              <w:right w:val="single" w:sz="4" w:space="0" w:color="auto"/>
            </w:tcBorders>
            <w:shd w:val="clear" w:color="auto" w:fill="auto"/>
            <w:noWrap/>
            <w:vAlign w:val="center"/>
            <w:hideMark/>
          </w:tcPr>
          <w:p w14:paraId="04EAAD6A"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0.12</w:t>
            </w:r>
          </w:p>
        </w:tc>
        <w:tc>
          <w:tcPr>
            <w:tcW w:w="680" w:type="dxa"/>
            <w:tcBorders>
              <w:top w:val="nil"/>
              <w:left w:val="nil"/>
              <w:bottom w:val="single" w:sz="4" w:space="0" w:color="auto"/>
              <w:right w:val="single" w:sz="4" w:space="0" w:color="auto"/>
            </w:tcBorders>
            <w:shd w:val="clear" w:color="auto" w:fill="auto"/>
            <w:noWrap/>
            <w:vAlign w:val="center"/>
            <w:hideMark/>
          </w:tcPr>
          <w:p w14:paraId="3A0B5BA7"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0.08</w:t>
            </w:r>
          </w:p>
        </w:tc>
        <w:tc>
          <w:tcPr>
            <w:tcW w:w="680" w:type="dxa"/>
            <w:tcBorders>
              <w:top w:val="nil"/>
              <w:left w:val="nil"/>
              <w:bottom w:val="single" w:sz="4" w:space="0" w:color="auto"/>
              <w:right w:val="single" w:sz="4" w:space="0" w:color="auto"/>
            </w:tcBorders>
            <w:shd w:val="clear" w:color="auto" w:fill="auto"/>
            <w:noWrap/>
            <w:vAlign w:val="center"/>
            <w:hideMark/>
          </w:tcPr>
          <w:p w14:paraId="60C7EC95"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0.07</w:t>
            </w:r>
          </w:p>
        </w:tc>
        <w:tc>
          <w:tcPr>
            <w:tcW w:w="680" w:type="dxa"/>
            <w:tcBorders>
              <w:top w:val="nil"/>
              <w:left w:val="nil"/>
              <w:bottom w:val="single" w:sz="4" w:space="0" w:color="auto"/>
              <w:right w:val="single" w:sz="4" w:space="0" w:color="auto"/>
            </w:tcBorders>
            <w:shd w:val="clear" w:color="auto" w:fill="auto"/>
            <w:noWrap/>
            <w:vAlign w:val="center"/>
            <w:hideMark/>
          </w:tcPr>
          <w:p w14:paraId="70CC04F1"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0.15</w:t>
            </w:r>
          </w:p>
        </w:tc>
        <w:tc>
          <w:tcPr>
            <w:tcW w:w="680" w:type="dxa"/>
            <w:tcBorders>
              <w:top w:val="nil"/>
              <w:left w:val="nil"/>
              <w:bottom w:val="single" w:sz="4" w:space="0" w:color="auto"/>
              <w:right w:val="single" w:sz="4" w:space="0" w:color="auto"/>
            </w:tcBorders>
            <w:shd w:val="clear" w:color="auto" w:fill="auto"/>
            <w:noWrap/>
            <w:vAlign w:val="center"/>
            <w:hideMark/>
          </w:tcPr>
          <w:p w14:paraId="5DE67235" w14:textId="77777777" w:rsidR="00853A26" w:rsidRPr="00325478" w:rsidRDefault="00853A26" w:rsidP="00853A26">
            <w:pPr>
              <w:spacing w:before="0" w:after="0" w:line="240" w:lineRule="auto"/>
              <w:jc w:val="center"/>
              <w:rPr>
                <w:rFonts w:eastAsia="Times New Roman"/>
                <w:b/>
                <w:bCs/>
                <w:color w:val="000000"/>
                <w:sz w:val="22"/>
                <w:lang w:eastAsia="pl-PL"/>
              </w:rPr>
            </w:pPr>
            <w:r w:rsidRPr="00325478">
              <w:rPr>
                <w:rFonts w:eastAsia="Times New Roman"/>
                <w:b/>
                <w:bCs/>
                <w:color w:val="000000"/>
                <w:sz w:val="22"/>
                <w:lang w:eastAsia="pl-PL"/>
              </w:rPr>
              <w:t>1.00</w:t>
            </w:r>
          </w:p>
        </w:tc>
        <w:tc>
          <w:tcPr>
            <w:tcW w:w="680" w:type="dxa"/>
            <w:tcBorders>
              <w:top w:val="nil"/>
              <w:left w:val="nil"/>
              <w:bottom w:val="single" w:sz="4" w:space="0" w:color="auto"/>
              <w:right w:val="single" w:sz="4" w:space="0" w:color="auto"/>
            </w:tcBorders>
            <w:shd w:val="clear" w:color="auto" w:fill="auto"/>
            <w:noWrap/>
            <w:vAlign w:val="center"/>
            <w:hideMark/>
          </w:tcPr>
          <w:p w14:paraId="6CB8413B"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-0.05</w:t>
            </w:r>
          </w:p>
        </w:tc>
        <w:tc>
          <w:tcPr>
            <w:tcW w:w="680" w:type="dxa"/>
            <w:tcBorders>
              <w:top w:val="nil"/>
              <w:left w:val="nil"/>
              <w:bottom w:val="single" w:sz="4" w:space="0" w:color="auto"/>
              <w:right w:val="single" w:sz="4" w:space="0" w:color="auto"/>
            </w:tcBorders>
            <w:shd w:val="clear" w:color="auto" w:fill="auto"/>
            <w:noWrap/>
            <w:vAlign w:val="center"/>
            <w:hideMark/>
          </w:tcPr>
          <w:p w14:paraId="73AB5670"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0.20</w:t>
            </w:r>
          </w:p>
        </w:tc>
        <w:tc>
          <w:tcPr>
            <w:tcW w:w="680" w:type="dxa"/>
            <w:tcBorders>
              <w:top w:val="nil"/>
              <w:left w:val="nil"/>
              <w:bottom w:val="single" w:sz="4" w:space="0" w:color="auto"/>
              <w:right w:val="single" w:sz="4" w:space="0" w:color="auto"/>
            </w:tcBorders>
            <w:shd w:val="clear" w:color="auto" w:fill="auto"/>
            <w:noWrap/>
            <w:vAlign w:val="center"/>
            <w:hideMark/>
          </w:tcPr>
          <w:p w14:paraId="0F1FF702"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0.32</w:t>
            </w:r>
          </w:p>
        </w:tc>
        <w:tc>
          <w:tcPr>
            <w:tcW w:w="680" w:type="dxa"/>
            <w:tcBorders>
              <w:top w:val="nil"/>
              <w:left w:val="nil"/>
              <w:bottom w:val="single" w:sz="4" w:space="0" w:color="auto"/>
              <w:right w:val="single" w:sz="4" w:space="0" w:color="auto"/>
            </w:tcBorders>
            <w:shd w:val="clear" w:color="auto" w:fill="auto"/>
            <w:noWrap/>
            <w:vAlign w:val="center"/>
            <w:hideMark/>
          </w:tcPr>
          <w:p w14:paraId="5853C5FE"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0.10</w:t>
            </w:r>
          </w:p>
        </w:tc>
      </w:tr>
      <w:tr w:rsidR="00853A26" w:rsidRPr="00853A26" w14:paraId="0B51D2F7" w14:textId="77777777" w:rsidTr="00DB00DE">
        <w:trPr>
          <w:trHeight w:hRule="exact" w:val="454"/>
          <w:jc w:val="center"/>
        </w:trPr>
        <w:tc>
          <w:tcPr>
            <w:tcW w:w="984"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82F7CF5" w14:textId="77777777"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X9</w:t>
            </w:r>
          </w:p>
        </w:tc>
        <w:tc>
          <w:tcPr>
            <w:tcW w:w="680" w:type="dxa"/>
            <w:tcBorders>
              <w:top w:val="nil"/>
              <w:left w:val="nil"/>
              <w:bottom w:val="single" w:sz="4" w:space="0" w:color="auto"/>
              <w:right w:val="single" w:sz="4" w:space="0" w:color="auto"/>
            </w:tcBorders>
            <w:shd w:val="clear" w:color="auto" w:fill="auto"/>
            <w:noWrap/>
            <w:vAlign w:val="center"/>
            <w:hideMark/>
          </w:tcPr>
          <w:p w14:paraId="10D9A0D1"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0.42</w:t>
            </w:r>
          </w:p>
        </w:tc>
        <w:tc>
          <w:tcPr>
            <w:tcW w:w="680" w:type="dxa"/>
            <w:tcBorders>
              <w:top w:val="nil"/>
              <w:left w:val="nil"/>
              <w:bottom w:val="single" w:sz="4" w:space="0" w:color="auto"/>
              <w:right w:val="single" w:sz="4" w:space="0" w:color="auto"/>
            </w:tcBorders>
            <w:shd w:val="clear" w:color="auto" w:fill="auto"/>
            <w:noWrap/>
            <w:vAlign w:val="center"/>
            <w:hideMark/>
          </w:tcPr>
          <w:p w14:paraId="07FB354A"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-0.34</w:t>
            </w:r>
          </w:p>
        </w:tc>
        <w:tc>
          <w:tcPr>
            <w:tcW w:w="680" w:type="dxa"/>
            <w:tcBorders>
              <w:top w:val="nil"/>
              <w:left w:val="nil"/>
              <w:bottom w:val="single" w:sz="4" w:space="0" w:color="auto"/>
              <w:right w:val="single" w:sz="4" w:space="0" w:color="auto"/>
            </w:tcBorders>
            <w:shd w:val="clear" w:color="auto" w:fill="auto"/>
            <w:noWrap/>
            <w:vAlign w:val="center"/>
            <w:hideMark/>
          </w:tcPr>
          <w:p w14:paraId="4B3816AC"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0.09</w:t>
            </w:r>
          </w:p>
        </w:tc>
        <w:tc>
          <w:tcPr>
            <w:tcW w:w="680" w:type="dxa"/>
            <w:tcBorders>
              <w:top w:val="nil"/>
              <w:left w:val="nil"/>
              <w:bottom w:val="single" w:sz="4" w:space="0" w:color="auto"/>
              <w:right w:val="single" w:sz="4" w:space="0" w:color="auto"/>
            </w:tcBorders>
            <w:shd w:val="clear" w:color="auto" w:fill="auto"/>
            <w:noWrap/>
            <w:vAlign w:val="center"/>
            <w:hideMark/>
          </w:tcPr>
          <w:p w14:paraId="41CAA691"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0.37</w:t>
            </w:r>
          </w:p>
        </w:tc>
        <w:tc>
          <w:tcPr>
            <w:tcW w:w="680" w:type="dxa"/>
            <w:tcBorders>
              <w:top w:val="nil"/>
              <w:left w:val="nil"/>
              <w:bottom w:val="single" w:sz="4" w:space="0" w:color="auto"/>
              <w:right w:val="single" w:sz="4" w:space="0" w:color="auto"/>
            </w:tcBorders>
            <w:shd w:val="clear" w:color="auto" w:fill="auto"/>
            <w:noWrap/>
            <w:vAlign w:val="center"/>
            <w:hideMark/>
          </w:tcPr>
          <w:p w14:paraId="1664D99A"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-0.20</w:t>
            </w:r>
          </w:p>
        </w:tc>
        <w:tc>
          <w:tcPr>
            <w:tcW w:w="680" w:type="dxa"/>
            <w:tcBorders>
              <w:top w:val="nil"/>
              <w:left w:val="nil"/>
              <w:bottom w:val="single" w:sz="4" w:space="0" w:color="auto"/>
              <w:right w:val="single" w:sz="4" w:space="0" w:color="auto"/>
            </w:tcBorders>
            <w:shd w:val="clear" w:color="auto" w:fill="auto"/>
            <w:noWrap/>
            <w:vAlign w:val="center"/>
            <w:hideMark/>
          </w:tcPr>
          <w:p w14:paraId="35FCA304"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0.48</w:t>
            </w:r>
          </w:p>
        </w:tc>
        <w:tc>
          <w:tcPr>
            <w:tcW w:w="680" w:type="dxa"/>
            <w:tcBorders>
              <w:top w:val="nil"/>
              <w:left w:val="nil"/>
              <w:bottom w:val="single" w:sz="4" w:space="0" w:color="auto"/>
              <w:right w:val="single" w:sz="4" w:space="0" w:color="auto"/>
            </w:tcBorders>
            <w:shd w:val="clear" w:color="auto" w:fill="auto"/>
            <w:noWrap/>
            <w:vAlign w:val="center"/>
            <w:hideMark/>
          </w:tcPr>
          <w:p w14:paraId="3806A187"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0.43</w:t>
            </w:r>
          </w:p>
        </w:tc>
        <w:tc>
          <w:tcPr>
            <w:tcW w:w="680" w:type="dxa"/>
            <w:tcBorders>
              <w:top w:val="nil"/>
              <w:left w:val="nil"/>
              <w:bottom w:val="single" w:sz="4" w:space="0" w:color="auto"/>
              <w:right w:val="single" w:sz="4" w:space="0" w:color="auto"/>
            </w:tcBorders>
            <w:shd w:val="clear" w:color="auto" w:fill="auto"/>
            <w:noWrap/>
            <w:vAlign w:val="center"/>
            <w:hideMark/>
          </w:tcPr>
          <w:p w14:paraId="716F800C"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-0.05</w:t>
            </w:r>
          </w:p>
        </w:tc>
        <w:tc>
          <w:tcPr>
            <w:tcW w:w="680" w:type="dxa"/>
            <w:tcBorders>
              <w:top w:val="nil"/>
              <w:left w:val="nil"/>
              <w:bottom w:val="single" w:sz="4" w:space="0" w:color="auto"/>
              <w:right w:val="single" w:sz="4" w:space="0" w:color="auto"/>
            </w:tcBorders>
            <w:shd w:val="clear" w:color="auto" w:fill="auto"/>
            <w:noWrap/>
            <w:vAlign w:val="center"/>
            <w:hideMark/>
          </w:tcPr>
          <w:p w14:paraId="5D903B8D" w14:textId="77777777" w:rsidR="00853A26" w:rsidRPr="00325478" w:rsidRDefault="00853A26" w:rsidP="00853A26">
            <w:pPr>
              <w:spacing w:before="0" w:after="0" w:line="240" w:lineRule="auto"/>
              <w:jc w:val="center"/>
              <w:rPr>
                <w:rFonts w:eastAsia="Times New Roman"/>
                <w:b/>
                <w:bCs/>
                <w:color w:val="000000"/>
                <w:sz w:val="22"/>
                <w:lang w:eastAsia="pl-PL"/>
              </w:rPr>
            </w:pPr>
            <w:r w:rsidRPr="00325478">
              <w:rPr>
                <w:rFonts w:eastAsia="Times New Roman"/>
                <w:b/>
                <w:bCs/>
                <w:color w:val="000000"/>
                <w:sz w:val="22"/>
                <w:lang w:eastAsia="pl-PL"/>
              </w:rPr>
              <w:t>1.00</w:t>
            </w:r>
          </w:p>
        </w:tc>
        <w:tc>
          <w:tcPr>
            <w:tcW w:w="680" w:type="dxa"/>
            <w:tcBorders>
              <w:top w:val="nil"/>
              <w:left w:val="nil"/>
              <w:bottom w:val="single" w:sz="4" w:space="0" w:color="auto"/>
              <w:right w:val="single" w:sz="4" w:space="0" w:color="auto"/>
            </w:tcBorders>
            <w:shd w:val="clear" w:color="auto" w:fill="auto"/>
            <w:noWrap/>
            <w:vAlign w:val="center"/>
            <w:hideMark/>
          </w:tcPr>
          <w:p w14:paraId="01497F58"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0.35</w:t>
            </w:r>
          </w:p>
        </w:tc>
        <w:tc>
          <w:tcPr>
            <w:tcW w:w="680" w:type="dxa"/>
            <w:tcBorders>
              <w:top w:val="nil"/>
              <w:left w:val="nil"/>
              <w:bottom w:val="single" w:sz="4" w:space="0" w:color="auto"/>
              <w:right w:val="single" w:sz="4" w:space="0" w:color="auto"/>
            </w:tcBorders>
            <w:shd w:val="clear" w:color="auto" w:fill="auto"/>
            <w:noWrap/>
            <w:vAlign w:val="center"/>
            <w:hideMark/>
          </w:tcPr>
          <w:p w14:paraId="7BA714C1"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0.03</w:t>
            </w:r>
          </w:p>
        </w:tc>
        <w:tc>
          <w:tcPr>
            <w:tcW w:w="680" w:type="dxa"/>
            <w:tcBorders>
              <w:top w:val="nil"/>
              <w:left w:val="nil"/>
              <w:bottom w:val="single" w:sz="4" w:space="0" w:color="auto"/>
              <w:right w:val="single" w:sz="4" w:space="0" w:color="auto"/>
            </w:tcBorders>
            <w:shd w:val="clear" w:color="auto" w:fill="auto"/>
            <w:noWrap/>
            <w:vAlign w:val="center"/>
            <w:hideMark/>
          </w:tcPr>
          <w:p w14:paraId="53D41C63"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0.32</w:t>
            </w:r>
          </w:p>
        </w:tc>
      </w:tr>
      <w:tr w:rsidR="00853A26" w:rsidRPr="00853A26" w14:paraId="12BF2E6A" w14:textId="77777777" w:rsidTr="00DB00DE">
        <w:trPr>
          <w:trHeight w:hRule="exact" w:val="454"/>
          <w:jc w:val="center"/>
        </w:trPr>
        <w:tc>
          <w:tcPr>
            <w:tcW w:w="984"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D170EC4" w14:textId="77777777"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X10</w:t>
            </w:r>
          </w:p>
        </w:tc>
        <w:tc>
          <w:tcPr>
            <w:tcW w:w="680" w:type="dxa"/>
            <w:tcBorders>
              <w:top w:val="nil"/>
              <w:left w:val="nil"/>
              <w:bottom w:val="single" w:sz="4" w:space="0" w:color="auto"/>
              <w:right w:val="single" w:sz="4" w:space="0" w:color="auto"/>
            </w:tcBorders>
            <w:shd w:val="clear" w:color="auto" w:fill="auto"/>
            <w:noWrap/>
            <w:vAlign w:val="center"/>
            <w:hideMark/>
          </w:tcPr>
          <w:p w14:paraId="589E6884"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0.40</w:t>
            </w:r>
          </w:p>
        </w:tc>
        <w:tc>
          <w:tcPr>
            <w:tcW w:w="680" w:type="dxa"/>
            <w:tcBorders>
              <w:top w:val="nil"/>
              <w:left w:val="nil"/>
              <w:bottom w:val="single" w:sz="4" w:space="0" w:color="auto"/>
              <w:right w:val="single" w:sz="4" w:space="0" w:color="auto"/>
            </w:tcBorders>
            <w:shd w:val="clear" w:color="auto" w:fill="auto"/>
            <w:noWrap/>
            <w:vAlign w:val="center"/>
            <w:hideMark/>
          </w:tcPr>
          <w:p w14:paraId="501C7EB2"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-0.41</w:t>
            </w:r>
          </w:p>
        </w:tc>
        <w:tc>
          <w:tcPr>
            <w:tcW w:w="680" w:type="dxa"/>
            <w:tcBorders>
              <w:top w:val="nil"/>
              <w:left w:val="nil"/>
              <w:bottom w:val="single" w:sz="4" w:space="0" w:color="auto"/>
              <w:right w:val="single" w:sz="4" w:space="0" w:color="auto"/>
            </w:tcBorders>
            <w:shd w:val="clear" w:color="auto" w:fill="auto"/>
            <w:noWrap/>
            <w:vAlign w:val="center"/>
            <w:hideMark/>
          </w:tcPr>
          <w:p w14:paraId="70355E55"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0.14</w:t>
            </w:r>
          </w:p>
        </w:tc>
        <w:tc>
          <w:tcPr>
            <w:tcW w:w="680" w:type="dxa"/>
            <w:tcBorders>
              <w:top w:val="nil"/>
              <w:left w:val="nil"/>
              <w:bottom w:val="single" w:sz="4" w:space="0" w:color="auto"/>
              <w:right w:val="single" w:sz="4" w:space="0" w:color="auto"/>
            </w:tcBorders>
            <w:shd w:val="clear" w:color="auto" w:fill="auto"/>
            <w:noWrap/>
            <w:vAlign w:val="center"/>
            <w:hideMark/>
          </w:tcPr>
          <w:p w14:paraId="4A70E3C1"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0.45</w:t>
            </w:r>
          </w:p>
        </w:tc>
        <w:tc>
          <w:tcPr>
            <w:tcW w:w="680" w:type="dxa"/>
            <w:tcBorders>
              <w:top w:val="nil"/>
              <w:left w:val="nil"/>
              <w:bottom w:val="single" w:sz="4" w:space="0" w:color="auto"/>
              <w:right w:val="single" w:sz="4" w:space="0" w:color="auto"/>
            </w:tcBorders>
            <w:shd w:val="clear" w:color="auto" w:fill="auto"/>
            <w:noWrap/>
            <w:vAlign w:val="center"/>
            <w:hideMark/>
          </w:tcPr>
          <w:p w14:paraId="67DE4D22"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-0.35</w:t>
            </w:r>
          </w:p>
        </w:tc>
        <w:tc>
          <w:tcPr>
            <w:tcW w:w="680" w:type="dxa"/>
            <w:tcBorders>
              <w:top w:val="nil"/>
              <w:left w:val="nil"/>
              <w:bottom w:val="single" w:sz="4" w:space="0" w:color="auto"/>
              <w:right w:val="single" w:sz="4" w:space="0" w:color="auto"/>
            </w:tcBorders>
            <w:shd w:val="clear" w:color="auto" w:fill="auto"/>
            <w:noWrap/>
            <w:vAlign w:val="center"/>
            <w:hideMark/>
          </w:tcPr>
          <w:p w14:paraId="56421261"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0.03</w:t>
            </w:r>
          </w:p>
        </w:tc>
        <w:tc>
          <w:tcPr>
            <w:tcW w:w="680" w:type="dxa"/>
            <w:tcBorders>
              <w:top w:val="nil"/>
              <w:left w:val="nil"/>
              <w:bottom w:val="single" w:sz="4" w:space="0" w:color="auto"/>
              <w:right w:val="single" w:sz="4" w:space="0" w:color="auto"/>
            </w:tcBorders>
            <w:shd w:val="clear" w:color="auto" w:fill="auto"/>
            <w:noWrap/>
            <w:vAlign w:val="center"/>
            <w:hideMark/>
          </w:tcPr>
          <w:p w14:paraId="3FC7E4D6"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0.18</w:t>
            </w:r>
          </w:p>
        </w:tc>
        <w:tc>
          <w:tcPr>
            <w:tcW w:w="680" w:type="dxa"/>
            <w:tcBorders>
              <w:top w:val="nil"/>
              <w:left w:val="nil"/>
              <w:bottom w:val="single" w:sz="4" w:space="0" w:color="auto"/>
              <w:right w:val="single" w:sz="4" w:space="0" w:color="auto"/>
            </w:tcBorders>
            <w:shd w:val="clear" w:color="auto" w:fill="auto"/>
            <w:noWrap/>
            <w:vAlign w:val="center"/>
            <w:hideMark/>
          </w:tcPr>
          <w:p w14:paraId="72A2B829"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0.20</w:t>
            </w:r>
          </w:p>
        </w:tc>
        <w:tc>
          <w:tcPr>
            <w:tcW w:w="680" w:type="dxa"/>
            <w:tcBorders>
              <w:top w:val="nil"/>
              <w:left w:val="nil"/>
              <w:bottom w:val="single" w:sz="4" w:space="0" w:color="auto"/>
              <w:right w:val="single" w:sz="4" w:space="0" w:color="auto"/>
            </w:tcBorders>
            <w:shd w:val="clear" w:color="auto" w:fill="auto"/>
            <w:noWrap/>
            <w:vAlign w:val="center"/>
            <w:hideMark/>
          </w:tcPr>
          <w:p w14:paraId="677FF59A"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0.35</w:t>
            </w:r>
          </w:p>
        </w:tc>
        <w:tc>
          <w:tcPr>
            <w:tcW w:w="680" w:type="dxa"/>
            <w:tcBorders>
              <w:top w:val="nil"/>
              <w:left w:val="nil"/>
              <w:bottom w:val="single" w:sz="4" w:space="0" w:color="auto"/>
              <w:right w:val="single" w:sz="4" w:space="0" w:color="auto"/>
            </w:tcBorders>
            <w:shd w:val="clear" w:color="auto" w:fill="auto"/>
            <w:noWrap/>
            <w:vAlign w:val="center"/>
            <w:hideMark/>
          </w:tcPr>
          <w:p w14:paraId="32FE06C3" w14:textId="77777777" w:rsidR="00853A26" w:rsidRPr="00325478" w:rsidRDefault="00853A26" w:rsidP="00853A26">
            <w:pPr>
              <w:spacing w:before="0" w:after="0" w:line="240" w:lineRule="auto"/>
              <w:jc w:val="center"/>
              <w:rPr>
                <w:rFonts w:eastAsia="Times New Roman"/>
                <w:b/>
                <w:bCs/>
                <w:color w:val="000000"/>
                <w:sz w:val="22"/>
                <w:lang w:eastAsia="pl-PL"/>
              </w:rPr>
            </w:pPr>
            <w:r w:rsidRPr="00325478">
              <w:rPr>
                <w:rFonts w:eastAsia="Times New Roman"/>
                <w:b/>
                <w:bCs/>
                <w:color w:val="000000"/>
                <w:sz w:val="22"/>
                <w:lang w:eastAsia="pl-PL"/>
              </w:rPr>
              <w:t>1.00</w:t>
            </w:r>
          </w:p>
        </w:tc>
        <w:tc>
          <w:tcPr>
            <w:tcW w:w="680" w:type="dxa"/>
            <w:tcBorders>
              <w:top w:val="nil"/>
              <w:left w:val="nil"/>
              <w:bottom w:val="single" w:sz="4" w:space="0" w:color="auto"/>
              <w:right w:val="single" w:sz="4" w:space="0" w:color="auto"/>
            </w:tcBorders>
            <w:shd w:val="clear" w:color="auto" w:fill="auto"/>
            <w:noWrap/>
            <w:vAlign w:val="center"/>
            <w:hideMark/>
          </w:tcPr>
          <w:p w14:paraId="56563D4E"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0.08</w:t>
            </w:r>
          </w:p>
        </w:tc>
        <w:tc>
          <w:tcPr>
            <w:tcW w:w="680" w:type="dxa"/>
            <w:tcBorders>
              <w:top w:val="nil"/>
              <w:left w:val="nil"/>
              <w:bottom w:val="single" w:sz="4" w:space="0" w:color="auto"/>
              <w:right w:val="single" w:sz="4" w:space="0" w:color="auto"/>
            </w:tcBorders>
            <w:shd w:val="clear" w:color="auto" w:fill="auto"/>
            <w:noWrap/>
            <w:vAlign w:val="center"/>
            <w:hideMark/>
          </w:tcPr>
          <w:p w14:paraId="457ACAB4"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0.00</w:t>
            </w:r>
          </w:p>
        </w:tc>
      </w:tr>
      <w:tr w:rsidR="00853A26" w:rsidRPr="00853A26" w14:paraId="2806E31C" w14:textId="77777777" w:rsidTr="00DB00DE">
        <w:trPr>
          <w:trHeight w:hRule="exact" w:val="454"/>
          <w:jc w:val="center"/>
        </w:trPr>
        <w:tc>
          <w:tcPr>
            <w:tcW w:w="984"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6455E0" w14:textId="77777777"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X11</w:t>
            </w:r>
          </w:p>
        </w:tc>
        <w:tc>
          <w:tcPr>
            <w:tcW w:w="680" w:type="dxa"/>
            <w:tcBorders>
              <w:top w:val="nil"/>
              <w:left w:val="nil"/>
              <w:bottom w:val="single" w:sz="4" w:space="0" w:color="auto"/>
              <w:right w:val="single" w:sz="4" w:space="0" w:color="auto"/>
            </w:tcBorders>
            <w:shd w:val="clear" w:color="auto" w:fill="auto"/>
            <w:noWrap/>
            <w:vAlign w:val="center"/>
            <w:hideMark/>
          </w:tcPr>
          <w:p w14:paraId="633F4325"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0.28</w:t>
            </w:r>
          </w:p>
        </w:tc>
        <w:tc>
          <w:tcPr>
            <w:tcW w:w="680" w:type="dxa"/>
            <w:tcBorders>
              <w:top w:val="nil"/>
              <w:left w:val="nil"/>
              <w:bottom w:val="single" w:sz="4" w:space="0" w:color="auto"/>
              <w:right w:val="single" w:sz="4" w:space="0" w:color="auto"/>
            </w:tcBorders>
            <w:shd w:val="clear" w:color="auto" w:fill="auto"/>
            <w:noWrap/>
            <w:vAlign w:val="center"/>
            <w:hideMark/>
          </w:tcPr>
          <w:p w14:paraId="0CFFDB4E"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-0.28</w:t>
            </w:r>
          </w:p>
        </w:tc>
        <w:tc>
          <w:tcPr>
            <w:tcW w:w="680" w:type="dxa"/>
            <w:tcBorders>
              <w:top w:val="nil"/>
              <w:left w:val="nil"/>
              <w:bottom w:val="single" w:sz="4" w:space="0" w:color="auto"/>
              <w:right w:val="single" w:sz="4" w:space="0" w:color="auto"/>
            </w:tcBorders>
            <w:shd w:val="clear" w:color="auto" w:fill="auto"/>
            <w:noWrap/>
            <w:vAlign w:val="center"/>
            <w:hideMark/>
          </w:tcPr>
          <w:p w14:paraId="4E8CF249"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-0.03</w:t>
            </w:r>
          </w:p>
        </w:tc>
        <w:tc>
          <w:tcPr>
            <w:tcW w:w="680" w:type="dxa"/>
            <w:tcBorders>
              <w:top w:val="nil"/>
              <w:left w:val="nil"/>
              <w:bottom w:val="single" w:sz="4" w:space="0" w:color="auto"/>
              <w:right w:val="single" w:sz="4" w:space="0" w:color="auto"/>
            </w:tcBorders>
            <w:shd w:val="clear" w:color="auto" w:fill="auto"/>
            <w:noWrap/>
            <w:vAlign w:val="center"/>
            <w:hideMark/>
          </w:tcPr>
          <w:p w14:paraId="1037C825" w14:textId="0114CC89"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0.00</w:t>
            </w:r>
          </w:p>
        </w:tc>
        <w:tc>
          <w:tcPr>
            <w:tcW w:w="680" w:type="dxa"/>
            <w:tcBorders>
              <w:top w:val="nil"/>
              <w:left w:val="nil"/>
              <w:bottom w:val="single" w:sz="4" w:space="0" w:color="auto"/>
              <w:right w:val="single" w:sz="4" w:space="0" w:color="auto"/>
            </w:tcBorders>
            <w:shd w:val="clear" w:color="auto" w:fill="auto"/>
            <w:noWrap/>
            <w:vAlign w:val="center"/>
            <w:hideMark/>
          </w:tcPr>
          <w:p w14:paraId="4705DCF4"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-0.07</w:t>
            </w:r>
          </w:p>
        </w:tc>
        <w:tc>
          <w:tcPr>
            <w:tcW w:w="680" w:type="dxa"/>
            <w:tcBorders>
              <w:top w:val="nil"/>
              <w:left w:val="nil"/>
              <w:bottom w:val="single" w:sz="4" w:space="0" w:color="auto"/>
              <w:right w:val="single" w:sz="4" w:space="0" w:color="auto"/>
            </w:tcBorders>
            <w:shd w:val="clear" w:color="auto" w:fill="auto"/>
            <w:noWrap/>
            <w:vAlign w:val="center"/>
            <w:hideMark/>
          </w:tcPr>
          <w:p w14:paraId="46FA483E"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0.02</w:t>
            </w:r>
          </w:p>
        </w:tc>
        <w:tc>
          <w:tcPr>
            <w:tcW w:w="680" w:type="dxa"/>
            <w:tcBorders>
              <w:top w:val="nil"/>
              <w:left w:val="nil"/>
              <w:bottom w:val="single" w:sz="4" w:space="0" w:color="auto"/>
              <w:right w:val="single" w:sz="4" w:space="0" w:color="auto"/>
            </w:tcBorders>
            <w:shd w:val="clear" w:color="auto" w:fill="auto"/>
            <w:noWrap/>
            <w:vAlign w:val="center"/>
            <w:hideMark/>
          </w:tcPr>
          <w:p w14:paraId="0AB256EE"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-0.10</w:t>
            </w:r>
          </w:p>
        </w:tc>
        <w:tc>
          <w:tcPr>
            <w:tcW w:w="680" w:type="dxa"/>
            <w:tcBorders>
              <w:top w:val="nil"/>
              <w:left w:val="nil"/>
              <w:bottom w:val="single" w:sz="4" w:space="0" w:color="auto"/>
              <w:right w:val="single" w:sz="4" w:space="0" w:color="auto"/>
            </w:tcBorders>
            <w:shd w:val="clear" w:color="auto" w:fill="auto"/>
            <w:noWrap/>
            <w:vAlign w:val="center"/>
            <w:hideMark/>
          </w:tcPr>
          <w:p w14:paraId="76BDAB38"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0.32</w:t>
            </w:r>
          </w:p>
        </w:tc>
        <w:tc>
          <w:tcPr>
            <w:tcW w:w="680" w:type="dxa"/>
            <w:tcBorders>
              <w:top w:val="nil"/>
              <w:left w:val="nil"/>
              <w:bottom w:val="single" w:sz="4" w:space="0" w:color="auto"/>
              <w:right w:val="single" w:sz="4" w:space="0" w:color="auto"/>
            </w:tcBorders>
            <w:shd w:val="clear" w:color="auto" w:fill="auto"/>
            <w:noWrap/>
            <w:vAlign w:val="center"/>
            <w:hideMark/>
          </w:tcPr>
          <w:p w14:paraId="655E7D7A"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0.03</w:t>
            </w:r>
          </w:p>
        </w:tc>
        <w:tc>
          <w:tcPr>
            <w:tcW w:w="680" w:type="dxa"/>
            <w:tcBorders>
              <w:top w:val="nil"/>
              <w:left w:val="nil"/>
              <w:bottom w:val="single" w:sz="4" w:space="0" w:color="auto"/>
              <w:right w:val="single" w:sz="4" w:space="0" w:color="auto"/>
            </w:tcBorders>
            <w:shd w:val="clear" w:color="auto" w:fill="auto"/>
            <w:noWrap/>
            <w:vAlign w:val="center"/>
            <w:hideMark/>
          </w:tcPr>
          <w:p w14:paraId="75008E01"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0.08</w:t>
            </w:r>
          </w:p>
        </w:tc>
        <w:tc>
          <w:tcPr>
            <w:tcW w:w="680" w:type="dxa"/>
            <w:tcBorders>
              <w:top w:val="nil"/>
              <w:left w:val="nil"/>
              <w:bottom w:val="single" w:sz="4" w:space="0" w:color="auto"/>
              <w:right w:val="single" w:sz="4" w:space="0" w:color="auto"/>
            </w:tcBorders>
            <w:shd w:val="clear" w:color="auto" w:fill="auto"/>
            <w:noWrap/>
            <w:vAlign w:val="center"/>
            <w:hideMark/>
          </w:tcPr>
          <w:p w14:paraId="3154B0A7" w14:textId="77777777" w:rsidR="00853A26" w:rsidRPr="00325478" w:rsidRDefault="00853A26" w:rsidP="00853A26">
            <w:pPr>
              <w:spacing w:before="0" w:after="0" w:line="240" w:lineRule="auto"/>
              <w:jc w:val="center"/>
              <w:rPr>
                <w:rFonts w:eastAsia="Times New Roman"/>
                <w:b/>
                <w:bCs/>
                <w:color w:val="000000"/>
                <w:sz w:val="22"/>
                <w:lang w:eastAsia="pl-PL"/>
              </w:rPr>
            </w:pPr>
            <w:r w:rsidRPr="00325478">
              <w:rPr>
                <w:rFonts w:eastAsia="Times New Roman"/>
                <w:b/>
                <w:bCs/>
                <w:color w:val="000000"/>
                <w:sz w:val="22"/>
                <w:lang w:eastAsia="pl-PL"/>
              </w:rPr>
              <w:t>1.00</w:t>
            </w:r>
          </w:p>
        </w:tc>
        <w:tc>
          <w:tcPr>
            <w:tcW w:w="680" w:type="dxa"/>
            <w:tcBorders>
              <w:top w:val="nil"/>
              <w:left w:val="nil"/>
              <w:bottom w:val="single" w:sz="4" w:space="0" w:color="auto"/>
              <w:right w:val="single" w:sz="4" w:space="0" w:color="auto"/>
            </w:tcBorders>
            <w:shd w:val="clear" w:color="auto" w:fill="auto"/>
            <w:noWrap/>
            <w:vAlign w:val="center"/>
            <w:hideMark/>
          </w:tcPr>
          <w:p w14:paraId="1909CCEA"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0.22</w:t>
            </w:r>
          </w:p>
        </w:tc>
      </w:tr>
      <w:tr w:rsidR="00853A26" w:rsidRPr="00853A26" w14:paraId="43D780D5" w14:textId="77777777" w:rsidTr="00DB00DE">
        <w:trPr>
          <w:trHeight w:hRule="exact" w:val="454"/>
          <w:jc w:val="center"/>
        </w:trPr>
        <w:tc>
          <w:tcPr>
            <w:tcW w:w="984"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B436232" w14:textId="3EB94D84" w:rsidR="00853A26" w:rsidRPr="00853A26" w:rsidRDefault="00853A26" w:rsidP="00853A26">
            <w:pPr>
              <w:spacing w:before="0" w:after="0" w:line="240" w:lineRule="auto"/>
              <w:jc w:val="center"/>
              <w:rPr>
                <w:rFonts w:eastAsia="Times New Roman"/>
                <w:b/>
                <w:bCs/>
                <w:color w:val="000000"/>
                <w:sz w:val="22"/>
                <w:lang w:eastAsia="pl-PL"/>
              </w:rPr>
            </w:pPr>
            <w:r w:rsidRPr="00853A26">
              <w:rPr>
                <w:rFonts w:eastAsia="Times New Roman"/>
                <w:b/>
                <w:bCs/>
                <w:color w:val="000000"/>
                <w:sz w:val="22"/>
                <w:lang w:eastAsia="pl-PL"/>
              </w:rPr>
              <w:t>X12</w:t>
            </w:r>
          </w:p>
        </w:tc>
        <w:tc>
          <w:tcPr>
            <w:tcW w:w="680" w:type="dxa"/>
            <w:tcBorders>
              <w:top w:val="nil"/>
              <w:left w:val="nil"/>
              <w:bottom w:val="single" w:sz="4" w:space="0" w:color="auto"/>
              <w:right w:val="single" w:sz="4" w:space="0" w:color="auto"/>
            </w:tcBorders>
            <w:shd w:val="clear" w:color="auto" w:fill="auto"/>
            <w:noWrap/>
            <w:vAlign w:val="center"/>
            <w:hideMark/>
          </w:tcPr>
          <w:p w14:paraId="531AD468"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0.20</w:t>
            </w:r>
          </w:p>
        </w:tc>
        <w:tc>
          <w:tcPr>
            <w:tcW w:w="680" w:type="dxa"/>
            <w:tcBorders>
              <w:top w:val="nil"/>
              <w:left w:val="nil"/>
              <w:bottom w:val="single" w:sz="4" w:space="0" w:color="auto"/>
              <w:right w:val="single" w:sz="4" w:space="0" w:color="auto"/>
            </w:tcBorders>
            <w:shd w:val="clear" w:color="auto" w:fill="auto"/>
            <w:noWrap/>
            <w:vAlign w:val="center"/>
            <w:hideMark/>
          </w:tcPr>
          <w:p w14:paraId="4753751E"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-0.16</w:t>
            </w:r>
          </w:p>
        </w:tc>
        <w:tc>
          <w:tcPr>
            <w:tcW w:w="680" w:type="dxa"/>
            <w:tcBorders>
              <w:top w:val="nil"/>
              <w:left w:val="nil"/>
              <w:bottom w:val="single" w:sz="4" w:space="0" w:color="auto"/>
              <w:right w:val="single" w:sz="4" w:space="0" w:color="auto"/>
            </w:tcBorders>
            <w:shd w:val="clear" w:color="auto" w:fill="auto"/>
            <w:noWrap/>
            <w:vAlign w:val="center"/>
            <w:hideMark/>
          </w:tcPr>
          <w:p w14:paraId="67C0E9D8"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0.06</w:t>
            </w:r>
          </w:p>
        </w:tc>
        <w:tc>
          <w:tcPr>
            <w:tcW w:w="680" w:type="dxa"/>
            <w:tcBorders>
              <w:top w:val="nil"/>
              <w:left w:val="nil"/>
              <w:bottom w:val="single" w:sz="4" w:space="0" w:color="auto"/>
              <w:right w:val="single" w:sz="4" w:space="0" w:color="auto"/>
            </w:tcBorders>
            <w:shd w:val="clear" w:color="auto" w:fill="auto"/>
            <w:noWrap/>
            <w:vAlign w:val="center"/>
            <w:hideMark/>
          </w:tcPr>
          <w:p w14:paraId="6ED7FD86" w14:textId="71A9B959"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0.18</w:t>
            </w:r>
          </w:p>
        </w:tc>
        <w:tc>
          <w:tcPr>
            <w:tcW w:w="680" w:type="dxa"/>
            <w:tcBorders>
              <w:top w:val="nil"/>
              <w:left w:val="nil"/>
              <w:bottom w:val="single" w:sz="4" w:space="0" w:color="auto"/>
              <w:right w:val="single" w:sz="4" w:space="0" w:color="auto"/>
            </w:tcBorders>
            <w:shd w:val="clear" w:color="auto" w:fill="auto"/>
            <w:noWrap/>
            <w:vAlign w:val="center"/>
            <w:hideMark/>
          </w:tcPr>
          <w:p w14:paraId="6F25F9C2"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-0.02</w:t>
            </w:r>
          </w:p>
        </w:tc>
        <w:tc>
          <w:tcPr>
            <w:tcW w:w="680" w:type="dxa"/>
            <w:tcBorders>
              <w:top w:val="nil"/>
              <w:left w:val="nil"/>
              <w:bottom w:val="single" w:sz="4" w:space="0" w:color="auto"/>
              <w:right w:val="single" w:sz="4" w:space="0" w:color="auto"/>
            </w:tcBorders>
            <w:shd w:val="clear" w:color="auto" w:fill="auto"/>
            <w:noWrap/>
            <w:vAlign w:val="center"/>
            <w:hideMark/>
          </w:tcPr>
          <w:p w14:paraId="1EEB7FE4"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0.27</w:t>
            </w:r>
          </w:p>
        </w:tc>
        <w:tc>
          <w:tcPr>
            <w:tcW w:w="680" w:type="dxa"/>
            <w:tcBorders>
              <w:top w:val="nil"/>
              <w:left w:val="nil"/>
              <w:bottom w:val="single" w:sz="4" w:space="0" w:color="auto"/>
              <w:right w:val="single" w:sz="4" w:space="0" w:color="auto"/>
            </w:tcBorders>
            <w:shd w:val="clear" w:color="auto" w:fill="auto"/>
            <w:noWrap/>
            <w:vAlign w:val="center"/>
            <w:hideMark/>
          </w:tcPr>
          <w:p w14:paraId="4B95FD68"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0.08</w:t>
            </w:r>
          </w:p>
        </w:tc>
        <w:tc>
          <w:tcPr>
            <w:tcW w:w="680" w:type="dxa"/>
            <w:tcBorders>
              <w:top w:val="nil"/>
              <w:left w:val="nil"/>
              <w:bottom w:val="single" w:sz="4" w:space="0" w:color="auto"/>
              <w:right w:val="single" w:sz="4" w:space="0" w:color="auto"/>
            </w:tcBorders>
            <w:shd w:val="clear" w:color="auto" w:fill="auto"/>
            <w:noWrap/>
            <w:vAlign w:val="center"/>
            <w:hideMark/>
          </w:tcPr>
          <w:p w14:paraId="542765BB"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0.10</w:t>
            </w:r>
          </w:p>
        </w:tc>
        <w:tc>
          <w:tcPr>
            <w:tcW w:w="680" w:type="dxa"/>
            <w:tcBorders>
              <w:top w:val="nil"/>
              <w:left w:val="nil"/>
              <w:bottom w:val="single" w:sz="4" w:space="0" w:color="auto"/>
              <w:right w:val="single" w:sz="4" w:space="0" w:color="auto"/>
            </w:tcBorders>
            <w:shd w:val="clear" w:color="auto" w:fill="auto"/>
            <w:noWrap/>
            <w:vAlign w:val="center"/>
            <w:hideMark/>
          </w:tcPr>
          <w:p w14:paraId="0676A6CE"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0.32</w:t>
            </w:r>
          </w:p>
        </w:tc>
        <w:tc>
          <w:tcPr>
            <w:tcW w:w="680" w:type="dxa"/>
            <w:tcBorders>
              <w:top w:val="nil"/>
              <w:left w:val="nil"/>
              <w:bottom w:val="single" w:sz="4" w:space="0" w:color="auto"/>
              <w:right w:val="single" w:sz="4" w:space="0" w:color="auto"/>
            </w:tcBorders>
            <w:shd w:val="clear" w:color="auto" w:fill="auto"/>
            <w:noWrap/>
            <w:vAlign w:val="center"/>
            <w:hideMark/>
          </w:tcPr>
          <w:p w14:paraId="10E9E795"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0.00</w:t>
            </w:r>
          </w:p>
        </w:tc>
        <w:tc>
          <w:tcPr>
            <w:tcW w:w="680" w:type="dxa"/>
            <w:tcBorders>
              <w:top w:val="nil"/>
              <w:left w:val="nil"/>
              <w:bottom w:val="single" w:sz="4" w:space="0" w:color="auto"/>
              <w:right w:val="single" w:sz="4" w:space="0" w:color="auto"/>
            </w:tcBorders>
            <w:shd w:val="clear" w:color="auto" w:fill="auto"/>
            <w:noWrap/>
            <w:vAlign w:val="center"/>
            <w:hideMark/>
          </w:tcPr>
          <w:p w14:paraId="78660230" w14:textId="77777777" w:rsidR="00853A26" w:rsidRPr="00853A26" w:rsidRDefault="00853A26" w:rsidP="00853A26">
            <w:pPr>
              <w:spacing w:before="0" w:after="0" w:line="240" w:lineRule="auto"/>
              <w:jc w:val="center"/>
              <w:rPr>
                <w:rFonts w:eastAsia="Times New Roman"/>
                <w:color w:val="000000"/>
                <w:sz w:val="22"/>
                <w:lang w:eastAsia="pl-PL"/>
              </w:rPr>
            </w:pPr>
            <w:r w:rsidRPr="00853A26">
              <w:rPr>
                <w:rFonts w:eastAsia="Times New Roman"/>
                <w:color w:val="000000"/>
                <w:sz w:val="22"/>
                <w:lang w:eastAsia="pl-PL"/>
              </w:rPr>
              <w:t>0.22</w:t>
            </w:r>
          </w:p>
        </w:tc>
        <w:tc>
          <w:tcPr>
            <w:tcW w:w="680" w:type="dxa"/>
            <w:tcBorders>
              <w:top w:val="nil"/>
              <w:left w:val="nil"/>
              <w:bottom w:val="single" w:sz="4" w:space="0" w:color="auto"/>
              <w:right w:val="single" w:sz="4" w:space="0" w:color="auto"/>
            </w:tcBorders>
            <w:shd w:val="clear" w:color="auto" w:fill="auto"/>
            <w:noWrap/>
            <w:vAlign w:val="center"/>
            <w:hideMark/>
          </w:tcPr>
          <w:p w14:paraId="7C6EDB14" w14:textId="77777777" w:rsidR="00853A26" w:rsidRPr="00325478" w:rsidRDefault="00853A26" w:rsidP="00853A26">
            <w:pPr>
              <w:keepNext/>
              <w:spacing w:before="0" w:after="0" w:line="240" w:lineRule="auto"/>
              <w:jc w:val="center"/>
              <w:rPr>
                <w:rFonts w:eastAsia="Times New Roman"/>
                <w:b/>
                <w:bCs/>
                <w:color w:val="000000"/>
                <w:sz w:val="22"/>
                <w:lang w:eastAsia="pl-PL"/>
              </w:rPr>
            </w:pPr>
            <w:r w:rsidRPr="00325478">
              <w:rPr>
                <w:rFonts w:eastAsia="Times New Roman"/>
                <w:b/>
                <w:bCs/>
                <w:color w:val="000000"/>
                <w:sz w:val="22"/>
                <w:lang w:eastAsia="pl-PL"/>
              </w:rPr>
              <w:t>1.00</w:t>
            </w:r>
          </w:p>
        </w:tc>
      </w:tr>
    </w:tbl>
    <w:p w14:paraId="57179E28" w14:textId="261535B0" w:rsidR="009E5CA5" w:rsidRDefault="00853A26" w:rsidP="00853A26">
      <w:pPr>
        <w:pStyle w:val="Legenda"/>
        <w:jc w:val="center"/>
      </w:pPr>
      <w:r>
        <w:t xml:space="preserve">Tabela </w:t>
      </w:r>
      <w:fldSimple w:instr=" SEQ Tabela \* ARABIC ">
        <w:r w:rsidR="00EF2DB4">
          <w:rPr>
            <w:noProof/>
          </w:rPr>
          <w:t>3</w:t>
        </w:r>
      </w:fldSimple>
      <w:r>
        <w:t>.Macierz korelacji.</w:t>
      </w:r>
    </w:p>
    <w:p w14:paraId="0A38D462" w14:textId="47A05E16" w:rsidR="009E5CA5" w:rsidRDefault="00C94149" w:rsidP="00591799">
      <w:r>
        <w:rPr>
          <w:noProof/>
          <w14:ligatures w14:val="standardContextual"/>
        </w:rPr>
        <w:drawing>
          <wp:anchor distT="0" distB="0" distL="114300" distR="114300" simplePos="0" relativeHeight="251660288" behindDoc="0" locked="0" layoutInCell="1" allowOverlap="1" wp14:anchorId="64BE798A" wp14:editId="0A835D5D">
            <wp:simplePos x="0" y="0"/>
            <wp:positionH relativeFrom="margin">
              <wp:posOffset>518795</wp:posOffset>
            </wp:positionH>
            <wp:positionV relativeFrom="margin">
              <wp:posOffset>4160520</wp:posOffset>
            </wp:positionV>
            <wp:extent cx="4820920" cy="4460875"/>
            <wp:effectExtent l="0" t="0" r="5080" b="0"/>
            <wp:wrapSquare wrapText="bothSides"/>
            <wp:docPr id="1017188701" name="Obraz 2" descr="Obraz zawierający tekst, zrzut ekranu, diagram, kwadra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88701" name="Obraz 2" descr="Obraz zawierający tekst, zrzut ekranu, diagram, kwadrat&#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4820920" cy="4460875"/>
                    </a:xfrm>
                    <a:prstGeom prst="rect">
                      <a:avLst/>
                    </a:prstGeom>
                  </pic:spPr>
                </pic:pic>
              </a:graphicData>
            </a:graphic>
            <wp14:sizeRelH relativeFrom="margin">
              <wp14:pctWidth>0</wp14:pctWidth>
            </wp14:sizeRelH>
            <wp14:sizeRelV relativeFrom="margin">
              <wp14:pctHeight>0</wp14:pctHeight>
            </wp14:sizeRelV>
          </wp:anchor>
        </w:drawing>
      </w:r>
    </w:p>
    <w:p w14:paraId="09D0282A" w14:textId="0A88A0AE" w:rsidR="00591799" w:rsidRDefault="00C94149" w:rsidP="00591799">
      <w:r>
        <w:rPr>
          <w:noProof/>
        </w:rPr>
        <mc:AlternateContent>
          <mc:Choice Requires="wps">
            <w:drawing>
              <wp:anchor distT="0" distB="0" distL="114300" distR="114300" simplePos="0" relativeHeight="251662336" behindDoc="0" locked="0" layoutInCell="1" allowOverlap="1" wp14:anchorId="4A9529F0" wp14:editId="7DDC9361">
                <wp:simplePos x="0" y="0"/>
                <wp:positionH relativeFrom="column">
                  <wp:posOffset>245110</wp:posOffset>
                </wp:positionH>
                <wp:positionV relativeFrom="paragraph">
                  <wp:posOffset>4140200</wp:posOffset>
                </wp:positionV>
                <wp:extent cx="5270500" cy="635"/>
                <wp:effectExtent l="0" t="0" r="0" b="12065"/>
                <wp:wrapSquare wrapText="bothSides"/>
                <wp:docPr id="115776714" name="Pole tekstowe 1"/>
                <wp:cNvGraphicFramePr/>
                <a:graphic xmlns:a="http://schemas.openxmlformats.org/drawingml/2006/main">
                  <a:graphicData uri="http://schemas.microsoft.com/office/word/2010/wordprocessingShape">
                    <wps:wsp>
                      <wps:cNvSpPr txBox="1"/>
                      <wps:spPr>
                        <a:xfrm>
                          <a:off x="0" y="0"/>
                          <a:ext cx="5270500" cy="635"/>
                        </a:xfrm>
                        <a:prstGeom prst="rect">
                          <a:avLst/>
                        </a:prstGeom>
                        <a:solidFill>
                          <a:prstClr val="white"/>
                        </a:solidFill>
                        <a:ln>
                          <a:noFill/>
                        </a:ln>
                      </wps:spPr>
                      <wps:txbx>
                        <w:txbxContent>
                          <w:p w14:paraId="11F4B14A" w14:textId="30E37A92" w:rsidR="00417583" w:rsidRPr="00CE3E26" w:rsidRDefault="00417583" w:rsidP="00417583">
                            <w:pPr>
                              <w:pStyle w:val="Legenda"/>
                              <w:jc w:val="center"/>
                              <w:rPr>
                                <w:noProof/>
                                <w:szCs w:val="22"/>
                              </w:rPr>
                            </w:pPr>
                            <w:r>
                              <w:t xml:space="preserve">Rysunek </w:t>
                            </w:r>
                            <w:fldSimple w:instr=" SEQ Rysunek \* ARABIC ">
                              <w:r w:rsidR="0072353B">
                                <w:rPr>
                                  <w:noProof/>
                                </w:rPr>
                                <w:t>1</w:t>
                              </w:r>
                            </w:fldSimple>
                            <w:r>
                              <w:t>. Macierz korelacji.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9529F0" id="_x0000_t202" coordsize="21600,21600" o:spt="202" path="m,l,21600r21600,l21600,xe">
                <v:stroke joinstyle="miter"/>
                <v:path gradientshapeok="t" o:connecttype="rect"/>
              </v:shapetype>
              <v:shape id="Pole tekstowe 1" o:spid="_x0000_s1026" type="#_x0000_t202" style="position:absolute;left:0;text-align:left;margin-left:19.3pt;margin-top:326pt;width: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" stroked="f">
                <v:textbox style="mso-fit-shape-to-text:t" inset="0,0,0,0">
                  <w:txbxContent>
                    <w:p w14:paraId="11F4B14A" w14:textId="30E37A92" w:rsidR="00417583" w:rsidRPr="00CE3E26" w:rsidRDefault="00417583" w:rsidP="00417583">
                      <w:pPr>
                        <w:pStyle w:val="Legenda"/>
                        <w:jc w:val="center"/>
                        <w:rPr>
                          <w:noProof/>
                          <w:szCs w:val="22"/>
                        </w:rPr>
                      </w:pPr>
                      <w:r>
                        <w:t xml:space="preserve">Rysunek </w:t>
                      </w:r>
                      <w:fldSimple w:instr=" SEQ Rysunek \* ARABIC ">
                        <w:r w:rsidR="0072353B">
                          <w:rPr>
                            <w:noProof/>
                          </w:rPr>
                          <w:t>1</w:t>
                        </w:r>
                      </w:fldSimple>
                      <w:r>
                        <w:t>. Macierz korelacji.</w:t>
                      </w:r>
                    </w:p>
                  </w:txbxContent>
                </v:textbox>
                <w10:wrap type="square"/>
              </v:shape>
            </w:pict>
          </mc:Fallback>
        </mc:AlternateContent>
      </w:r>
    </w:p>
    <w:p w14:paraId="27E9656E" w14:textId="5364ADD9" w:rsidR="00E80BA4" w:rsidRDefault="008D2850" w:rsidP="008D2850">
      <w:r>
        <w:lastRenderedPageBreak/>
        <w:tab/>
        <w:t xml:space="preserve">Przechodząc do </w:t>
      </w:r>
      <w:r w:rsidR="00E80BA4">
        <w:t xml:space="preserve">krótkiej </w:t>
      </w:r>
      <w:r>
        <w:t>interpretacji uzyskanych wyników,</w:t>
      </w:r>
      <w:r w:rsidR="009E178D">
        <w:t xml:space="preserve"> przeprowadzona a</w:t>
      </w:r>
      <w:r w:rsidR="009E178D" w:rsidRPr="009E178D">
        <w:t>naliza korelacji</w:t>
      </w:r>
      <w:r w:rsidR="009E178D">
        <w:t xml:space="preserve"> </w:t>
      </w:r>
      <w:r w:rsidR="009E178D" w:rsidRPr="009E178D">
        <w:t xml:space="preserve">między zmiennymi wskazuje na kilka istotnych </w:t>
      </w:r>
      <w:r w:rsidR="009E178D">
        <w:t>zależności</w:t>
      </w:r>
      <w:r w:rsidR="009E178D" w:rsidRPr="009E178D">
        <w:t>: silna ujemna korelacja</w:t>
      </w:r>
      <w:r w:rsidR="00995C48">
        <w:t xml:space="preserve"> </w:t>
      </w:r>
      <w:r w:rsidR="00995C48">
        <w:br/>
      </w:r>
      <w:r w:rsidR="009E178D" w:rsidRPr="009E178D">
        <w:t>(</w:t>
      </w:r>
      <w:r w:rsidR="00995C48">
        <w:t>-</w:t>
      </w:r>
      <w:r w:rsidR="009E178D" w:rsidRPr="009E178D">
        <w:t>0.66) między przeciętnym miesięcznym wynagrodzeniem brutto (X1) a stopą bezrobocia (X2) sugeruje, że wyższe zarobki są związane z niższym bezrobociem. Z kolei dodatnie korelacje między wynagrodzeniem a średnią ceną za m² mieszkania (X6, 0.43) oraz opłatami komunalnymi (X4, 0.48) sugerują</w:t>
      </w:r>
      <w:r w:rsidR="009E178D">
        <w:t xml:space="preserve"> dosyć oczywisty wniosek</w:t>
      </w:r>
      <w:r w:rsidR="009E178D" w:rsidRPr="009E178D">
        <w:t>, że w regionach o wyższych dochodach koszty życia są także wyższe.</w:t>
      </w:r>
      <w:r w:rsidR="009E178D">
        <w:t xml:space="preserve"> </w:t>
      </w:r>
      <w:r w:rsidR="009E178D" w:rsidRPr="009E178D">
        <w:t>Istnieje również pozytywna korelacja (0.46) między liczbą lekarzy na 10 000 mieszkańców (X3) a liczbą uczelni wyższych na 1 000 000 mieszkańców (X7)</w:t>
      </w:r>
      <w:r w:rsidR="00E80BA4">
        <w:t xml:space="preserve">. Może to </w:t>
      </w:r>
      <w:r w:rsidR="00E80BA4" w:rsidRPr="00E80BA4">
        <w:t>wynikać z faktu, że regiony z lepszym dostępem do opieki zdrowotnej przyciągają inwestycje w edukację i badania, co sprzyja tworzeniu instytucji akademickich oraz kształceniu wykwalifikowanych specjalistów w dziedzinie zdrowia.</w:t>
      </w:r>
      <w:r w:rsidR="009E178D" w:rsidRPr="009E178D">
        <w:t xml:space="preserve"> </w:t>
      </w:r>
    </w:p>
    <w:p w14:paraId="5BD5066B" w14:textId="442D6B74" w:rsidR="00E80BA4" w:rsidRPr="00551A30" w:rsidRDefault="00E80BA4" w:rsidP="00E80BA4">
      <w:pPr>
        <w:pStyle w:val="Nagwek2"/>
      </w:pPr>
      <w:hyperlink w:anchor="_Spis_treści" w:history="1">
        <w:bookmarkStart w:id="8" w:name="_Toc180602595"/>
        <w:r w:rsidRPr="00551A30">
          <w:rPr>
            <w:rStyle w:val="Hipercze"/>
            <w:color w:val="000000" w:themeColor="text1"/>
            <w:u w:val="none"/>
          </w:rPr>
          <w:t>Wartości odstające</w:t>
        </w:r>
        <w:bookmarkEnd w:id="8"/>
      </w:hyperlink>
    </w:p>
    <w:p w14:paraId="4D2C3BB5" w14:textId="27A31A3C" w:rsidR="00E80BA4" w:rsidRDefault="00314D36" w:rsidP="00E80BA4">
      <w:r>
        <w:tab/>
        <w:t xml:space="preserve">Kluczem do jakiejkolwiek analizy jest rozpatrzenie występowania </w:t>
      </w:r>
      <w:r w:rsidR="00902DBD">
        <w:t>wartości odstających. W tym przypadku pozwolę sobie jednak wyłącznie o nich wspomnieć natomiast nie będę decydował się na usunięcie jakiejkolwiek z nich. Takie działanie przy niewielkiej liczbie danych (16) znacznie ograniczyło obszar analizy. Poniższe wykresy pudełkowe prezentują wartości odstające, które zostały wykryte po zestandaryzowaniu danych.</w:t>
      </w:r>
    </w:p>
    <w:p w14:paraId="4CCA093F" w14:textId="37323F12" w:rsidR="00417583" w:rsidRDefault="00A0328E" w:rsidP="00417583">
      <w:pPr>
        <w:keepNext/>
        <w:jc w:val="center"/>
      </w:pPr>
      <w:r>
        <w:rPr>
          <w:noProof/>
          <w14:ligatures w14:val="standardContextual"/>
        </w:rPr>
        <w:drawing>
          <wp:anchor distT="0" distB="0" distL="114300" distR="114300" simplePos="0" relativeHeight="251663360" behindDoc="0" locked="0" layoutInCell="1" allowOverlap="1" wp14:anchorId="3D9ABFED" wp14:editId="1DAA7620">
            <wp:simplePos x="0" y="0"/>
            <wp:positionH relativeFrom="margin">
              <wp:posOffset>-2540</wp:posOffset>
            </wp:positionH>
            <wp:positionV relativeFrom="margin">
              <wp:posOffset>5224214</wp:posOffset>
            </wp:positionV>
            <wp:extent cx="5760720" cy="3480435"/>
            <wp:effectExtent l="0" t="0" r="5080" b="0"/>
            <wp:wrapSquare wrapText="bothSides"/>
            <wp:docPr id="32912197" name="Obraz 4" descr="Obraz zawierający diagram, tekst,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2197" name="Obraz 4" descr="Obraz zawierający diagram, tekst, linia, Wykres&#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480435"/>
                    </a:xfrm>
                    <a:prstGeom prst="rect">
                      <a:avLst/>
                    </a:prstGeom>
                  </pic:spPr>
                </pic:pic>
              </a:graphicData>
            </a:graphic>
          </wp:anchor>
        </w:drawing>
      </w:r>
    </w:p>
    <w:p w14:paraId="2EF35DD8" w14:textId="24F67301" w:rsidR="00E80BA4" w:rsidRDefault="00417583" w:rsidP="00417583">
      <w:pPr>
        <w:pStyle w:val="Legenda"/>
        <w:jc w:val="center"/>
      </w:pPr>
      <w:r>
        <w:t xml:space="preserve">Rysunek </w:t>
      </w:r>
      <w:fldSimple w:instr=" SEQ Rysunek \* ARABIC ">
        <w:r w:rsidR="0072353B">
          <w:rPr>
            <w:noProof/>
          </w:rPr>
          <w:t>2</w:t>
        </w:r>
      </w:fldSimple>
      <w:r>
        <w:t>. Wykresy pudełkowe po zestandaryzowaniu zmiennych.</w:t>
      </w:r>
    </w:p>
    <w:p w14:paraId="628728EF" w14:textId="489CECFE" w:rsidR="00524AC8" w:rsidRPr="00524AC8" w:rsidRDefault="0082137B" w:rsidP="00524AC8">
      <w:r>
        <w:lastRenderedPageBreak/>
        <w:tab/>
        <w:t xml:space="preserve">Jak można zauważyć 7 z 12 zmiennych po zestandaryzowaniu posiada wartości odstające. </w:t>
      </w:r>
      <w:r w:rsidR="00524AC8" w:rsidRPr="00524AC8">
        <w:t xml:space="preserve">Nie warto </w:t>
      </w:r>
      <w:r w:rsidR="00524AC8">
        <w:t xml:space="preserve">ich </w:t>
      </w:r>
      <w:r w:rsidR="00524AC8" w:rsidRPr="00524AC8">
        <w:t xml:space="preserve">usuwać, </w:t>
      </w:r>
      <w:r w:rsidR="00524AC8">
        <w:t>również dlatego, że</w:t>
      </w:r>
      <w:r w:rsidR="00524AC8" w:rsidRPr="00524AC8">
        <w:t xml:space="preserve"> odzwierciedlają realne różnice między województwami, wynikające z ich specyficznych uwarunkowań, a nie błędy pomiarowe. Na przykład, wartości odstające dla zmiennych takich </w:t>
      </w:r>
      <w:r w:rsidR="000A75C7">
        <w:t>wynagrodzenie brutto</w:t>
      </w:r>
      <w:r w:rsidR="00524AC8" w:rsidRPr="00524AC8">
        <w:t xml:space="preserve"> (X</w:t>
      </w:r>
      <w:r w:rsidR="000A75C7">
        <w:t>1</w:t>
      </w:r>
      <w:r w:rsidR="00524AC8" w:rsidRPr="00524AC8">
        <w:t xml:space="preserve">), średnia cena mieszkania (X6) </w:t>
      </w:r>
      <w:r w:rsidR="000A75C7">
        <w:t>czy</w:t>
      </w:r>
      <w:r w:rsidR="00524AC8" w:rsidRPr="00524AC8">
        <w:t xml:space="preserve"> liczba uczelni (X7) dotyczą głównie województwa mazowieckiego, w</w:t>
      </w:r>
      <w:r w:rsidR="000A75C7">
        <w:t> </w:t>
      </w:r>
      <w:r w:rsidR="00524AC8" w:rsidRPr="00524AC8">
        <w:t>którym Warszawa jako stolica naturalnie generuje wyższe koszty życia, ale jednocześnie oferuje większ</w:t>
      </w:r>
      <w:r w:rsidR="000A75C7">
        <w:t>e możliwości zarobkowe oraz szerszy dostęp do</w:t>
      </w:r>
      <w:r w:rsidR="00524AC8" w:rsidRPr="00524AC8">
        <w:t xml:space="preserve"> edukacji. Usunięcie tych danych zniekształciłoby rzeczywistość, ignorując specyficzną sytuację tego regionu.</w:t>
      </w:r>
    </w:p>
    <w:p w14:paraId="7EEFF650" w14:textId="1AF95FA9" w:rsidR="000A75C7" w:rsidRDefault="000A75C7" w:rsidP="0044482E">
      <w:pPr>
        <w:ind w:firstLine="708"/>
      </w:pPr>
      <w:r>
        <w:t>Podobnie inne wartości odstające mają swoje uzasadnione podłoże i przyczyny. W</w:t>
      </w:r>
      <w:r w:rsidRPr="000A75C7">
        <w:t>ojewództwo śląskie ma największą emisję gazów</w:t>
      </w:r>
      <w:r>
        <w:t xml:space="preserve"> (X8)</w:t>
      </w:r>
      <w:r w:rsidRPr="000A75C7">
        <w:t xml:space="preserve"> ze względu na rozwinięty przemysł ciężki, elektrownie węglowe i wydobycie węgla, co prowadzi do wysokiej emisji zanieczyszczeń powietrza. Również w tym regionie odnotowuje się najwięcej przestępstw</w:t>
      </w:r>
      <w:r>
        <w:t xml:space="preserve"> (X10)</w:t>
      </w:r>
      <w:r w:rsidRPr="000A75C7">
        <w:t>, co wynika z dużej gęstości zaludnienia, urbanizacji i transformacji gospodarczej, która po upadku przemysłu ciężkiego doprowadziła do problemów społecznych, takich jak bezrobocie. Z kolei województwo podkarpackie charakteryzuje się największą ilością terenów zielonych</w:t>
      </w:r>
      <w:r>
        <w:t xml:space="preserve"> (X11)</w:t>
      </w:r>
      <w:r w:rsidRPr="000A75C7">
        <w:t xml:space="preserve"> dzięki niskiej industrializacji, licznym obszarom chronionym, takim jak Bieszczady, oraz niewielkiej urbanizacji, co sprzyja zachowaniu naturalnych krajobrazów. Województwo łódzkie natomiast ma najwięcej wypadków drogowych </w:t>
      </w:r>
      <w:r>
        <w:t xml:space="preserve">(X12) </w:t>
      </w:r>
      <w:r w:rsidRPr="000A75C7">
        <w:t>z powodu przebiegu kluczowych tras komunikacyjnych, takich jak autostrady A1 i A2, skrzyżowania szlaków transportowych oraz zróżnicowanej jakości infrastruktury drogowej, co przy dużym natężeniu ruchu sprzyja wypadkom.</w:t>
      </w:r>
    </w:p>
    <w:p w14:paraId="3B6FDE8F" w14:textId="77777777" w:rsidR="0044482E" w:rsidRDefault="0044482E">
      <w:pPr>
        <w:spacing w:before="0" w:after="160" w:line="278" w:lineRule="auto"/>
        <w:jc w:val="left"/>
      </w:pPr>
      <w:r>
        <w:br w:type="page"/>
      </w:r>
    </w:p>
    <w:p w14:paraId="4FEDD132" w14:textId="19401A26" w:rsidR="0044482E" w:rsidRPr="005F5B2E" w:rsidRDefault="0044482E" w:rsidP="0044482E">
      <w:pPr>
        <w:pStyle w:val="Nagwek1"/>
      </w:pPr>
      <w:hyperlink w:anchor="_Spis_treści" w:history="1">
        <w:bookmarkStart w:id="9" w:name="_Toc180602596"/>
        <w:r w:rsidRPr="005F5B2E">
          <w:rPr>
            <w:rStyle w:val="Hipercze"/>
            <w:color w:val="000000" w:themeColor="text1"/>
            <w:u w:val="none"/>
          </w:rPr>
          <w:t>Porządkowanie liniowe</w:t>
        </w:r>
        <w:bookmarkEnd w:id="9"/>
      </w:hyperlink>
    </w:p>
    <w:p w14:paraId="7FFA0B8D" w14:textId="7860DF4D" w:rsidR="0044482E" w:rsidRPr="0044482E" w:rsidRDefault="0044482E" w:rsidP="0044482E">
      <w:r>
        <w:tab/>
      </w:r>
      <w:r w:rsidRPr="0044482E">
        <w:t xml:space="preserve">W kolejnej części analizy zaprezentowane zostanie porządkowanie liniowe. Przed rozpoczęciem procedury, każda zmienna będąca </w:t>
      </w:r>
      <w:proofErr w:type="spellStart"/>
      <w:r w:rsidRPr="0044482E">
        <w:t>destymulantą</w:t>
      </w:r>
      <w:proofErr w:type="spellEnd"/>
      <w:r w:rsidRPr="0044482E">
        <w:t xml:space="preserve"> została przekształcona na </w:t>
      </w:r>
      <w:proofErr w:type="spellStart"/>
      <w:r w:rsidRPr="0044482E">
        <w:t>stymulantę</w:t>
      </w:r>
      <w:proofErr w:type="spellEnd"/>
      <w:r w:rsidRPr="0044482E">
        <w:t xml:space="preserve"> poprzez przemnożenie jej wartości przez (-1). Wyniki uzyskane przy zastosowaniu różnych metod zostaną zestawione w odpowiedniej tabeli, która pokaże ranking województw. Dodatkowo, wyniki zostaną </w:t>
      </w:r>
      <w:r>
        <w:t xml:space="preserve">pogrupowane według średniej oraz </w:t>
      </w:r>
      <w:r w:rsidRPr="0044482E">
        <w:t xml:space="preserve">zilustrowane za pomocą wykresu </w:t>
      </w:r>
      <w:r w:rsidR="00C35D3E">
        <w:t>mapowego</w:t>
      </w:r>
      <w:r w:rsidRPr="0044482E">
        <w:t>, co pozwoli lepiej zobrazować regionalne różnice w poziomie życia.</w:t>
      </w:r>
    </w:p>
    <w:p w14:paraId="7E81B3BF" w14:textId="1EB0BD63" w:rsidR="0044482E" w:rsidRPr="005F5B2E" w:rsidRDefault="0044482E" w:rsidP="0044482E">
      <w:pPr>
        <w:pStyle w:val="Nagwek2"/>
      </w:pPr>
      <w:hyperlink w:anchor="_Spis_treści" w:history="1">
        <w:bookmarkStart w:id="10" w:name="_Toc180602597"/>
        <w:r w:rsidRPr="005F5B2E">
          <w:rPr>
            <w:rStyle w:val="Hipercze"/>
            <w:color w:val="000000" w:themeColor="text1"/>
            <w:u w:val="none"/>
          </w:rPr>
          <w:t>Metoda Hellwiga</w:t>
        </w:r>
        <w:bookmarkEnd w:id="10"/>
      </w:hyperlink>
    </w:p>
    <w:p w14:paraId="7AD00C04" w14:textId="2376CA12" w:rsidR="0044482E" w:rsidRDefault="0044482E" w:rsidP="0044482E">
      <w:r>
        <w:tab/>
        <w:t>Na samym początku omówione zostaną wyniki uzyskane metodą Hellwiga.</w:t>
      </w:r>
    </w:p>
    <w:tbl>
      <w:tblPr>
        <w:tblW w:w="5670" w:type="dxa"/>
        <w:jc w:val="center"/>
        <w:tblCellMar>
          <w:left w:w="70" w:type="dxa"/>
          <w:right w:w="70" w:type="dxa"/>
        </w:tblCellMar>
        <w:tblLook w:val="04A0" w:firstRow="1" w:lastRow="0" w:firstColumn="1" w:lastColumn="0" w:noHBand="0" w:noVBand="1"/>
      </w:tblPr>
      <w:tblGrid>
        <w:gridCol w:w="567"/>
        <w:gridCol w:w="3402"/>
        <w:gridCol w:w="1701"/>
      </w:tblGrid>
      <w:tr w:rsidR="0044482E" w:rsidRPr="0044482E" w14:paraId="1160D5C4" w14:textId="77777777" w:rsidTr="00CE70B5">
        <w:trPr>
          <w:trHeight w:val="346"/>
          <w:jc w:val="center"/>
        </w:trPr>
        <w:tc>
          <w:tcPr>
            <w:tcW w:w="567" w:type="dxa"/>
            <w:tcBorders>
              <w:top w:val="single" w:sz="4" w:space="0" w:color="auto"/>
              <w:left w:val="single" w:sz="4" w:space="0" w:color="auto"/>
              <w:bottom w:val="single" w:sz="4" w:space="0" w:color="auto"/>
              <w:right w:val="single" w:sz="4" w:space="0" w:color="auto"/>
            </w:tcBorders>
            <w:shd w:val="clear" w:color="auto" w:fill="0E4A65"/>
            <w:noWrap/>
            <w:vAlign w:val="center"/>
            <w:hideMark/>
          </w:tcPr>
          <w:p w14:paraId="165BFA9B" w14:textId="77777777" w:rsidR="0044482E" w:rsidRPr="00CE70B5" w:rsidRDefault="0044482E" w:rsidP="00CE70B5">
            <w:pPr>
              <w:spacing w:before="0" w:after="0" w:line="240" w:lineRule="auto"/>
              <w:jc w:val="center"/>
              <w:rPr>
                <w:rFonts w:eastAsia="Times New Roman"/>
                <w:b/>
                <w:bCs/>
                <w:color w:val="FFFFFF"/>
                <w:szCs w:val="24"/>
                <w:lang w:eastAsia="pl-PL"/>
              </w:rPr>
            </w:pPr>
            <w:r w:rsidRPr="00CE70B5">
              <w:rPr>
                <w:rFonts w:eastAsia="Times New Roman"/>
                <w:b/>
                <w:bCs/>
                <w:color w:val="FFFFFF"/>
                <w:szCs w:val="24"/>
                <w:lang w:eastAsia="pl-PL"/>
              </w:rPr>
              <w:t>NR</w:t>
            </w:r>
          </w:p>
        </w:tc>
        <w:tc>
          <w:tcPr>
            <w:tcW w:w="3402" w:type="dxa"/>
            <w:tcBorders>
              <w:top w:val="single" w:sz="4" w:space="0" w:color="auto"/>
              <w:left w:val="single" w:sz="4" w:space="0" w:color="auto"/>
              <w:bottom w:val="single" w:sz="4" w:space="0" w:color="auto"/>
              <w:right w:val="single" w:sz="4" w:space="0" w:color="auto"/>
            </w:tcBorders>
            <w:shd w:val="clear" w:color="auto" w:fill="0E4A65"/>
            <w:noWrap/>
            <w:vAlign w:val="center"/>
            <w:hideMark/>
          </w:tcPr>
          <w:p w14:paraId="61A9D0DE" w14:textId="77777777" w:rsidR="0044482E" w:rsidRPr="00CE70B5" w:rsidRDefault="0044482E" w:rsidP="00CE70B5">
            <w:pPr>
              <w:spacing w:before="0" w:after="0" w:line="240" w:lineRule="auto"/>
              <w:jc w:val="left"/>
              <w:rPr>
                <w:rFonts w:eastAsia="Times New Roman"/>
                <w:b/>
                <w:bCs/>
                <w:color w:val="FFFFFF"/>
                <w:szCs w:val="24"/>
                <w:lang w:eastAsia="pl-PL"/>
              </w:rPr>
            </w:pPr>
            <w:r w:rsidRPr="00CE70B5">
              <w:rPr>
                <w:rFonts w:eastAsia="Times New Roman"/>
                <w:b/>
                <w:bCs/>
                <w:color w:val="FFFFFF"/>
                <w:szCs w:val="24"/>
                <w:lang w:eastAsia="pl-PL"/>
              </w:rPr>
              <w:t>Województwo</w:t>
            </w:r>
          </w:p>
        </w:tc>
        <w:tc>
          <w:tcPr>
            <w:tcW w:w="1701" w:type="dxa"/>
            <w:tcBorders>
              <w:top w:val="single" w:sz="4" w:space="0" w:color="auto"/>
              <w:left w:val="single" w:sz="4" w:space="0" w:color="auto"/>
              <w:bottom w:val="single" w:sz="4" w:space="0" w:color="auto"/>
              <w:right w:val="single" w:sz="4" w:space="0" w:color="auto"/>
            </w:tcBorders>
            <w:shd w:val="clear" w:color="auto" w:fill="0E4A65"/>
            <w:noWrap/>
            <w:vAlign w:val="center"/>
            <w:hideMark/>
          </w:tcPr>
          <w:p w14:paraId="4ABEB634" w14:textId="728AFBDE" w:rsidR="0044482E" w:rsidRPr="00CE70B5" w:rsidRDefault="0044482E" w:rsidP="00CE70B5">
            <w:pPr>
              <w:spacing w:before="0" w:after="0" w:line="240" w:lineRule="auto"/>
              <w:jc w:val="center"/>
              <w:rPr>
                <w:rFonts w:eastAsia="Times New Roman"/>
                <w:b/>
                <w:bCs/>
                <w:color w:val="FFFFFF"/>
                <w:szCs w:val="24"/>
                <w:lang w:eastAsia="pl-PL"/>
              </w:rPr>
            </w:pPr>
            <w:r w:rsidRPr="00CE70B5">
              <w:rPr>
                <w:rFonts w:eastAsia="Times New Roman"/>
                <w:b/>
                <w:bCs/>
                <w:color w:val="FFFFFF"/>
                <w:szCs w:val="24"/>
                <w:lang w:eastAsia="pl-PL"/>
              </w:rPr>
              <w:t>W</w:t>
            </w:r>
            <w:r w:rsidR="00684CC6" w:rsidRPr="00CE70B5">
              <w:rPr>
                <w:rFonts w:eastAsia="Times New Roman"/>
                <w:b/>
                <w:bCs/>
                <w:color w:val="FFFFFF"/>
                <w:szCs w:val="24"/>
                <w:lang w:eastAsia="pl-PL"/>
              </w:rPr>
              <w:t>SK</w:t>
            </w:r>
          </w:p>
        </w:tc>
      </w:tr>
      <w:tr w:rsidR="0044482E" w:rsidRPr="0044482E" w14:paraId="0F223618" w14:textId="77777777" w:rsidTr="00CE70B5">
        <w:trPr>
          <w:trHeight w:val="346"/>
          <w:jc w:val="center"/>
        </w:trPr>
        <w:tc>
          <w:tcPr>
            <w:tcW w:w="567"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4AF570C2" w14:textId="77777777" w:rsidR="0044482E" w:rsidRPr="00CE70B5" w:rsidRDefault="0044482E"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w:t>
            </w:r>
          </w:p>
        </w:tc>
        <w:tc>
          <w:tcPr>
            <w:tcW w:w="3402"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44F390ED" w14:textId="77777777" w:rsidR="0044482E" w:rsidRPr="00CE70B5" w:rsidRDefault="0044482E"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DOLNOŚLĄSKIE</w:t>
            </w:r>
          </w:p>
        </w:tc>
        <w:tc>
          <w:tcPr>
            <w:tcW w:w="1701"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4F0BB4C1" w14:textId="77777777" w:rsidR="0044482E" w:rsidRPr="00CE70B5" w:rsidRDefault="0044482E"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0,4111</w:t>
            </w:r>
          </w:p>
        </w:tc>
      </w:tr>
      <w:tr w:rsidR="0044482E" w:rsidRPr="0044482E" w14:paraId="046204AF" w14:textId="77777777" w:rsidTr="00CE70B5">
        <w:trPr>
          <w:trHeight w:val="346"/>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1F25D" w14:textId="77777777" w:rsidR="0044482E" w:rsidRPr="00CE70B5" w:rsidRDefault="0044482E"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2</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BA3BD" w14:textId="77777777" w:rsidR="0044482E" w:rsidRPr="00CE70B5" w:rsidRDefault="0044482E"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MAZOWIECKIE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56E36" w14:textId="77777777" w:rsidR="0044482E" w:rsidRPr="00CE70B5" w:rsidRDefault="0044482E"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0,2961</w:t>
            </w:r>
          </w:p>
        </w:tc>
      </w:tr>
      <w:tr w:rsidR="0044482E" w:rsidRPr="0044482E" w14:paraId="55D6C254" w14:textId="77777777" w:rsidTr="00CE70B5">
        <w:trPr>
          <w:trHeight w:val="346"/>
          <w:jc w:val="center"/>
        </w:trPr>
        <w:tc>
          <w:tcPr>
            <w:tcW w:w="567"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3F5A52D0" w14:textId="77777777" w:rsidR="0044482E" w:rsidRPr="00CE70B5" w:rsidRDefault="0044482E"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3</w:t>
            </w:r>
          </w:p>
        </w:tc>
        <w:tc>
          <w:tcPr>
            <w:tcW w:w="3402"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0727D9F8" w14:textId="77777777" w:rsidR="0044482E" w:rsidRPr="00CE70B5" w:rsidRDefault="0044482E"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POMORSKIE</w:t>
            </w:r>
          </w:p>
        </w:tc>
        <w:tc>
          <w:tcPr>
            <w:tcW w:w="1701"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1EE1C1DB" w14:textId="77777777" w:rsidR="0044482E" w:rsidRPr="00CE70B5" w:rsidRDefault="0044482E"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0,2914</w:t>
            </w:r>
          </w:p>
        </w:tc>
      </w:tr>
      <w:tr w:rsidR="0044482E" w:rsidRPr="0044482E" w14:paraId="562ACF28" w14:textId="77777777" w:rsidTr="00CE70B5">
        <w:trPr>
          <w:trHeight w:val="346"/>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9ED34" w14:textId="77777777" w:rsidR="0044482E" w:rsidRPr="00CE70B5" w:rsidRDefault="0044482E"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4</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DB1D0" w14:textId="77777777" w:rsidR="0044482E" w:rsidRPr="00CE70B5" w:rsidRDefault="0044482E"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MAŁOPOLSKIE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B752B" w14:textId="77777777" w:rsidR="0044482E" w:rsidRPr="00CE70B5" w:rsidRDefault="0044482E"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0,2657</w:t>
            </w:r>
          </w:p>
        </w:tc>
      </w:tr>
      <w:tr w:rsidR="0044482E" w:rsidRPr="0044482E" w14:paraId="79E6FE50" w14:textId="77777777" w:rsidTr="00CE70B5">
        <w:trPr>
          <w:trHeight w:val="346"/>
          <w:jc w:val="center"/>
        </w:trPr>
        <w:tc>
          <w:tcPr>
            <w:tcW w:w="567"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435A17E2" w14:textId="77777777" w:rsidR="0044482E" w:rsidRPr="00CE70B5" w:rsidRDefault="0044482E"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5</w:t>
            </w:r>
          </w:p>
        </w:tc>
        <w:tc>
          <w:tcPr>
            <w:tcW w:w="3402"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72531795" w14:textId="77777777" w:rsidR="0044482E" w:rsidRPr="00CE70B5" w:rsidRDefault="0044482E"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WIELKOPOLSKIE</w:t>
            </w:r>
          </w:p>
        </w:tc>
        <w:tc>
          <w:tcPr>
            <w:tcW w:w="1701"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78BCB134" w14:textId="77777777" w:rsidR="0044482E" w:rsidRPr="00CE70B5" w:rsidRDefault="0044482E"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0,2408</w:t>
            </w:r>
          </w:p>
        </w:tc>
      </w:tr>
      <w:tr w:rsidR="0044482E" w:rsidRPr="0044482E" w14:paraId="7921F573" w14:textId="77777777" w:rsidTr="00CE70B5">
        <w:trPr>
          <w:trHeight w:val="346"/>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74EF4" w14:textId="77777777" w:rsidR="0044482E" w:rsidRPr="00CE70B5" w:rsidRDefault="0044482E"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6</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5CC546" w14:textId="77777777" w:rsidR="0044482E" w:rsidRPr="00CE70B5" w:rsidRDefault="0044482E"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ŁÓDZKIE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8F814" w14:textId="77777777" w:rsidR="0044482E" w:rsidRPr="00CE70B5" w:rsidRDefault="0044482E"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0,2179</w:t>
            </w:r>
          </w:p>
        </w:tc>
      </w:tr>
      <w:tr w:rsidR="0044482E" w:rsidRPr="0044482E" w14:paraId="665CCE24" w14:textId="77777777" w:rsidTr="00CE70B5">
        <w:trPr>
          <w:trHeight w:val="346"/>
          <w:jc w:val="center"/>
        </w:trPr>
        <w:tc>
          <w:tcPr>
            <w:tcW w:w="567"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26D222FB" w14:textId="77777777" w:rsidR="0044482E" w:rsidRPr="00CE70B5" w:rsidRDefault="0044482E"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7</w:t>
            </w:r>
          </w:p>
        </w:tc>
        <w:tc>
          <w:tcPr>
            <w:tcW w:w="3402"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6694C7BB" w14:textId="77777777" w:rsidR="0044482E" w:rsidRPr="00CE70B5" w:rsidRDefault="0044482E"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ŚLĄSKIE</w:t>
            </w:r>
          </w:p>
        </w:tc>
        <w:tc>
          <w:tcPr>
            <w:tcW w:w="1701"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74BF34E3" w14:textId="77777777" w:rsidR="0044482E" w:rsidRPr="00CE70B5" w:rsidRDefault="0044482E"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0,2054</w:t>
            </w:r>
          </w:p>
        </w:tc>
      </w:tr>
      <w:tr w:rsidR="0044482E" w:rsidRPr="0044482E" w14:paraId="5F8D8EE1" w14:textId="77777777" w:rsidTr="00CE70B5">
        <w:trPr>
          <w:trHeight w:val="346"/>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5D27A7" w14:textId="77777777" w:rsidR="0044482E" w:rsidRPr="00CE70B5" w:rsidRDefault="0044482E"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8</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6ECB6" w14:textId="77777777" w:rsidR="0044482E" w:rsidRPr="00CE70B5" w:rsidRDefault="0044482E"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PODLASKIE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3E10E" w14:textId="77777777" w:rsidR="0044482E" w:rsidRPr="00CE70B5" w:rsidRDefault="0044482E"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0,2025</w:t>
            </w:r>
          </w:p>
        </w:tc>
      </w:tr>
      <w:tr w:rsidR="0044482E" w:rsidRPr="0044482E" w14:paraId="65D64875" w14:textId="77777777" w:rsidTr="00CE70B5">
        <w:trPr>
          <w:trHeight w:val="346"/>
          <w:jc w:val="center"/>
        </w:trPr>
        <w:tc>
          <w:tcPr>
            <w:tcW w:w="567"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54AF41CD" w14:textId="77777777" w:rsidR="0044482E" w:rsidRPr="00CE70B5" w:rsidRDefault="0044482E"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9</w:t>
            </w:r>
          </w:p>
        </w:tc>
        <w:tc>
          <w:tcPr>
            <w:tcW w:w="3402"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627C3D2C" w14:textId="77777777" w:rsidR="0044482E" w:rsidRPr="00CE70B5" w:rsidRDefault="0044482E"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ZACHODNIOPOMORSKIE</w:t>
            </w:r>
          </w:p>
        </w:tc>
        <w:tc>
          <w:tcPr>
            <w:tcW w:w="1701"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5343A9CF" w14:textId="77777777" w:rsidR="0044482E" w:rsidRPr="00CE70B5" w:rsidRDefault="0044482E"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0,1672</w:t>
            </w:r>
          </w:p>
        </w:tc>
      </w:tr>
      <w:tr w:rsidR="0044482E" w:rsidRPr="0044482E" w14:paraId="76F383A1" w14:textId="77777777" w:rsidTr="00CE70B5">
        <w:trPr>
          <w:trHeight w:val="346"/>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A69DAC" w14:textId="77777777" w:rsidR="0044482E" w:rsidRPr="00CE70B5" w:rsidRDefault="0044482E"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10</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FBC246" w14:textId="77777777" w:rsidR="0044482E" w:rsidRPr="00CE70B5" w:rsidRDefault="0044482E"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OPOLSKIE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8DBC3" w14:textId="77777777" w:rsidR="0044482E" w:rsidRPr="00CE70B5" w:rsidRDefault="0044482E"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0,1594</w:t>
            </w:r>
          </w:p>
        </w:tc>
      </w:tr>
      <w:tr w:rsidR="0044482E" w:rsidRPr="0044482E" w14:paraId="2C603E8C" w14:textId="77777777" w:rsidTr="00CE70B5">
        <w:trPr>
          <w:trHeight w:val="346"/>
          <w:jc w:val="center"/>
        </w:trPr>
        <w:tc>
          <w:tcPr>
            <w:tcW w:w="567"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770DB5BD" w14:textId="77777777" w:rsidR="0044482E" w:rsidRPr="00CE70B5" w:rsidRDefault="0044482E"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11</w:t>
            </w:r>
          </w:p>
        </w:tc>
        <w:tc>
          <w:tcPr>
            <w:tcW w:w="3402"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64021668" w14:textId="77777777" w:rsidR="0044482E" w:rsidRPr="00CE70B5" w:rsidRDefault="0044482E"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LUBUSKIE</w:t>
            </w:r>
          </w:p>
        </w:tc>
        <w:tc>
          <w:tcPr>
            <w:tcW w:w="1701"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3F2292A3" w14:textId="77777777" w:rsidR="0044482E" w:rsidRPr="00CE70B5" w:rsidRDefault="0044482E"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0,1558</w:t>
            </w:r>
          </w:p>
        </w:tc>
      </w:tr>
      <w:tr w:rsidR="0044482E" w:rsidRPr="0044482E" w14:paraId="2F2367FD" w14:textId="77777777" w:rsidTr="00CE70B5">
        <w:trPr>
          <w:trHeight w:val="346"/>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C57B5" w14:textId="77777777" w:rsidR="0044482E" w:rsidRPr="00CE70B5" w:rsidRDefault="0044482E"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12</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D5BE0" w14:textId="77777777" w:rsidR="0044482E" w:rsidRPr="00CE70B5" w:rsidRDefault="0044482E"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KUJAWSKO-POMORSKIE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4A5ECB" w14:textId="77777777" w:rsidR="0044482E" w:rsidRPr="00CE70B5" w:rsidRDefault="0044482E"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0,1436</w:t>
            </w:r>
          </w:p>
        </w:tc>
      </w:tr>
      <w:tr w:rsidR="0044482E" w:rsidRPr="0044482E" w14:paraId="6C22FC51" w14:textId="77777777" w:rsidTr="00CE70B5">
        <w:trPr>
          <w:trHeight w:val="346"/>
          <w:jc w:val="center"/>
        </w:trPr>
        <w:tc>
          <w:tcPr>
            <w:tcW w:w="567"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7C59315E" w14:textId="77777777" w:rsidR="0044482E" w:rsidRPr="00CE70B5" w:rsidRDefault="0044482E"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13</w:t>
            </w:r>
          </w:p>
        </w:tc>
        <w:tc>
          <w:tcPr>
            <w:tcW w:w="3402"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04C7E8E6" w14:textId="77777777" w:rsidR="0044482E" w:rsidRPr="00CE70B5" w:rsidRDefault="0044482E"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LUBELSKIE</w:t>
            </w:r>
          </w:p>
        </w:tc>
        <w:tc>
          <w:tcPr>
            <w:tcW w:w="1701"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043E7BE0" w14:textId="77777777" w:rsidR="0044482E" w:rsidRPr="00CE70B5" w:rsidRDefault="0044482E"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0,1418</w:t>
            </w:r>
          </w:p>
        </w:tc>
      </w:tr>
      <w:tr w:rsidR="0044482E" w:rsidRPr="0044482E" w14:paraId="2C7F9443" w14:textId="77777777" w:rsidTr="00CE70B5">
        <w:trPr>
          <w:trHeight w:val="346"/>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369542" w14:textId="77777777" w:rsidR="0044482E" w:rsidRPr="00CE70B5" w:rsidRDefault="0044482E"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14</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08B2C1" w14:textId="77777777" w:rsidR="0044482E" w:rsidRPr="00CE70B5" w:rsidRDefault="0044482E"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PODKARPACKIE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E95A4" w14:textId="77777777" w:rsidR="0044482E" w:rsidRPr="00CE70B5" w:rsidRDefault="0044482E"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0,0821</w:t>
            </w:r>
          </w:p>
        </w:tc>
      </w:tr>
      <w:tr w:rsidR="0044482E" w:rsidRPr="0044482E" w14:paraId="56A63FD5" w14:textId="77777777" w:rsidTr="00CE70B5">
        <w:trPr>
          <w:trHeight w:val="346"/>
          <w:jc w:val="center"/>
        </w:trPr>
        <w:tc>
          <w:tcPr>
            <w:tcW w:w="567"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3567A675" w14:textId="77777777" w:rsidR="0044482E" w:rsidRPr="00CE70B5" w:rsidRDefault="0044482E"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15</w:t>
            </w:r>
          </w:p>
        </w:tc>
        <w:tc>
          <w:tcPr>
            <w:tcW w:w="3402"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6469A15B" w14:textId="77777777" w:rsidR="0044482E" w:rsidRPr="00CE70B5" w:rsidRDefault="0044482E"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ŚWIĘTOKRZYSKIE</w:t>
            </w:r>
          </w:p>
        </w:tc>
        <w:tc>
          <w:tcPr>
            <w:tcW w:w="1701" w:type="dxa"/>
            <w:tcBorders>
              <w:top w:val="single" w:sz="4" w:space="0" w:color="auto"/>
              <w:left w:val="single" w:sz="4" w:space="0" w:color="auto"/>
              <w:bottom w:val="single" w:sz="4" w:space="0" w:color="auto"/>
              <w:right w:val="single" w:sz="4" w:space="0" w:color="auto"/>
            </w:tcBorders>
            <w:shd w:val="clear" w:color="auto" w:fill="AEBAC4"/>
            <w:noWrap/>
            <w:vAlign w:val="center"/>
            <w:hideMark/>
          </w:tcPr>
          <w:p w14:paraId="43600B82" w14:textId="77777777" w:rsidR="0044482E" w:rsidRPr="00CE70B5" w:rsidRDefault="0044482E"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0,0735</w:t>
            </w:r>
          </w:p>
        </w:tc>
      </w:tr>
      <w:tr w:rsidR="0044482E" w:rsidRPr="0044482E" w14:paraId="6EEEA1F2" w14:textId="77777777" w:rsidTr="00CE70B5">
        <w:trPr>
          <w:trHeight w:val="346"/>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BC4C4" w14:textId="77777777" w:rsidR="0044482E" w:rsidRPr="00CE70B5" w:rsidRDefault="0044482E"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16</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E86CBD" w14:textId="77777777" w:rsidR="0044482E" w:rsidRPr="00CE70B5" w:rsidRDefault="0044482E"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WARMIŃSKO-MAZURSKIE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09130" w14:textId="77777777" w:rsidR="0044482E" w:rsidRPr="00CE70B5" w:rsidRDefault="0044482E" w:rsidP="00CE70B5">
            <w:pPr>
              <w:keepNext/>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0,0261</w:t>
            </w:r>
          </w:p>
        </w:tc>
      </w:tr>
    </w:tbl>
    <w:p w14:paraId="7E12A660" w14:textId="3BB581FC" w:rsidR="0044482E" w:rsidRDefault="0044482E" w:rsidP="0044482E">
      <w:pPr>
        <w:pStyle w:val="Legenda"/>
        <w:jc w:val="center"/>
      </w:pPr>
      <w:r>
        <w:t xml:space="preserve">Tabela </w:t>
      </w:r>
      <w:fldSimple w:instr=" SEQ Tabela \* ARABIC ">
        <w:r w:rsidR="00EF2DB4">
          <w:rPr>
            <w:noProof/>
          </w:rPr>
          <w:t>4</w:t>
        </w:r>
      </w:fldSimple>
      <w:r>
        <w:t>. Wyniki porządkowania liniowego uzyskane metodą Hellwiga.</w:t>
      </w:r>
    </w:p>
    <w:p w14:paraId="737643B0" w14:textId="41B82605" w:rsidR="00716540" w:rsidRPr="00716540" w:rsidRDefault="0044482E" w:rsidP="00716540">
      <w:r>
        <w:tab/>
      </w:r>
      <w:r w:rsidR="00716540" w:rsidRPr="00716540">
        <w:t>Wyniki porządkowania liniowego metodą Hellwiga pokazują istotne różnice w</w:t>
      </w:r>
      <w:r w:rsidR="00716540">
        <w:t> </w:t>
      </w:r>
      <w:r w:rsidR="00716540" w:rsidRPr="00716540">
        <w:t>poziomie życia między województwami, wskazując na wyraźny podział między regionami o wyższym i niższym poziomie rozwoju społeczno-gospodarczego. Województwo dolnośląskie, które zajęło pierwsze miejsce z wynikiem 0,4111, wyróżnia się rozwiniętą infrastrukturą</w:t>
      </w:r>
      <w:r w:rsidR="00716540">
        <w:t xml:space="preserve"> i </w:t>
      </w:r>
      <w:r w:rsidR="00716540" w:rsidRPr="00716540">
        <w:t xml:space="preserve">dynamicznym rynkiem pracy, co przekłada się na wysoki poziom życia mieszkańców. Na drugim miejscu znalazło się województwo mazowieckie (0,2961), gdzie </w:t>
      </w:r>
      <w:r w:rsidR="00716540" w:rsidRPr="00716540">
        <w:lastRenderedPageBreak/>
        <w:t>Warszawa, jako największe miasto i stolica, generuje wyższe wynagrodzenia, dostęp do opieki zdrowotnej oraz edukacji, ale także wyższe koszty życia, które w zestandaryzowanych wskaźnikach mają mniejszy wpływ na ogólny wynik. Pomorskie (0,2914) również zajmuje czołową pozycję, co wynika z dynamicznie rozwijającej się gospodarki i dobrej jakości życia na obszarze Trójmiasta.</w:t>
      </w:r>
    </w:p>
    <w:p w14:paraId="4193589F" w14:textId="0F99F2B9" w:rsidR="00716540" w:rsidRPr="00716540" w:rsidRDefault="006D0D4C" w:rsidP="00716540">
      <w:r>
        <w:rPr>
          <w:noProof/>
          <w14:ligatures w14:val="standardContextual"/>
        </w:rPr>
        <w:drawing>
          <wp:anchor distT="0" distB="0" distL="114300" distR="114300" simplePos="0" relativeHeight="251665408" behindDoc="0" locked="0" layoutInCell="1" allowOverlap="1" wp14:anchorId="36F4B8BE" wp14:editId="2FE9BE9E">
            <wp:simplePos x="0" y="0"/>
            <wp:positionH relativeFrom="margin">
              <wp:posOffset>295910</wp:posOffset>
            </wp:positionH>
            <wp:positionV relativeFrom="margin">
              <wp:posOffset>2987791</wp:posOffset>
            </wp:positionV>
            <wp:extent cx="5168900" cy="2413000"/>
            <wp:effectExtent l="0" t="0" r="0" b="0"/>
            <wp:wrapSquare wrapText="bothSides"/>
            <wp:docPr id="1249968328" name="Obraz 3" descr="Obraz zawierający map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68328" name="Obraz 3" descr="Obraz zawierający mapa, tekst&#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5168900" cy="2413000"/>
                    </a:xfrm>
                    <a:prstGeom prst="rect">
                      <a:avLst/>
                    </a:prstGeom>
                  </pic:spPr>
                </pic:pic>
              </a:graphicData>
            </a:graphic>
          </wp:anchor>
        </w:drawing>
      </w:r>
      <w:r w:rsidR="00716540" w:rsidRPr="00716540">
        <w:tab/>
        <w:t>Z kolei województwa takie jak warmińsko-mazurskie (0,0261) i świętokrzyskie (0,0735), zajmujące ostatnie miejsca, borykają się z wyzwaniami, takimi jak wyższe bezrobocie, niższe dochody oraz ograniczony dostęp do edukacji i opieki zdrowotnej, co wpływa na niższą jakość życia w tych regionach.</w:t>
      </w:r>
    </w:p>
    <w:p w14:paraId="5B83E8DF" w14:textId="43362799" w:rsidR="00C35D3E" w:rsidRDefault="006D0D4C" w:rsidP="00716540">
      <w:r>
        <w:rPr>
          <w:noProof/>
          <w14:ligatures w14:val="standardContextual"/>
        </w:rPr>
        <mc:AlternateContent>
          <mc:Choice Requires="wps">
            <w:drawing>
              <wp:anchor distT="0" distB="0" distL="114300" distR="114300" simplePos="0" relativeHeight="251664384" behindDoc="0" locked="0" layoutInCell="1" allowOverlap="1" wp14:anchorId="09DF8FF2" wp14:editId="3BBBFEAF">
                <wp:simplePos x="0" y="0"/>
                <wp:positionH relativeFrom="column">
                  <wp:posOffset>3907732</wp:posOffset>
                </wp:positionH>
                <wp:positionV relativeFrom="paragraph">
                  <wp:posOffset>2340668</wp:posOffset>
                </wp:positionV>
                <wp:extent cx="1205346" cy="290945"/>
                <wp:effectExtent l="0" t="0" r="1270" b="1270"/>
                <wp:wrapNone/>
                <wp:docPr id="799545843" name="Prostokąt 2"/>
                <wp:cNvGraphicFramePr/>
                <a:graphic xmlns:a="http://schemas.openxmlformats.org/drawingml/2006/main">
                  <a:graphicData uri="http://schemas.microsoft.com/office/word/2010/wordprocessingShape">
                    <wps:wsp>
                      <wps:cNvSpPr/>
                      <wps:spPr>
                        <a:xfrm>
                          <a:off x="0" y="0"/>
                          <a:ext cx="1205346" cy="29094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2F3CB" id="Prostokąt 2" o:spid="_x0000_s1026" style="position:absolute;margin-left:307.7pt;margin-top:184.3pt;width:94.9pt;height:22.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" fillcolor="white [3212]" stroked="f" strokeweight="1pt"/>
            </w:pict>
          </mc:Fallback>
        </mc:AlternateContent>
      </w:r>
    </w:p>
    <w:p w14:paraId="027C19E4" w14:textId="6EC40AD7" w:rsidR="00C35D3E" w:rsidRDefault="00C35D3E" w:rsidP="00C35D3E">
      <w:pPr>
        <w:pStyle w:val="Legenda"/>
        <w:jc w:val="center"/>
      </w:pPr>
      <w:r>
        <w:t xml:space="preserve">Rysunek </w:t>
      </w:r>
      <w:fldSimple w:instr=" SEQ Rysunek \* ARABIC ">
        <w:r w:rsidR="0072353B">
          <w:rPr>
            <w:noProof/>
          </w:rPr>
          <w:t>3</w:t>
        </w:r>
      </w:fldSimple>
      <w:r>
        <w:t>. Wyniki uzyskane metodą Hellwiga po pogrupowaniu według średniej.</w:t>
      </w:r>
    </w:p>
    <w:p w14:paraId="2474A97C" w14:textId="72AA9834" w:rsidR="00684CC6" w:rsidRDefault="00C35D3E" w:rsidP="0044482E">
      <w:r>
        <w:tab/>
        <w:t>Po pogrupowaniu wyraźnie widać, że województwem wykazującym najlepsze warunki życia jest województwo dolnośląskie. Z kolei w grupie IV znalazły się: województwo warmińsko-mazurskie, świętokrzyskie i podkarpackie.</w:t>
      </w:r>
    </w:p>
    <w:p w14:paraId="738E4833" w14:textId="2EB126DE" w:rsidR="00684CC6" w:rsidRPr="005F5B2E" w:rsidRDefault="00684CC6" w:rsidP="00684CC6">
      <w:pPr>
        <w:pStyle w:val="Nagwek2"/>
      </w:pPr>
      <w:hyperlink w:anchor="_Spis_treści" w:history="1">
        <w:bookmarkStart w:id="11" w:name="_Toc180602598"/>
        <w:r w:rsidRPr="005F5B2E">
          <w:rPr>
            <w:rStyle w:val="Hipercze"/>
            <w:color w:val="000000" w:themeColor="text1"/>
            <w:u w:val="none"/>
          </w:rPr>
          <w:t>Metoda standaryzowanych sum</w:t>
        </w:r>
        <w:bookmarkEnd w:id="11"/>
      </w:hyperlink>
    </w:p>
    <w:p w14:paraId="55C6FAFB" w14:textId="74FE78D3" w:rsidR="00716540" w:rsidRDefault="00684CC6" w:rsidP="0044482E">
      <w:r>
        <w:tab/>
      </w:r>
      <w:r w:rsidR="00716540">
        <w:t>Kolejna</w:t>
      </w:r>
      <w:r>
        <w:t xml:space="preserve"> tabela przedstawia wyniki otrzymane w wyniku zastosowania metody bezwzorcowej – metody standaryzowanych sum.</w:t>
      </w:r>
    </w:p>
    <w:p w14:paraId="1DBF48A3" w14:textId="6E1BF417" w:rsidR="00951D28" w:rsidRDefault="00716540" w:rsidP="00951D28">
      <w:pPr>
        <w:spacing w:before="0" w:after="160" w:line="278" w:lineRule="auto"/>
        <w:jc w:val="left"/>
      </w:pPr>
      <w:r>
        <w:br w:type="page"/>
      </w:r>
    </w:p>
    <w:tbl>
      <w:tblPr>
        <w:tblW w:w="5670" w:type="dxa"/>
        <w:jc w:val="center"/>
        <w:tblCellMar>
          <w:left w:w="70" w:type="dxa"/>
          <w:right w:w="70" w:type="dxa"/>
        </w:tblCellMar>
        <w:tblLook w:val="04A0" w:firstRow="1" w:lastRow="0" w:firstColumn="1" w:lastColumn="0" w:noHBand="0" w:noVBand="1"/>
      </w:tblPr>
      <w:tblGrid>
        <w:gridCol w:w="567"/>
        <w:gridCol w:w="3402"/>
        <w:gridCol w:w="1701"/>
      </w:tblGrid>
      <w:tr w:rsidR="00951D28" w:rsidRPr="00951D28" w14:paraId="284D3B0A" w14:textId="77777777" w:rsidTr="00CE70B5">
        <w:trPr>
          <w:trHeight w:val="340"/>
          <w:jc w:val="center"/>
        </w:trPr>
        <w:tc>
          <w:tcPr>
            <w:tcW w:w="567" w:type="dxa"/>
            <w:tcBorders>
              <w:top w:val="single" w:sz="4" w:space="0" w:color="auto"/>
              <w:left w:val="single" w:sz="4" w:space="0" w:color="auto"/>
              <w:bottom w:val="single" w:sz="4" w:space="0" w:color="auto"/>
              <w:right w:val="single" w:sz="4" w:space="0" w:color="auto"/>
            </w:tcBorders>
            <w:shd w:val="clear" w:color="auto" w:fill="A34D20"/>
            <w:noWrap/>
            <w:vAlign w:val="center"/>
            <w:hideMark/>
          </w:tcPr>
          <w:p w14:paraId="349902B1" w14:textId="77777777" w:rsidR="00951D28" w:rsidRPr="00CE70B5" w:rsidRDefault="00951D28" w:rsidP="00CE70B5">
            <w:pPr>
              <w:spacing w:before="0" w:after="0" w:line="240" w:lineRule="auto"/>
              <w:jc w:val="center"/>
              <w:rPr>
                <w:rFonts w:eastAsia="Times New Roman"/>
                <w:b/>
                <w:bCs/>
                <w:color w:val="FFFFFF"/>
                <w:szCs w:val="24"/>
                <w:lang w:eastAsia="pl-PL"/>
              </w:rPr>
            </w:pPr>
            <w:r w:rsidRPr="00CE70B5">
              <w:rPr>
                <w:rFonts w:eastAsia="Times New Roman"/>
                <w:b/>
                <w:bCs/>
                <w:color w:val="FFFFFF"/>
                <w:szCs w:val="24"/>
                <w:lang w:eastAsia="pl-PL"/>
              </w:rPr>
              <w:lastRenderedPageBreak/>
              <w:t>NR</w:t>
            </w:r>
          </w:p>
        </w:tc>
        <w:tc>
          <w:tcPr>
            <w:tcW w:w="3402" w:type="dxa"/>
            <w:tcBorders>
              <w:top w:val="single" w:sz="4" w:space="0" w:color="auto"/>
              <w:left w:val="single" w:sz="4" w:space="0" w:color="auto"/>
              <w:bottom w:val="single" w:sz="4" w:space="0" w:color="auto"/>
              <w:right w:val="single" w:sz="4" w:space="0" w:color="auto"/>
            </w:tcBorders>
            <w:shd w:val="clear" w:color="auto" w:fill="A34D20"/>
            <w:noWrap/>
            <w:vAlign w:val="center"/>
            <w:hideMark/>
          </w:tcPr>
          <w:p w14:paraId="6D090DED" w14:textId="77777777" w:rsidR="00951D28" w:rsidRPr="00CE70B5" w:rsidRDefault="00951D28" w:rsidP="00CE70B5">
            <w:pPr>
              <w:spacing w:before="0" w:after="0" w:line="240" w:lineRule="auto"/>
              <w:jc w:val="left"/>
              <w:rPr>
                <w:rFonts w:eastAsia="Times New Roman"/>
                <w:b/>
                <w:bCs/>
                <w:color w:val="FFFFFF"/>
                <w:szCs w:val="24"/>
                <w:lang w:eastAsia="pl-PL"/>
              </w:rPr>
            </w:pPr>
            <w:r w:rsidRPr="00CE70B5">
              <w:rPr>
                <w:rFonts w:eastAsia="Times New Roman"/>
                <w:b/>
                <w:bCs/>
                <w:color w:val="FFFFFF"/>
                <w:szCs w:val="24"/>
                <w:lang w:eastAsia="pl-PL"/>
              </w:rPr>
              <w:t>Województwo</w:t>
            </w:r>
          </w:p>
        </w:tc>
        <w:tc>
          <w:tcPr>
            <w:tcW w:w="1701" w:type="dxa"/>
            <w:tcBorders>
              <w:top w:val="single" w:sz="4" w:space="0" w:color="auto"/>
              <w:left w:val="single" w:sz="4" w:space="0" w:color="auto"/>
              <w:bottom w:val="single" w:sz="4" w:space="0" w:color="auto"/>
              <w:right w:val="single" w:sz="4" w:space="0" w:color="auto"/>
            </w:tcBorders>
            <w:shd w:val="clear" w:color="auto" w:fill="A34D20"/>
            <w:noWrap/>
            <w:vAlign w:val="center"/>
            <w:hideMark/>
          </w:tcPr>
          <w:p w14:paraId="0F681DD5" w14:textId="77777777" w:rsidR="00951D28" w:rsidRPr="00CE70B5" w:rsidRDefault="00951D28" w:rsidP="00CE70B5">
            <w:pPr>
              <w:spacing w:before="0" w:after="0" w:line="240" w:lineRule="auto"/>
              <w:jc w:val="center"/>
              <w:rPr>
                <w:rFonts w:eastAsia="Times New Roman"/>
                <w:b/>
                <w:bCs/>
                <w:color w:val="FFFFFF"/>
                <w:szCs w:val="24"/>
                <w:lang w:eastAsia="pl-PL"/>
              </w:rPr>
            </w:pPr>
            <w:r w:rsidRPr="00CE70B5">
              <w:rPr>
                <w:rFonts w:eastAsia="Times New Roman"/>
                <w:b/>
                <w:bCs/>
                <w:color w:val="FFFFFF"/>
                <w:szCs w:val="24"/>
                <w:lang w:eastAsia="pl-PL"/>
              </w:rPr>
              <w:t>WSK</w:t>
            </w:r>
          </w:p>
        </w:tc>
      </w:tr>
      <w:tr w:rsidR="00951D28" w:rsidRPr="00951D28" w14:paraId="241253F5" w14:textId="77777777" w:rsidTr="00CE70B5">
        <w:trPr>
          <w:trHeight w:val="340"/>
          <w:jc w:val="center"/>
        </w:trPr>
        <w:tc>
          <w:tcPr>
            <w:tcW w:w="567"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35DEAD20" w14:textId="77777777" w:rsidR="00951D28" w:rsidRPr="00CE70B5" w:rsidRDefault="00951D28"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w:t>
            </w:r>
          </w:p>
        </w:tc>
        <w:tc>
          <w:tcPr>
            <w:tcW w:w="3402"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3AA46AD5" w14:textId="77777777" w:rsidR="00951D28" w:rsidRPr="00CE70B5" w:rsidRDefault="00951D28"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MAZOWIECKIE</w:t>
            </w:r>
          </w:p>
        </w:tc>
        <w:tc>
          <w:tcPr>
            <w:tcW w:w="1701"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50A34EC9" w14:textId="77777777" w:rsidR="00951D28" w:rsidRPr="00CE70B5" w:rsidRDefault="00951D28"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0,9003</w:t>
            </w:r>
          </w:p>
        </w:tc>
      </w:tr>
      <w:tr w:rsidR="00951D28" w:rsidRPr="00951D28" w14:paraId="1D3D4946" w14:textId="77777777" w:rsidTr="00CE70B5">
        <w:trPr>
          <w:trHeight w:val="34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B96CC" w14:textId="77777777" w:rsidR="00951D28" w:rsidRPr="00CE70B5" w:rsidRDefault="00951D28"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2</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5042D" w14:textId="77777777" w:rsidR="00951D28" w:rsidRPr="00CE70B5" w:rsidRDefault="00951D28"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DOLNOŚLĄSKIE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DF3C4" w14:textId="77777777" w:rsidR="00951D28" w:rsidRPr="00CE70B5" w:rsidRDefault="00951D28"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0,8367</w:t>
            </w:r>
          </w:p>
        </w:tc>
      </w:tr>
      <w:tr w:rsidR="00951D28" w:rsidRPr="00951D28" w14:paraId="5FA749F1" w14:textId="77777777" w:rsidTr="00CE70B5">
        <w:trPr>
          <w:trHeight w:val="340"/>
          <w:jc w:val="center"/>
        </w:trPr>
        <w:tc>
          <w:tcPr>
            <w:tcW w:w="567"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5330B634" w14:textId="77777777" w:rsidR="00951D28" w:rsidRPr="00CE70B5" w:rsidRDefault="00951D28"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3</w:t>
            </w:r>
          </w:p>
        </w:tc>
        <w:tc>
          <w:tcPr>
            <w:tcW w:w="3402"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0ECAD670" w14:textId="77777777" w:rsidR="00951D28" w:rsidRPr="00CE70B5" w:rsidRDefault="00951D28"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WIELKOPOLSKIE</w:t>
            </w:r>
          </w:p>
        </w:tc>
        <w:tc>
          <w:tcPr>
            <w:tcW w:w="1701"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16914F98" w14:textId="77777777" w:rsidR="00951D28" w:rsidRPr="00CE70B5" w:rsidRDefault="00951D28"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0,8215</w:t>
            </w:r>
          </w:p>
        </w:tc>
      </w:tr>
      <w:tr w:rsidR="00951D28" w:rsidRPr="00951D28" w14:paraId="7D506520" w14:textId="77777777" w:rsidTr="00CE70B5">
        <w:trPr>
          <w:trHeight w:val="34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C8695" w14:textId="77777777" w:rsidR="00951D28" w:rsidRPr="00CE70B5" w:rsidRDefault="00951D28"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4</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53C869" w14:textId="77777777" w:rsidR="00951D28" w:rsidRPr="00CE70B5" w:rsidRDefault="00951D28"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PODLASKIE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C4C85" w14:textId="77777777" w:rsidR="00951D28" w:rsidRPr="00CE70B5" w:rsidRDefault="00951D28"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0,6319</w:t>
            </w:r>
          </w:p>
        </w:tc>
      </w:tr>
      <w:tr w:rsidR="00951D28" w:rsidRPr="00951D28" w14:paraId="64B3850A" w14:textId="77777777" w:rsidTr="00CE70B5">
        <w:trPr>
          <w:trHeight w:val="340"/>
          <w:jc w:val="center"/>
        </w:trPr>
        <w:tc>
          <w:tcPr>
            <w:tcW w:w="567"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10448286" w14:textId="77777777" w:rsidR="00951D28" w:rsidRPr="00CE70B5" w:rsidRDefault="00951D28"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5</w:t>
            </w:r>
          </w:p>
        </w:tc>
        <w:tc>
          <w:tcPr>
            <w:tcW w:w="3402"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2F5018EF" w14:textId="77777777" w:rsidR="00951D28" w:rsidRPr="00CE70B5" w:rsidRDefault="00951D28"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PODKARPACKIE</w:t>
            </w:r>
          </w:p>
        </w:tc>
        <w:tc>
          <w:tcPr>
            <w:tcW w:w="1701"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2ED962E4" w14:textId="77777777" w:rsidR="00951D28" w:rsidRPr="00CE70B5" w:rsidRDefault="00951D28"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0,5948</w:t>
            </w:r>
          </w:p>
        </w:tc>
      </w:tr>
      <w:tr w:rsidR="00951D28" w:rsidRPr="00951D28" w14:paraId="73CFED1B" w14:textId="77777777" w:rsidTr="00CE70B5">
        <w:trPr>
          <w:trHeight w:val="34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3C405" w14:textId="77777777" w:rsidR="00951D28" w:rsidRPr="00CE70B5" w:rsidRDefault="00951D28"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6</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3E987" w14:textId="77777777" w:rsidR="00951D28" w:rsidRPr="00CE70B5" w:rsidRDefault="00951D28"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POMORSKIE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2C799" w14:textId="77777777" w:rsidR="00951D28" w:rsidRPr="00CE70B5" w:rsidRDefault="00951D28"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0,5894</w:t>
            </w:r>
          </w:p>
        </w:tc>
      </w:tr>
      <w:tr w:rsidR="00951D28" w:rsidRPr="00951D28" w14:paraId="2339D71D" w14:textId="77777777" w:rsidTr="00CE70B5">
        <w:trPr>
          <w:trHeight w:val="340"/>
          <w:jc w:val="center"/>
        </w:trPr>
        <w:tc>
          <w:tcPr>
            <w:tcW w:w="567"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0AC80B50" w14:textId="77777777" w:rsidR="00951D28" w:rsidRPr="00CE70B5" w:rsidRDefault="00951D28"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7</w:t>
            </w:r>
          </w:p>
        </w:tc>
        <w:tc>
          <w:tcPr>
            <w:tcW w:w="3402"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3766C21F" w14:textId="77777777" w:rsidR="00951D28" w:rsidRPr="00CE70B5" w:rsidRDefault="00951D28"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LUBELSKIE</w:t>
            </w:r>
          </w:p>
        </w:tc>
        <w:tc>
          <w:tcPr>
            <w:tcW w:w="1701"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7C31F2BA" w14:textId="77777777" w:rsidR="00951D28" w:rsidRPr="00CE70B5" w:rsidRDefault="00951D28"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0,5699</w:t>
            </w:r>
          </w:p>
        </w:tc>
      </w:tr>
      <w:tr w:rsidR="00951D28" w:rsidRPr="00951D28" w14:paraId="6D92C33A" w14:textId="77777777" w:rsidTr="00CE70B5">
        <w:trPr>
          <w:trHeight w:val="34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E2BA7" w14:textId="77777777" w:rsidR="00951D28" w:rsidRPr="00CE70B5" w:rsidRDefault="00951D28"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8</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DA7BE" w14:textId="77777777" w:rsidR="00951D28" w:rsidRPr="00CE70B5" w:rsidRDefault="00951D28"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MAŁOPOLSKIE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90A72" w14:textId="77777777" w:rsidR="00951D28" w:rsidRPr="00CE70B5" w:rsidRDefault="00951D28"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0,5252</w:t>
            </w:r>
          </w:p>
        </w:tc>
      </w:tr>
      <w:tr w:rsidR="00951D28" w:rsidRPr="00951D28" w14:paraId="216598C7" w14:textId="77777777" w:rsidTr="00CE70B5">
        <w:trPr>
          <w:trHeight w:val="340"/>
          <w:jc w:val="center"/>
        </w:trPr>
        <w:tc>
          <w:tcPr>
            <w:tcW w:w="567"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32588607" w14:textId="77777777" w:rsidR="00951D28" w:rsidRPr="00CE70B5" w:rsidRDefault="00951D28"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9</w:t>
            </w:r>
          </w:p>
        </w:tc>
        <w:tc>
          <w:tcPr>
            <w:tcW w:w="3402"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091A7B0F" w14:textId="77777777" w:rsidR="00951D28" w:rsidRPr="00CE70B5" w:rsidRDefault="00951D28"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LUBUSKIE</w:t>
            </w:r>
          </w:p>
        </w:tc>
        <w:tc>
          <w:tcPr>
            <w:tcW w:w="1701"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57EFB0FC" w14:textId="77777777" w:rsidR="00951D28" w:rsidRPr="00CE70B5" w:rsidRDefault="00951D28"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0,4469</w:t>
            </w:r>
          </w:p>
        </w:tc>
      </w:tr>
      <w:tr w:rsidR="00951D28" w:rsidRPr="00951D28" w14:paraId="557F719C" w14:textId="77777777" w:rsidTr="00CE70B5">
        <w:trPr>
          <w:trHeight w:val="34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A2CCFA" w14:textId="77777777" w:rsidR="00951D28" w:rsidRPr="00CE70B5" w:rsidRDefault="00951D28"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10</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E85FC" w14:textId="77777777" w:rsidR="00951D28" w:rsidRPr="00CE70B5" w:rsidRDefault="00951D28"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ŚLĄSKIE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6F55A" w14:textId="77777777" w:rsidR="00951D28" w:rsidRPr="00CE70B5" w:rsidRDefault="00951D28"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0,4097</w:t>
            </w:r>
          </w:p>
        </w:tc>
      </w:tr>
      <w:tr w:rsidR="00951D28" w:rsidRPr="00951D28" w14:paraId="3D13F929" w14:textId="77777777" w:rsidTr="00CE70B5">
        <w:trPr>
          <w:trHeight w:val="340"/>
          <w:jc w:val="center"/>
        </w:trPr>
        <w:tc>
          <w:tcPr>
            <w:tcW w:w="567"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15364784" w14:textId="77777777" w:rsidR="00951D28" w:rsidRPr="00CE70B5" w:rsidRDefault="00951D28"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11</w:t>
            </w:r>
          </w:p>
        </w:tc>
        <w:tc>
          <w:tcPr>
            <w:tcW w:w="3402"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5E623E43" w14:textId="77777777" w:rsidR="00951D28" w:rsidRPr="00CE70B5" w:rsidRDefault="00951D28"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ŁÓDZKIE</w:t>
            </w:r>
          </w:p>
        </w:tc>
        <w:tc>
          <w:tcPr>
            <w:tcW w:w="1701"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79FB69BA" w14:textId="77777777" w:rsidR="00951D28" w:rsidRPr="00CE70B5" w:rsidRDefault="00951D28"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0,4076</w:t>
            </w:r>
          </w:p>
        </w:tc>
      </w:tr>
      <w:tr w:rsidR="00951D28" w:rsidRPr="00951D28" w14:paraId="13F57828" w14:textId="77777777" w:rsidTr="00CE70B5">
        <w:trPr>
          <w:trHeight w:val="34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4A65A6" w14:textId="77777777" w:rsidR="00951D28" w:rsidRPr="00CE70B5" w:rsidRDefault="00951D28"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12</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2A5D48" w14:textId="77777777" w:rsidR="00951D28" w:rsidRPr="00CE70B5" w:rsidRDefault="00951D28"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KUJAWSKO-POMORSKIE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497409" w14:textId="77777777" w:rsidR="00951D28" w:rsidRPr="00CE70B5" w:rsidRDefault="00951D28"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0,4031</w:t>
            </w:r>
          </w:p>
        </w:tc>
      </w:tr>
      <w:tr w:rsidR="00951D28" w:rsidRPr="00951D28" w14:paraId="1E3FB249" w14:textId="77777777" w:rsidTr="00CE70B5">
        <w:trPr>
          <w:trHeight w:val="340"/>
          <w:jc w:val="center"/>
        </w:trPr>
        <w:tc>
          <w:tcPr>
            <w:tcW w:w="567"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4B0F45D0" w14:textId="77777777" w:rsidR="00951D28" w:rsidRPr="00CE70B5" w:rsidRDefault="00951D28"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13</w:t>
            </w:r>
          </w:p>
        </w:tc>
        <w:tc>
          <w:tcPr>
            <w:tcW w:w="3402"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23F607A5" w14:textId="77777777" w:rsidR="00951D28" w:rsidRPr="00CE70B5" w:rsidRDefault="00951D28"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OPOLSKIE</w:t>
            </w:r>
          </w:p>
        </w:tc>
        <w:tc>
          <w:tcPr>
            <w:tcW w:w="1701"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308FF891" w14:textId="77777777" w:rsidR="00951D28" w:rsidRPr="00CE70B5" w:rsidRDefault="00951D28"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0,4009</w:t>
            </w:r>
          </w:p>
        </w:tc>
      </w:tr>
      <w:tr w:rsidR="00951D28" w:rsidRPr="00951D28" w14:paraId="219A09E1" w14:textId="77777777" w:rsidTr="00CE70B5">
        <w:trPr>
          <w:trHeight w:val="34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A76BAC" w14:textId="77777777" w:rsidR="00951D28" w:rsidRPr="00CE70B5" w:rsidRDefault="00951D28"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14</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A4E19" w14:textId="77777777" w:rsidR="00951D28" w:rsidRPr="00CE70B5" w:rsidRDefault="00951D28"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ŚWIĘTOKRZYSKIE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F2D9CB" w14:textId="77777777" w:rsidR="00951D28" w:rsidRPr="00CE70B5" w:rsidRDefault="00951D28"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0,2897</w:t>
            </w:r>
          </w:p>
        </w:tc>
      </w:tr>
      <w:tr w:rsidR="00951D28" w:rsidRPr="00951D28" w14:paraId="777AC1DF" w14:textId="77777777" w:rsidTr="00CE70B5">
        <w:trPr>
          <w:trHeight w:val="340"/>
          <w:jc w:val="center"/>
        </w:trPr>
        <w:tc>
          <w:tcPr>
            <w:tcW w:w="567"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2D79BB01" w14:textId="77777777" w:rsidR="00951D28" w:rsidRPr="00CE70B5" w:rsidRDefault="00951D28"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15</w:t>
            </w:r>
          </w:p>
        </w:tc>
        <w:tc>
          <w:tcPr>
            <w:tcW w:w="3402"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3207ED08" w14:textId="77777777" w:rsidR="00951D28" w:rsidRPr="00CE70B5" w:rsidRDefault="00951D28"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ZACHODNIOPOMORSKIE</w:t>
            </w:r>
          </w:p>
        </w:tc>
        <w:tc>
          <w:tcPr>
            <w:tcW w:w="1701" w:type="dxa"/>
            <w:tcBorders>
              <w:top w:val="single" w:sz="4" w:space="0" w:color="auto"/>
              <w:left w:val="single" w:sz="4" w:space="0" w:color="auto"/>
              <w:bottom w:val="single" w:sz="4" w:space="0" w:color="auto"/>
              <w:right w:val="single" w:sz="4" w:space="0" w:color="auto"/>
            </w:tcBorders>
            <w:shd w:val="clear" w:color="auto" w:fill="F4BEB1"/>
            <w:noWrap/>
            <w:vAlign w:val="center"/>
            <w:hideMark/>
          </w:tcPr>
          <w:p w14:paraId="751D134F" w14:textId="77777777" w:rsidR="00951D28" w:rsidRPr="00CE70B5" w:rsidRDefault="00951D28"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0,2730</w:t>
            </w:r>
          </w:p>
        </w:tc>
      </w:tr>
      <w:tr w:rsidR="00951D28" w:rsidRPr="00951D28" w14:paraId="33E449BC" w14:textId="77777777" w:rsidTr="00CE70B5">
        <w:trPr>
          <w:trHeight w:val="34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C71BC" w14:textId="77777777" w:rsidR="00951D28" w:rsidRPr="00CE70B5" w:rsidRDefault="00951D28"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16</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41E86" w14:textId="77777777" w:rsidR="00951D28" w:rsidRPr="00CE70B5" w:rsidRDefault="00951D28"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WARMIŃSKO-MAZURSKIE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3E3BB" w14:textId="77777777" w:rsidR="00951D28" w:rsidRPr="00CE70B5" w:rsidRDefault="00951D28" w:rsidP="00CE70B5">
            <w:pPr>
              <w:keepNext/>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0,1050</w:t>
            </w:r>
          </w:p>
        </w:tc>
      </w:tr>
    </w:tbl>
    <w:p w14:paraId="28E1AEDF" w14:textId="5D46AA93" w:rsidR="00C35D3E" w:rsidRDefault="00951D28" w:rsidP="00951D28">
      <w:pPr>
        <w:pStyle w:val="Legenda"/>
        <w:jc w:val="center"/>
      </w:pPr>
      <w:r>
        <w:t xml:space="preserve">Tabela </w:t>
      </w:r>
      <w:fldSimple w:instr=" SEQ Tabela \* ARABIC ">
        <w:r w:rsidR="00EF2DB4">
          <w:rPr>
            <w:noProof/>
          </w:rPr>
          <w:t>5</w:t>
        </w:r>
      </w:fldSimple>
      <w:r>
        <w:t xml:space="preserve">. </w:t>
      </w:r>
      <w:r w:rsidRPr="006F03F3">
        <w:t>Wyniki porządkowania liniowego uzyskane metodą standaryzowanych sum.</w:t>
      </w:r>
    </w:p>
    <w:p w14:paraId="6F9C37D6" w14:textId="3ACE501D" w:rsidR="00951D28" w:rsidRPr="00951D28" w:rsidRDefault="00951D28" w:rsidP="00951D28">
      <w:r w:rsidRPr="00951D28">
        <w:tab/>
        <w:t>Wyniki uzyskane za pomocą metody standaryzowanych sum wskazują na podobne tendencje jak poprzednia metoda Hellwiga, choć niektóre różnice w rankingu są zauważalne. Województwo mazowieckie ponownie zajmuje pierwsze miejsce z wynikiem 0,9003, co potwierdza jego przewagę w zakresie poziomu życia, związanej głównie z rozwiniętą gospodarką, wysokimi wynagrodzeniami oraz dostępnością do kluczowych usług. Dolnośląskie i wielkopolskie również zajmują wysokie pozycje, odpowiednio na drugim (0,8367) i trzecim (0,8215) miejscu, co potwierdza ich wysoki poziom rozwoju i</w:t>
      </w:r>
      <w:r>
        <w:t> </w:t>
      </w:r>
      <w:r w:rsidRPr="00951D28">
        <w:t>konkurencyjności.</w:t>
      </w:r>
    </w:p>
    <w:p w14:paraId="57170873" w14:textId="342AB95F" w:rsidR="00951D28" w:rsidRDefault="00951D28" w:rsidP="00951D28">
      <w:pPr>
        <w:ind w:firstLine="708"/>
      </w:pPr>
      <w:r w:rsidRPr="00951D28">
        <w:t>Interesujące jest wyższe miejsce województwa podlaskiego (4. miejsce, 0,6319) i</w:t>
      </w:r>
      <w:r>
        <w:t> </w:t>
      </w:r>
      <w:r w:rsidRPr="00951D28">
        <w:t>podkarpackiego (5. miejsce, 0,5948) w tej metodzie, co może wynikać z większego nacisku na inne czynniki, które mogły lepiej wypaść w tych regionach. W porównaniu do wyników Hellwiga, województwo pomorskie spadło na 6. miejsce, co może sugerować, że metoda standaryzowanych sum inaczej traktuje poszczególne zmienne, zmieniając nieco układ rankingu. Na dole zestawienia ponownie znajduje się warmińsko-mazurskie (0,1050), co wskazuje na niski poziom życia w tym regionie.</w:t>
      </w:r>
    </w:p>
    <w:p w14:paraId="66165397" w14:textId="77777777" w:rsidR="00951D28" w:rsidRDefault="00951D28">
      <w:pPr>
        <w:spacing w:before="0" w:after="160" w:line="278" w:lineRule="auto"/>
        <w:jc w:val="left"/>
      </w:pPr>
      <w:r>
        <w:br w:type="page"/>
      </w:r>
    </w:p>
    <w:p w14:paraId="3193E9CA" w14:textId="2A169FA2" w:rsidR="00951D28" w:rsidRDefault="006D0D4C" w:rsidP="00951D28">
      <w:pPr>
        <w:keepNext/>
        <w:jc w:val="center"/>
      </w:pPr>
      <w:r>
        <w:rPr>
          <w:noProof/>
          <w14:ligatures w14:val="standardContextual"/>
        </w:rPr>
        <w:lastRenderedPageBreak/>
        <w:drawing>
          <wp:anchor distT="0" distB="0" distL="114300" distR="114300" simplePos="0" relativeHeight="251667456" behindDoc="0" locked="0" layoutInCell="1" allowOverlap="1" wp14:anchorId="56F1FF78" wp14:editId="2751C76D">
            <wp:simplePos x="0" y="0"/>
            <wp:positionH relativeFrom="margin">
              <wp:posOffset>308610</wp:posOffset>
            </wp:positionH>
            <wp:positionV relativeFrom="margin">
              <wp:posOffset>212437</wp:posOffset>
            </wp:positionV>
            <wp:extent cx="5143500" cy="2489200"/>
            <wp:effectExtent l="0" t="0" r="0" b="0"/>
            <wp:wrapSquare wrapText="bothSides"/>
            <wp:docPr id="1212542306" name="Obraz 5" descr="Obraz zawierający map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42306" name="Obraz 5" descr="Obraz zawierający mapa, tekst&#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5143500" cy="2489200"/>
                    </a:xfrm>
                    <a:prstGeom prst="rect">
                      <a:avLst/>
                    </a:prstGeom>
                  </pic:spPr>
                </pic:pic>
              </a:graphicData>
            </a:graphic>
          </wp:anchor>
        </w:drawing>
      </w:r>
      <w:r>
        <w:rPr>
          <w:noProof/>
          <w14:ligatures w14:val="standardContextual"/>
        </w:rPr>
        <mc:AlternateContent>
          <mc:Choice Requires="wps">
            <w:drawing>
              <wp:anchor distT="0" distB="0" distL="114300" distR="114300" simplePos="0" relativeHeight="251666432" behindDoc="0" locked="0" layoutInCell="1" allowOverlap="1" wp14:anchorId="5F66F189" wp14:editId="7F118BD3">
                <wp:simplePos x="0" y="0"/>
                <wp:positionH relativeFrom="column">
                  <wp:posOffset>3907732</wp:posOffset>
                </wp:positionH>
                <wp:positionV relativeFrom="paragraph">
                  <wp:posOffset>2397587</wp:posOffset>
                </wp:positionV>
                <wp:extent cx="1219200" cy="304800"/>
                <wp:effectExtent l="0" t="0" r="0" b="0"/>
                <wp:wrapNone/>
                <wp:docPr id="1699461095" name="Prostokąt 4"/>
                <wp:cNvGraphicFramePr/>
                <a:graphic xmlns:a="http://schemas.openxmlformats.org/drawingml/2006/main">
                  <a:graphicData uri="http://schemas.microsoft.com/office/word/2010/wordprocessingShape">
                    <wps:wsp>
                      <wps:cNvSpPr/>
                      <wps:spPr>
                        <a:xfrm>
                          <a:off x="0" y="0"/>
                          <a:ext cx="1219200" cy="3048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E1EB66" id="Prostokąt 4" o:spid="_x0000_s1026" style="position:absolute;margin-left:307.7pt;margin-top:188.8pt;width:96pt;height:2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" fillcolor="white [3212]" stroked="f" strokeweight="1pt"/>
            </w:pict>
          </mc:Fallback>
        </mc:AlternateContent>
      </w:r>
    </w:p>
    <w:p w14:paraId="76F87198" w14:textId="74ABB9C2" w:rsidR="00951D28" w:rsidRPr="00951D28" w:rsidRDefault="00951D28" w:rsidP="00951D28">
      <w:pPr>
        <w:pStyle w:val="Legenda"/>
        <w:jc w:val="center"/>
      </w:pPr>
      <w:r>
        <w:t xml:space="preserve">Rysunek </w:t>
      </w:r>
      <w:fldSimple w:instr=" SEQ Rysunek \* ARABIC ">
        <w:r w:rsidR="0072353B">
          <w:rPr>
            <w:noProof/>
          </w:rPr>
          <w:t>4</w:t>
        </w:r>
      </w:fldSimple>
      <w:r>
        <w:t xml:space="preserve">. </w:t>
      </w:r>
      <w:r w:rsidRPr="00473540">
        <w:t>Wyniki uzyskane metodą</w:t>
      </w:r>
      <w:r>
        <w:t xml:space="preserve"> standaryzowanych sum</w:t>
      </w:r>
      <w:r w:rsidRPr="00473540">
        <w:t xml:space="preserve"> po pogrupowaniu według średniej.</w:t>
      </w:r>
    </w:p>
    <w:p w14:paraId="142D7C30" w14:textId="0EE6C49B" w:rsidR="00951D28" w:rsidRDefault="005F5B2E" w:rsidP="00951D28">
      <w:r>
        <w:tab/>
        <w:t>Grupowanie według średniej wykazało, że województwami znajdującymi się w I grupie i jednocześnie wykazującymi najlepsze warunki życia są: województwo mazowieckie, wielkopolskie i dolnośląskie. Z kolei na końcu tego rankingu ponownie znalazło się województwo warmińsko-mazurskie.</w:t>
      </w:r>
    </w:p>
    <w:p w14:paraId="1963F80A" w14:textId="5256DD2F" w:rsidR="005F5B2E" w:rsidRDefault="005F5B2E" w:rsidP="005F5B2E">
      <w:pPr>
        <w:pStyle w:val="Nagwek2"/>
      </w:pPr>
      <w:hyperlink w:anchor="_Spis_treści" w:history="1">
        <w:bookmarkStart w:id="12" w:name="_Toc180602599"/>
        <w:r w:rsidRPr="005F5B2E">
          <w:rPr>
            <w:rStyle w:val="Hipercze"/>
            <w:color w:val="000000" w:themeColor="text1"/>
            <w:u w:val="none"/>
          </w:rPr>
          <w:t>Metoda sumy rang</w:t>
        </w:r>
        <w:bookmarkEnd w:id="12"/>
      </w:hyperlink>
    </w:p>
    <w:p w14:paraId="1116CABE" w14:textId="02D30B59" w:rsidR="00C94149" w:rsidRDefault="00C94149" w:rsidP="00C94149">
      <w:r>
        <w:tab/>
      </w:r>
      <w:r w:rsidRPr="002F60E3">
        <w:t>Ostatnią metodą, którą wykorzystam będzie metoda sumy rang.</w:t>
      </w:r>
      <w:r w:rsidR="008D445D" w:rsidRPr="002F60E3">
        <w:t xml:space="preserve"> Uzyskane wyniki mogą się różnić od poprzednich metod, ponieważ nie opierają się na bezpośrednich wartościach zmiennych, ale na ich rangach, co oznacza, że w mniejszym stopniu uwzględnione zostają rzeczywiste różnice między wartościami poszczególnych zmiennych. W związku z tym metoda ta zmniejsza wpływ wartości odstających i ekstremalnych, co może spowodować inne rozmieszczenie województw w rankingu, szczególnie w przypadku regionów o skrajnych wartościach w pojedynczych zmiennych, takich jak Mazowieckie czy Warmińsko-Mazurskie.</w:t>
      </w:r>
    </w:p>
    <w:p w14:paraId="77B7ED8F" w14:textId="77777777" w:rsidR="002F60E3" w:rsidRDefault="002F60E3" w:rsidP="00C94149"/>
    <w:p w14:paraId="2F78B2D9" w14:textId="77777777" w:rsidR="002F60E3" w:rsidRDefault="002F60E3" w:rsidP="00C94149"/>
    <w:p w14:paraId="56316105" w14:textId="77777777" w:rsidR="006D0D4C" w:rsidRDefault="006D0D4C" w:rsidP="00C94149"/>
    <w:p w14:paraId="629BC47F" w14:textId="77777777" w:rsidR="002F60E3" w:rsidRDefault="002F60E3" w:rsidP="00C94149"/>
    <w:p w14:paraId="5A2DBDFB" w14:textId="77777777" w:rsidR="002F60E3" w:rsidRPr="002F60E3" w:rsidRDefault="002F60E3" w:rsidP="00C94149"/>
    <w:tbl>
      <w:tblPr>
        <w:tblW w:w="5670" w:type="dxa"/>
        <w:jc w:val="center"/>
        <w:tblCellMar>
          <w:left w:w="70" w:type="dxa"/>
          <w:right w:w="70" w:type="dxa"/>
        </w:tblCellMar>
        <w:tblLook w:val="04A0" w:firstRow="1" w:lastRow="0" w:firstColumn="1" w:lastColumn="0" w:noHBand="0" w:noVBand="1"/>
      </w:tblPr>
      <w:tblGrid>
        <w:gridCol w:w="567"/>
        <w:gridCol w:w="3402"/>
        <w:gridCol w:w="1701"/>
      </w:tblGrid>
      <w:tr w:rsidR="008D445D" w:rsidRPr="00CE70B5" w14:paraId="381E3F04" w14:textId="77777777" w:rsidTr="00CE70B5">
        <w:trPr>
          <w:trHeight w:val="340"/>
          <w:jc w:val="center"/>
        </w:trPr>
        <w:tc>
          <w:tcPr>
            <w:tcW w:w="567" w:type="dxa"/>
            <w:tcBorders>
              <w:top w:val="single" w:sz="4" w:space="0" w:color="auto"/>
              <w:left w:val="single" w:sz="4" w:space="0" w:color="auto"/>
              <w:bottom w:val="single" w:sz="4" w:space="0" w:color="auto"/>
              <w:right w:val="single" w:sz="4" w:space="0" w:color="auto"/>
            </w:tcBorders>
            <w:shd w:val="clear" w:color="156082" w:fill="3B8222"/>
            <w:noWrap/>
            <w:vAlign w:val="center"/>
            <w:hideMark/>
          </w:tcPr>
          <w:p w14:paraId="3BAD92AA" w14:textId="77777777" w:rsidR="008D445D" w:rsidRPr="00CE70B5" w:rsidRDefault="008D445D" w:rsidP="00CE70B5">
            <w:pPr>
              <w:spacing w:before="0" w:after="0" w:line="240" w:lineRule="auto"/>
              <w:jc w:val="center"/>
              <w:rPr>
                <w:rFonts w:eastAsia="Times New Roman"/>
                <w:b/>
                <w:bCs/>
                <w:color w:val="FFFFFF"/>
                <w:szCs w:val="24"/>
                <w:lang w:eastAsia="pl-PL"/>
              </w:rPr>
            </w:pPr>
            <w:r w:rsidRPr="00CE70B5">
              <w:rPr>
                <w:rFonts w:eastAsia="Times New Roman"/>
                <w:b/>
                <w:bCs/>
                <w:color w:val="FFFFFF"/>
                <w:szCs w:val="24"/>
                <w:lang w:eastAsia="pl-PL"/>
              </w:rPr>
              <w:lastRenderedPageBreak/>
              <w:t>NR</w:t>
            </w:r>
          </w:p>
        </w:tc>
        <w:tc>
          <w:tcPr>
            <w:tcW w:w="3402" w:type="dxa"/>
            <w:tcBorders>
              <w:top w:val="single" w:sz="4" w:space="0" w:color="auto"/>
              <w:left w:val="nil"/>
              <w:bottom w:val="single" w:sz="4" w:space="0" w:color="auto"/>
              <w:right w:val="single" w:sz="4" w:space="0" w:color="auto"/>
            </w:tcBorders>
            <w:shd w:val="clear" w:color="156082" w:fill="3B8222"/>
            <w:noWrap/>
            <w:vAlign w:val="center"/>
            <w:hideMark/>
          </w:tcPr>
          <w:p w14:paraId="0CE0597B" w14:textId="77777777" w:rsidR="008D445D" w:rsidRPr="00CE70B5" w:rsidRDefault="008D445D" w:rsidP="00CE70B5">
            <w:pPr>
              <w:spacing w:before="0" w:after="0" w:line="240" w:lineRule="auto"/>
              <w:jc w:val="left"/>
              <w:rPr>
                <w:rFonts w:eastAsia="Times New Roman"/>
                <w:b/>
                <w:bCs/>
                <w:color w:val="FFFFFF"/>
                <w:szCs w:val="24"/>
                <w:lang w:eastAsia="pl-PL"/>
              </w:rPr>
            </w:pPr>
            <w:r w:rsidRPr="00CE70B5">
              <w:rPr>
                <w:rFonts w:eastAsia="Times New Roman"/>
                <w:b/>
                <w:bCs/>
                <w:color w:val="FFFFFF"/>
                <w:szCs w:val="24"/>
                <w:lang w:eastAsia="pl-PL"/>
              </w:rPr>
              <w:t>Województwo</w:t>
            </w:r>
          </w:p>
        </w:tc>
        <w:tc>
          <w:tcPr>
            <w:tcW w:w="1701" w:type="dxa"/>
            <w:tcBorders>
              <w:top w:val="single" w:sz="4" w:space="0" w:color="auto"/>
              <w:left w:val="nil"/>
              <w:bottom w:val="single" w:sz="4" w:space="0" w:color="auto"/>
              <w:right w:val="single" w:sz="4" w:space="0" w:color="auto"/>
            </w:tcBorders>
            <w:shd w:val="clear" w:color="156082" w:fill="3B8222"/>
            <w:noWrap/>
            <w:vAlign w:val="center"/>
            <w:hideMark/>
          </w:tcPr>
          <w:p w14:paraId="15D56F5F" w14:textId="77777777" w:rsidR="008D445D" w:rsidRPr="00CE70B5" w:rsidRDefault="008D445D" w:rsidP="00CE70B5">
            <w:pPr>
              <w:spacing w:before="0" w:after="0" w:line="240" w:lineRule="auto"/>
              <w:jc w:val="center"/>
              <w:rPr>
                <w:rFonts w:eastAsia="Times New Roman"/>
                <w:b/>
                <w:bCs/>
                <w:color w:val="FFFFFF"/>
                <w:szCs w:val="24"/>
                <w:lang w:eastAsia="pl-PL"/>
              </w:rPr>
            </w:pPr>
            <w:r w:rsidRPr="00CE70B5">
              <w:rPr>
                <w:rFonts w:eastAsia="Times New Roman"/>
                <w:b/>
                <w:bCs/>
                <w:color w:val="FFFFFF"/>
                <w:szCs w:val="24"/>
                <w:lang w:eastAsia="pl-PL"/>
              </w:rPr>
              <w:t>Ocena</w:t>
            </w:r>
          </w:p>
        </w:tc>
      </w:tr>
      <w:tr w:rsidR="008D445D" w:rsidRPr="00CE70B5" w14:paraId="54D033B1" w14:textId="77777777" w:rsidTr="00CE70B5">
        <w:trPr>
          <w:trHeight w:val="340"/>
          <w:jc w:val="center"/>
        </w:trPr>
        <w:tc>
          <w:tcPr>
            <w:tcW w:w="567" w:type="dxa"/>
            <w:tcBorders>
              <w:top w:val="nil"/>
              <w:left w:val="single" w:sz="4" w:space="0" w:color="auto"/>
              <w:bottom w:val="single" w:sz="4" w:space="0" w:color="auto"/>
              <w:right w:val="single" w:sz="4" w:space="0" w:color="auto"/>
            </w:tcBorders>
            <w:shd w:val="clear" w:color="C0E6F5" w:fill="B6D2B0"/>
            <w:noWrap/>
            <w:vAlign w:val="center"/>
            <w:hideMark/>
          </w:tcPr>
          <w:p w14:paraId="7B645C6F" w14:textId="77777777" w:rsidR="008D445D" w:rsidRPr="00CE70B5" w:rsidRDefault="008D445D"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w:t>
            </w:r>
          </w:p>
        </w:tc>
        <w:tc>
          <w:tcPr>
            <w:tcW w:w="3402" w:type="dxa"/>
            <w:tcBorders>
              <w:top w:val="nil"/>
              <w:left w:val="nil"/>
              <w:bottom w:val="single" w:sz="4" w:space="0" w:color="auto"/>
              <w:right w:val="single" w:sz="4" w:space="0" w:color="auto"/>
            </w:tcBorders>
            <w:shd w:val="clear" w:color="C0E6F5" w:fill="B6D2B0"/>
            <w:noWrap/>
            <w:vAlign w:val="center"/>
            <w:hideMark/>
          </w:tcPr>
          <w:p w14:paraId="543B0250" w14:textId="77777777" w:rsidR="008D445D" w:rsidRPr="00CE70B5" w:rsidRDefault="008D445D"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WIELKOPOLSKIE</w:t>
            </w:r>
          </w:p>
        </w:tc>
        <w:tc>
          <w:tcPr>
            <w:tcW w:w="1701" w:type="dxa"/>
            <w:tcBorders>
              <w:top w:val="nil"/>
              <w:left w:val="nil"/>
              <w:bottom w:val="single" w:sz="4" w:space="0" w:color="auto"/>
              <w:right w:val="single" w:sz="4" w:space="0" w:color="auto"/>
            </w:tcBorders>
            <w:shd w:val="clear" w:color="C0E6F5" w:fill="B6D2B0"/>
            <w:noWrap/>
            <w:vAlign w:val="center"/>
            <w:hideMark/>
          </w:tcPr>
          <w:p w14:paraId="76D497CB" w14:textId="77777777" w:rsidR="008D445D" w:rsidRPr="00CE70B5" w:rsidRDefault="008D445D"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10,475</w:t>
            </w:r>
          </w:p>
        </w:tc>
      </w:tr>
      <w:tr w:rsidR="008D445D" w:rsidRPr="00CE70B5" w14:paraId="2351CA41" w14:textId="77777777" w:rsidTr="00CE70B5">
        <w:trPr>
          <w:trHeight w:val="340"/>
          <w:jc w:val="center"/>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525BEB2F" w14:textId="77777777" w:rsidR="008D445D" w:rsidRPr="00CE70B5" w:rsidRDefault="008D445D"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2</w:t>
            </w:r>
          </w:p>
        </w:tc>
        <w:tc>
          <w:tcPr>
            <w:tcW w:w="3402" w:type="dxa"/>
            <w:tcBorders>
              <w:top w:val="nil"/>
              <w:left w:val="nil"/>
              <w:bottom w:val="single" w:sz="4" w:space="0" w:color="auto"/>
              <w:right w:val="single" w:sz="4" w:space="0" w:color="auto"/>
            </w:tcBorders>
            <w:shd w:val="clear" w:color="auto" w:fill="auto"/>
            <w:noWrap/>
            <w:vAlign w:val="center"/>
            <w:hideMark/>
          </w:tcPr>
          <w:p w14:paraId="2B5A5AC5" w14:textId="77777777" w:rsidR="008D445D" w:rsidRPr="00CE70B5" w:rsidRDefault="008D445D"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DOLNOŚLĄSKIE</w:t>
            </w:r>
          </w:p>
        </w:tc>
        <w:tc>
          <w:tcPr>
            <w:tcW w:w="1701" w:type="dxa"/>
            <w:tcBorders>
              <w:top w:val="nil"/>
              <w:left w:val="nil"/>
              <w:bottom w:val="single" w:sz="4" w:space="0" w:color="auto"/>
              <w:right w:val="single" w:sz="4" w:space="0" w:color="auto"/>
            </w:tcBorders>
            <w:shd w:val="clear" w:color="auto" w:fill="auto"/>
            <w:noWrap/>
            <w:vAlign w:val="center"/>
            <w:hideMark/>
          </w:tcPr>
          <w:p w14:paraId="4458F23C" w14:textId="77777777" w:rsidR="008D445D" w:rsidRPr="00CE70B5" w:rsidRDefault="008D445D"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9,900</w:t>
            </w:r>
          </w:p>
        </w:tc>
      </w:tr>
      <w:tr w:rsidR="008D445D" w:rsidRPr="00CE70B5" w14:paraId="231CB935" w14:textId="77777777" w:rsidTr="00CE70B5">
        <w:trPr>
          <w:trHeight w:val="340"/>
          <w:jc w:val="center"/>
        </w:trPr>
        <w:tc>
          <w:tcPr>
            <w:tcW w:w="567" w:type="dxa"/>
            <w:tcBorders>
              <w:top w:val="nil"/>
              <w:left w:val="single" w:sz="4" w:space="0" w:color="auto"/>
              <w:bottom w:val="single" w:sz="4" w:space="0" w:color="auto"/>
              <w:right w:val="single" w:sz="4" w:space="0" w:color="auto"/>
            </w:tcBorders>
            <w:shd w:val="clear" w:color="C0E6F5" w:fill="B6D2B0"/>
            <w:noWrap/>
            <w:vAlign w:val="center"/>
            <w:hideMark/>
          </w:tcPr>
          <w:p w14:paraId="13C8ED04" w14:textId="77777777" w:rsidR="008D445D" w:rsidRPr="00CE70B5" w:rsidRDefault="008D445D"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3</w:t>
            </w:r>
          </w:p>
        </w:tc>
        <w:tc>
          <w:tcPr>
            <w:tcW w:w="3402" w:type="dxa"/>
            <w:tcBorders>
              <w:top w:val="nil"/>
              <w:left w:val="nil"/>
              <w:bottom w:val="single" w:sz="4" w:space="0" w:color="auto"/>
              <w:right w:val="single" w:sz="4" w:space="0" w:color="auto"/>
            </w:tcBorders>
            <w:shd w:val="clear" w:color="C0E6F5" w:fill="B6D2B0"/>
            <w:noWrap/>
            <w:vAlign w:val="center"/>
            <w:hideMark/>
          </w:tcPr>
          <w:p w14:paraId="1E397E48" w14:textId="77777777" w:rsidR="008D445D" w:rsidRPr="00CE70B5" w:rsidRDefault="008D445D"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ŚLĄSKIE</w:t>
            </w:r>
          </w:p>
        </w:tc>
        <w:tc>
          <w:tcPr>
            <w:tcW w:w="1701" w:type="dxa"/>
            <w:tcBorders>
              <w:top w:val="nil"/>
              <w:left w:val="nil"/>
              <w:bottom w:val="single" w:sz="4" w:space="0" w:color="auto"/>
              <w:right w:val="single" w:sz="4" w:space="0" w:color="auto"/>
            </w:tcBorders>
            <w:shd w:val="clear" w:color="C0E6F5" w:fill="B6D2B0"/>
            <w:noWrap/>
            <w:vAlign w:val="center"/>
            <w:hideMark/>
          </w:tcPr>
          <w:p w14:paraId="1EAE631B" w14:textId="77777777" w:rsidR="008D445D" w:rsidRPr="00CE70B5" w:rsidRDefault="008D445D"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9,275</w:t>
            </w:r>
          </w:p>
        </w:tc>
      </w:tr>
      <w:tr w:rsidR="008D445D" w:rsidRPr="00CE70B5" w14:paraId="203D4EB0" w14:textId="77777777" w:rsidTr="00CE70B5">
        <w:trPr>
          <w:trHeight w:val="340"/>
          <w:jc w:val="center"/>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1FF9FB26" w14:textId="77777777" w:rsidR="008D445D" w:rsidRPr="00CE70B5" w:rsidRDefault="008D445D"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4</w:t>
            </w:r>
          </w:p>
        </w:tc>
        <w:tc>
          <w:tcPr>
            <w:tcW w:w="3402" w:type="dxa"/>
            <w:tcBorders>
              <w:top w:val="nil"/>
              <w:left w:val="nil"/>
              <w:bottom w:val="single" w:sz="4" w:space="0" w:color="auto"/>
              <w:right w:val="single" w:sz="4" w:space="0" w:color="auto"/>
            </w:tcBorders>
            <w:shd w:val="clear" w:color="auto" w:fill="auto"/>
            <w:noWrap/>
            <w:vAlign w:val="center"/>
            <w:hideMark/>
          </w:tcPr>
          <w:p w14:paraId="5424B2ED" w14:textId="77777777" w:rsidR="008D445D" w:rsidRPr="00CE70B5" w:rsidRDefault="008D445D"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MAZOWIECKIE</w:t>
            </w:r>
          </w:p>
        </w:tc>
        <w:tc>
          <w:tcPr>
            <w:tcW w:w="1701" w:type="dxa"/>
            <w:tcBorders>
              <w:top w:val="nil"/>
              <w:left w:val="nil"/>
              <w:bottom w:val="single" w:sz="4" w:space="0" w:color="auto"/>
              <w:right w:val="single" w:sz="4" w:space="0" w:color="auto"/>
            </w:tcBorders>
            <w:shd w:val="clear" w:color="auto" w:fill="auto"/>
            <w:noWrap/>
            <w:vAlign w:val="center"/>
            <w:hideMark/>
          </w:tcPr>
          <w:p w14:paraId="1EF10AF0" w14:textId="77777777" w:rsidR="008D445D" w:rsidRPr="00CE70B5" w:rsidRDefault="008D445D"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9,225</w:t>
            </w:r>
          </w:p>
        </w:tc>
      </w:tr>
      <w:tr w:rsidR="008D445D" w:rsidRPr="00CE70B5" w14:paraId="296F0274" w14:textId="77777777" w:rsidTr="00CE70B5">
        <w:trPr>
          <w:trHeight w:val="340"/>
          <w:jc w:val="center"/>
        </w:trPr>
        <w:tc>
          <w:tcPr>
            <w:tcW w:w="567" w:type="dxa"/>
            <w:tcBorders>
              <w:top w:val="nil"/>
              <w:left w:val="single" w:sz="4" w:space="0" w:color="auto"/>
              <w:bottom w:val="single" w:sz="4" w:space="0" w:color="auto"/>
              <w:right w:val="single" w:sz="4" w:space="0" w:color="auto"/>
            </w:tcBorders>
            <w:shd w:val="clear" w:color="C0E6F5" w:fill="B6D2B0"/>
            <w:noWrap/>
            <w:vAlign w:val="center"/>
            <w:hideMark/>
          </w:tcPr>
          <w:p w14:paraId="6B0083F0" w14:textId="77777777" w:rsidR="008D445D" w:rsidRPr="00CE70B5" w:rsidRDefault="008D445D"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5</w:t>
            </w:r>
          </w:p>
        </w:tc>
        <w:tc>
          <w:tcPr>
            <w:tcW w:w="3402" w:type="dxa"/>
            <w:tcBorders>
              <w:top w:val="nil"/>
              <w:left w:val="nil"/>
              <w:bottom w:val="single" w:sz="4" w:space="0" w:color="auto"/>
              <w:right w:val="single" w:sz="4" w:space="0" w:color="auto"/>
            </w:tcBorders>
            <w:shd w:val="clear" w:color="C0E6F5" w:fill="B6D2B0"/>
            <w:noWrap/>
            <w:vAlign w:val="center"/>
            <w:hideMark/>
          </w:tcPr>
          <w:p w14:paraId="0DD26B67" w14:textId="77777777" w:rsidR="008D445D" w:rsidRPr="00CE70B5" w:rsidRDefault="008D445D"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OPOLSKIE</w:t>
            </w:r>
          </w:p>
        </w:tc>
        <w:tc>
          <w:tcPr>
            <w:tcW w:w="1701" w:type="dxa"/>
            <w:tcBorders>
              <w:top w:val="nil"/>
              <w:left w:val="nil"/>
              <w:bottom w:val="single" w:sz="4" w:space="0" w:color="auto"/>
              <w:right w:val="single" w:sz="4" w:space="0" w:color="auto"/>
            </w:tcBorders>
            <w:shd w:val="clear" w:color="C0E6F5" w:fill="B6D2B0"/>
            <w:noWrap/>
            <w:vAlign w:val="center"/>
            <w:hideMark/>
          </w:tcPr>
          <w:p w14:paraId="5C6F0065" w14:textId="77777777" w:rsidR="008D445D" w:rsidRPr="00CE70B5" w:rsidRDefault="008D445D"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9,075</w:t>
            </w:r>
          </w:p>
        </w:tc>
      </w:tr>
      <w:tr w:rsidR="008D445D" w:rsidRPr="00CE70B5" w14:paraId="3C2DA7E1" w14:textId="77777777" w:rsidTr="00CE70B5">
        <w:trPr>
          <w:trHeight w:val="340"/>
          <w:jc w:val="center"/>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22BDD4DD" w14:textId="77777777" w:rsidR="008D445D" w:rsidRPr="00CE70B5" w:rsidRDefault="008D445D"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6</w:t>
            </w:r>
          </w:p>
        </w:tc>
        <w:tc>
          <w:tcPr>
            <w:tcW w:w="3402" w:type="dxa"/>
            <w:tcBorders>
              <w:top w:val="nil"/>
              <w:left w:val="nil"/>
              <w:bottom w:val="single" w:sz="4" w:space="0" w:color="auto"/>
              <w:right w:val="single" w:sz="4" w:space="0" w:color="auto"/>
            </w:tcBorders>
            <w:shd w:val="clear" w:color="auto" w:fill="auto"/>
            <w:noWrap/>
            <w:vAlign w:val="center"/>
            <w:hideMark/>
          </w:tcPr>
          <w:p w14:paraId="679BE904" w14:textId="77777777" w:rsidR="008D445D" w:rsidRPr="00CE70B5" w:rsidRDefault="008D445D"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ŁÓDZKIE</w:t>
            </w:r>
          </w:p>
        </w:tc>
        <w:tc>
          <w:tcPr>
            <w:tcW w:w="1701" w:type="dxa"/>
            <w:tcBorders>
              <w:top w:val="nil"/>
              <w:left w:val="nil"/>
              <w:bottom w:val="single" w:sz="4" w:space="0" w:color="auto"/>
              <w:right w:val="single" w:sz="4" w:space="0" w:color="auto"/>
            </w:tcBorders>
            <w:shd w:val="clear" w:color="auto" w:fill="auto"/>
            <w:noWrap/>
            <w:vAlign w:val="center"/>
            <w:hideMark/>
          </w:tcPr>
          <w:p w14:paraId="63472A46" w14:textId="77777777" w:rsidR="008D445D" w:rsidRPr="00CE70B5" w:rsidRDefault="008D445D"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8,950</w:t>
            </w:r>
          </w:p>
        </w:tc>
      </w:tr>
      <w:tr w:rsidR="008D445D" w:rsidRPr="00CE70B5" w14:paraId="69DD400F" w14:textId="77777777" w:rsidTr="00CE70B5">
        <w:trPr>
          <w:trHeight w:val="340"/>
          <w:jc w:val="center"/>
        </w:trPr>
        <w:tc>
          <w:tcPr>
            <w:tcW w:w="567" w:type="dxa"/>
            <w:tcBorders>
              <w:top w:val="nil"/>
              <w:left w:val="single" w:sz="4" w:space="0" w:color="auto"/>
              <w:bottom w:val="single" w:sz="4" w:space="0" w:color="auto"/>
              <w:right w:val="single" w:sz="4" w:space="0" w:color="auto"/>
            </w:tcBorders>
            <w:shd w:val="clear" w:color="C0E6F5" w:fill="B6D2B0"/>
            <w:noWrap/>
            <w:vAlign w:val="center"/>
            <w:hideMark/>
          </w:tcPr>
          <w:p w14:paraId="3E8E4485" w14:textId="77777777" w:rsidR="008D445D" w:rsidRPr="00CE70B5" w:rsidRDefault="008D445D"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6</w:t>
            </w:r>
          </w:p>
        </w:tc>
        <w:tc>
          <w:tcPr>
            <w:tcW w:w="3402" w:type="dxa"/>
            <w:tcBorders>
              <w:top w:val="nil"/>
              <w:left w:val="nil"/>
              <w:bottom w:val="single" w:sz="4" w:space="0" w:color="auto"/>
              <w:right w:val="single" w:sz="4" w:space="0" w:color="auto"/>
            </w:tcBorders>
            <w:shd w:val="clear" w:color="C0E6F5" w:fill="B6D2B0"/>
            <w:noWrap/>
            <w:vAlign w:val="center"/>
            <w:hideMark/>
          </w:tcPr>
          <w:p w14:paraId="72E77DBA" w14:textId="77777777" w:rsidR="008D445D" w:rsidRPr="00CE70B5" w:rsidRDefault="008D445D"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MAŁOPOLSKIE</w:t>
            </w:r>
          </w:p>
        </w:tc>
        <w:tc>
          <w:tcPr>
            <w:tcW w:w="1701" w:type="dxa"/>
            <w:tcBorders>
              <w:top w:val="nil"/>
              <w:left w:val="nil"/>
              <w:bottom w:val="single" w:sz="4" w:space="0" w:color="auto"/>
              <w:right w:val="single" w:sz="4" w:space="0" w:color="auto"/>
            </w:tcBorders>
            <w:shd w:val="clear" w:color="C0E6F5" w:fill="B6D2B0"/>
            <w:noWrap/>
            <w:vAlign w:val="center"/>
            <w:hideMark/>
          </w:tcPr>
          <w:p w14:paraId="35CF397D" w14:textId="77777777" w:rsidR="008D445D" w:rsidRPr="00CE70B5" w:rsidRDefault="008D445D"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8,950</w:t>
            </w:r>
          </w:p>
        </w:tc>
      </w:tr>
      <w:tr w:rsidR="008D445D" w:rsidRPr="00CE70B5" w14:paraId="796B42C3" w14:textId="77777777" w:rsidTr="00CE70B5">
        <w:trPr>
          <w:trHeight w:val="340"/>
          <w:jc w:val="center"/>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67EF5C82" w14:textId="77777777" w:rsidR="008D445D" w:rsidRPr="00CE70B5" w:rsidRDefault="008D445D"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8</w:t>
            </w:r>
          </w:p>
        </w:tc>
        <w:tc>
          <w:tcPr>
            <w:tcW w:w="3402" w:type="dxa"/>
            <w:tcBorders>
              <w:top w:val="nil"/>
              <w:left w:val="nil"/>
              <w:bottom w:val="single" w:sz="4" w:space="0" w:color="auto"/>
              <w:right w:val="single" w:sz="4" w:space="0" w:color="auto"/>
            </w:tcBorders>
            <w:shd w:val="clear" w:color="auto" w:fill="auto"/>
            <w:noWrap/>
            <w:vAlign w:val="center"/>
            <w:hideMark/>
          </w:tcPr>
          <w:p w14:paraId="64BCD7FE" w14:textId="77777777" w:rsidR="008D445D" w:rsidRPr="00CE70B5" w:rsidRDefault="008D445D"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PODLASKIE</w:t>
            </w:r>
          </w:p>
        </w:tc>
        <w:tc>
          <w:tcPr>
            <w:tcW w:w="1701" w:type="dxa"/>
            <w:tcBorders>
              <w:top w:val="nil"/>
              <w:left w:val="nil"/>
              <w:bottom w:val="single" w:sz="4" w:space="0" w:color="auto"/>
              <w:right w:val="single" w:sz="4" w:space="0" w:color="auto"/>
            </w:tcBorders>
            <w:shd w:val="clear" w:color="auto" w:fill="auto"/>
            <w:noWrap/>
            <w:vAlign w:val="center"/>
            <w:hideMark/>
          </w:tcPr>
          <w:p w14:paraId="3BB71346" w14:textId="77777777" w:rsidR="008D445D" w:rsidRPr="00CE70B5" w:rsidRDefault="008D445D"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8,900</w:t>
            </w:r>
          </w:p>
        </w:tc>
      </w:tr>
      <w:tr w:rsidR="008D445D" w:rsidRPr="00CE70B5" w14:paraId="57C2622B" w14:textId="77777777" w:rsidTr="00CE70B5">
        <w:trPr>
          <w:trHeight w:val="340"/>
          <w:jc w:val="center"/>
        </w:trPr>
        <w:tc>
          <w:tcPr>
            <w:tcW w:w="567" w:type="dxa"/>
            <w:tcBorders>
              <w:top w:val="nil"/>
              <w:left w:val="single" w:sz="4" w:space="0" w:color="auto"/>
              <w:bottom w:val="single" w:sz="4" w:space="0" w:color="auto"/>
              <w:right w:val="single" w:sz="4" w:space="0" w:color="auto"/>
            </w:tcBorders>
            <w:shd w:val="clear" w:color="C0E6F5" w:fill="B6D2B0"/>
            <w:noWrap/>
            <w:vAlign w:val="center"/>
            <w:hideMark/>
          </w:tcPr>
          <w:p w14:paraId="22ED26FB" w14:textId="77777777" w:rsidR="008D445D" w:rsidRPr="00CE70B5" w:rsidRDefault="008D445D"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9</w:t>
            </w:r>
          </w:p>
        </w:tc>
        <w:tc>
          <w:tcPr>
            <w:tcW w:w="3402" w:type="dxa"/>
            <w:tcBorders>
              <w:top w:val="nil"/>
              <w:left w:val="nil"/>
              <w:bottom w:val="single" w:sz="4" w:space="0" w:color="auto"/>
              <w:right w:val="single" w:sz="4" w:space="0" w:color="auto"/>
            </w:tcBorders>
            <w:shd w:val="clear" w:color="C0E6F5" w:fill="B6D2B0"/>
            <w:noWrap/>
            <w:vAlign w:val="center"/>
            <w:hideMark/>
          </w:tcPr>
          <w:p w14:paraId="7EFD337C" w14:textId="77777777" w:rsidR="008D445D" w:rsidRPr="00CE70B5" w:rsidRDefault="008D445D"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LUBUSKIE</w:t>
            </w:r>
          </w:p>
        </w:tc>
        <w:tc>
          <w:tcPr>
            <w:tcW w:w="1701" w:type="dxa"/>
            <w:tcBorders>
              <w:top w:val="nil"/>
              <w:left w:val="nil"/>
              <w:bottom w:val="single" w:sz="4" w:space="0" w:color="auto"/>
              <w:right w:val="single" w:sz="4" w:space="0" w:color="auto"/>
            </w:tcBorders>
            <w:shd w:val="clear" w:color="C0E6F5" w:fill="B6D2B0"/>
            <w:noWrap/>
            <w:vAlign w:val="center"/>
            <w:hideMark/>
          </w:tcPr>
          <w:p w14:paraId="52AD271D" w14:textId="77777777" w:rsidR="008D445D" w:rsidRPr="00CE70B5" w:rsidRDefault="008D445D"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8,575</w:t>
            </w:r>
          </w:p>
        </w:tc>
      </w:tr>
      <w:tr w:rsidR="008D445D" w:rsidRPr="00CE70B5" w14:paraId="7DCA01AF" w14:textId="77777777" w:rsidTr="00CE70B5">
        <w:trPr>
          <w:trHeight w:val="340"/>
          <w:jc w:val="center"/>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573CF545" w14:textId="77777777" w:rsidR="008D445D" w:rsidRPr="00CE70B5" w:rsidRDefault="008D445D"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10</w:t>
            </w:r>
          </w:p>
        </w:tc>
        <w:tc>
          <w:tcPr>
            <w:tcW w:w="3402" w:type="dxa"/>
            <w:tcBorders>
              <w:top w:val="nil"/>
              <w:left w:val="nil"/>
              <w:bottom w:val="single" w:sz="4" w:space="0" w:color="auto"/>
              <w:right w:val="single" w:sz="4" w:space="0" w:color="auto"/>
            </w:tcBorders>
            <w:shd w:val="clear" w:color="auto" w:fill="auto"/>
            <w:noWrap/>
            <w:vAlign w:val="center"/>
            <w:hideMark/>
          </w:tcPr>
          <w:p w14:paraId="589A3640" w14:textId="77777777" w:rsidR="008D445D" w:rsidRPr="00CE70B5" w:rsidRDefault="008D445D"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POMORSKIE</w:t>
            </w:r>
          </w:p>
        </w:tc>
        <w:tc>
          <w:tcPr>
            <w:tcW w:w="1701" w:type="dxa"/>
            <w:tcBorders>
              <w:top w:val="nil"/>
              <w:left w:val="nil"/>
              <w:bottom w:val="single" w:sz="4" w:space="0" w:color="auto"/>
              <w:right w:val="single" w:sz="4" w:space="0" w:color="auto"/>
            </w:tcBorders>
            <w:shd w:val="clear" w:color="auto" w:fill="auto"/>
            <w:noWrap/>
            <w:vAlign w:val="center"/>
            <w:hideMark/>
          </w:tcPr>
          <w:p w14:paraId="2F201B74" w14:textId="77777777" w:rsidR="008D445D" w:rsidRPr="00CE70B5" w:rsidRDefault="008D445D"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8,200</w:t>
            </w:r>
          </w:p>
        </w:tc>
      </w:tr>
      <w:tr w:rsidR="008D445D" w:rsidRPr="00CE70B5" w14:paraId="4BA9F0DC" w14:textId="77777777" w:rsidTr="00CE70B5">
        <w:trPr>
          <w:trHeight w:val="340"/>
          <w:jc w:val="center"/>
        </w:trPr>
        <w:tc>
          <w:tcPr>
            <w:tcW w:w="567" w:type="dxa"/>
            <w:tcBorders>
              <w:top w:val="nil"/>
              <w:left w:val="single" w:sz="4" w:space="0" w:color="auto"/>
              <w:bottom w:val="single" w:sz="4" w:space="0" w:color="auto"/>
              <w:right w:val="single" w:sz="4" w:space="0" w:color="auto"/>
            </w:tcBorders>
            <w:shd w:val="clear" w:color="C0E6F5" w:fill="B6D2B0"/>
            <w:noWrap/>
            <w:vAlign w:val="center"/>
            <w:hideMark/>
          </w:tcPr>
          <w:p w14:paraId="49AFA0E4" w14:textId="77777777" w:rsidR="008D445D" w:rsidRPr="00CE70B5" w:rsidRDefault="008D445D"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11</w:t>
            </w:r>
          </w:p>
        </w:tc>
        <w:tc>
          <w:tcPr>
            <w:tcW w:w="3402" w:type="dxa"/>
            <w:tcBorders>
              <w:top w:val="nil"/>
              <w:left w:val="nil"/>
              <w:bottom w:val="single" w:sz="4" w:space="0" w:color="auto"/>
              <w:right w:val="single" w:sz="4" w:space="0" w:color="auto"/>
            </w:tcBorders>
            <w:shd w:val="clear" w:color="C0E6F5" w:fill="B6D2B0"/>
            <w:noWrap/>
            <w:vAlign w:val="center"/>
            <w:hideMark/>
          </w:tcPr>
          <w:p w14:paraId="71BC3081" w14:textId="77777777" w:rsidR="008D445D" w:rsidRPr="00CE70B5" w:rsidRDefault="008D445D"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LUBELSKIE</w:t>
            </w:r>
          </w:p>
        </w:tc>
        <w:tc>
          <w:tcPr>
            <w:tcW w:w="1701" w:type="dxa"/>
            <w:tcBorders>
              <w:top w:val="nil"/>
              <w:left w:val="nil"/>
              <w:bottom w:val="single" w:sz="4" w:space="0" w:color="auto"/>
              <w:right w:val="single" w:sz="4" w:space="0" w:color="auto"/>
            </w:tcBorders>
            <w:shd w:val="clear" w:color="C0E6F5" w:fill="B6D2B0"/>
            <w:noWrap/>
            <w:vAlign w:val="center"/>
            <w:hideMark/>
          </w:tcPr>
          <w:p w14:paraId="5B9DB15C" w14:textId="77777777" w:rsidR="008D445D" w:rsidRPr="00CE70B5" w:rsidRDefault="008D445D"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8,075</w:t>
            </w:r>
          </w:p>
        </w:tc>
      </w:tr>
      <w:tr w:rsidR="008D445D" w:rsidRPr="00CE70B5" w14:paraId="6CA32559" w14:textId="77777777" w:rsidTr="00CE70B5">
        <w:trPr>
          <w:trHeight w:val="340"/>
          <w:jc w:val="center"/>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518A0AFA" w14:textId="77777777" w:rsidR="008D445D" w:rsidRPr="00CE70B5" w:rsidRDefault="008D445D"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12</w:t>
            </w:r>
          </w:p>
        </w:tc>
        <w:tc>
          <w:tcPr>
            <w:tcW w:w="3402" w:type="dxa"/>
            <w:tcBorders>
              <w:top w:val="nil"/>
              <w:left w:val="nil"/>
              <w:bottom w:val="single" w:sz="4" w:space="0" w:color="auto"/>
              <w:right w:val="single" w:sz="4" w:space="0" w:color="auto"/>
            </w:tcBorders>
            <w:shd w:val="clear" w:color="auto" w:fill="auto"/>
            <w:noWrap/>
            <w:vAlign w:val="center"/>
            <w:hideMark/>
          </w:tcPr>
          <w:p w14:paraId="37D3F79B" w14:textId="77777777" w:rsidR="008D445D" w:rsidRPr="00CE70B5" w:rsidRDefault="008D445D"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PODKARPACKIE</w:t>
            </w:r>
          </w:p>
        </w:tc>
        <w:tc>
          <w:tcPr>
            <w:tcW w:w="1701" w:type="dxa"/>
            <w:tcBorders>
              <w:top w:val="nil"/>
              <w:left w:val="nil"/>
              <w:bottom w:val="single" w:sz="4" w:space="0" w:color="auto"/>
              <w:right w:val="single" w:sz="4" w:space="0" w:color="auto"/>
            </w:tcBorders>
            <w:shd w:val="clear" w:color="auto" w:fill="auto"/>
            <w:noWrap/>
            <w:vAlign w:val="center"/>
            <w:hideMark/>
          </w:tcPr>
          <w:p w14:paraId="59CEC688" w14:textId="77777777" w:rsidR="008D445D" w:rsidRPr="00CE70B5" w:rsidRDefault="008D445D"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7,750</w:t>
            </w:r>
          </w:p>
        </w:tc>
      </w:tr>
      <w:tr w:rsidR="008D445D" w:rsidRPr="00CE70B5" w14:paraId="4DD594F1" w14:textId="77777777" w:rsidTr="00CE70B5">
        <w:trPr>
          <w:trHeight w:val="340"/>
          <w:jc w:val="center"/>
        </w:trPr>
        <w:tc>
          <w:tcPr>
            <w:tcW w:w="567" w:type="dxa"/>
            <w:tcBorders>
              <w:top w:val="nil"/>
              <w:left w:val="single" w:sz="4" w:space="0" w:color="auto"/>
              <w:bottom w:val="single" w:sz="4" w:space="0" w:color="auto"/>
              <w:right w:val="single" w:sz="4" w:space="0" w:color="auto"/>
            </w:tcBorders>
            <w:shd w:val="clear" w:color="C0E6F5" w:fill="B6D2B0"/>
            <w:noWrap/>
            <w:vAlign w:val="center"/>
            <w:hideMark/>
          </w:tcPr>
          <w:p w14:paraId="49DCAE49" w14:textId="77777777" w:rsidR="008D445D" w:rsidRPr="00CE70B5" w:rsidRDefault="008D445D"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13</w:t>
            </w:r>
          </w:p>
        </w:tc>
        <w:tc>
          <w:tcPr>
            <w:tcW w:w="3402" w:type="dxa"/>
            <w:tcBorders>
              <w:top w:val="nil"/>
              <w:left w:val="nil"/>
              <w:bottom w:val="single" w:sz="4" w:space="0" w:color="auto"/>
              <w:right w:val="single" w:sz="4" w:space="0" w:color="auto"/>
            </w:tcBorders>
            <w:shd w:val="clear" w:color="C0E6F5" w:fill="B6D2B0"/>
            <w:noWrap/>
            <w:vAlign w:val="center"/>
            <w:hideMark/>
          </w:tcPr>
          <w:p w14:paraId="3216F006" w14:textId="77777777" w:rsidR="008D445D" w:rsidRPr="00CE70B5" w:rsidRDefault="008D445D"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KUJAWSKO-POMORSKIE</w:t>
            </w:r>
          </w:p>
        </w:tc>
        <w:tc>
          <w:tcPr>
            <w:tcW w:w="1701" w:type="dxa"/>
            <w:tcBorders>
              <w:top w:val="nil"/>
              <w:left w:val="nil"/>
              <w:bottom w:val="single" w:sz="4" w:space="0" w:color="auto"/>
              <w:right w:val="single" w:sz="4" w:space="0" w:color="auto"/>
            </w:tcBorders>
            <w:shd w:val="clear" w:color="C0E6F5" w:fill="B6D2B0"/>
            <w:noWrap/>
            <w:vAlign w:val="center"/>
            <w:hideMark/>
          </w:tcPr>
          <w:p w14:paraId="3502F74A" w14:textId="77777777" w:rsidR="008D445D" w:rsidRPr="00CE70B5" w:rsidRDefault="008D445D"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7,625</w:t>
            </w:r>
          </w:p>
        </w:tc>
      </w:tr>
      <w:tr w:rsidR="008D445D" w:rsidRPr="00CE70B5" w14:paraId="707D2F8E" w14:textId="77777777" w:rsidTr="00CE70B5">
        <w:trPr>
          <w:trHeight w:val="340"/>
          <w:jc w:val="center"/>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15BFD132" w14:textId="77777777" w:rsidR="008D445D" w:rsidRPr="00CE70B5" w:rsidRDefault="008D445D"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13</w:t>
            </w:r>
          </w:p>
        </w:tc>
        <w:tc>
          <w:tcPr>
            <w:tcW w:w="3402" w:type="dxa"/>
            <w:tcBorders>
              <w:top w:val="nil"/>
              <w:left w:val="nil"/>
              <w:bottom w:val="single" w:sz="4" w:space="0" w:color="auto"/>
              <w:right w:val="single" w:sz="4" w:space="0" w:color="auto"/>
            </w:tcBorders>
            <w:shd w:val="clear" w:color="auto" w:fill="auto"/>
            <w:noWrap/>
            <w:vAlign w:val="center"/>
            <w:hideMark/>
          </w:tcPr>
          <w:p w14:paraId="7AC9375D" w14:textId="77777777" w:rsidR="008D445D" w:rsidRPr="00CE70B5" w:rsidRDefault="008D445D"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ZACHODNIOPOMORSKIE</w:t>
            </w:r>
          </w:p>
        </w:tc>
        <w:tc>
          <w:tcPr>
            <w:tcW w:w="1701" w:type="dxa"/>
            <w:tcBorders>
              <w:top w:val="nil"/>
              <w:left w:val="nil"/>
              <w:bottom w:val="single" w:sz="4" w:space="0" w:color="auto"/>
              <w:right w:val="single" w:sz="4" w:space="0" w:color="auto"/>
            </w:tcBorders>
            <w:shd w:val="clear" w:color="auto" w:fill="auto"/>
            <w:noWrap/>
            <w:vAlign w:val="center"/>
            <w:hideMark/>
          </w:tcPr>
          <w:p w14:paraId="145DE093" w14:textId="77777777" w:rsidR="008D445D" w:rsidRPr="00CE70B5" w:rsidRDefault="008D445D"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7,625</w:t>
            </w:r>
          </w:p>
        </w:tc>
      </w:tr>
      <w:tr w:rsidR="008D445D" w:rsidRPr="00CE70B5" w14:paraId="564FF93B" w14:textId="77777777" w:rsidTr="00CE70B5">
        <w:trPr>
          <w:trHeight w:val="340"/>
          <w:jc w:val="center"/>
        </w:trPr>
        <w:tc>
          <w:tcPr>
            <w:tcW w:w="567" w:type="dxa"/>
            <w:tcBorders>
              <w:top w:val="nil"/>
              <w:left w:val="single" w:sz="4" w:space="0" w:color="auto"/>
              <w:bottom w:val="single" w:sz="4" w:space="0" w:color="auto"/>
              <w:right w:val="single" w:sz="4" w:space="0" w:color="auto"/>
            </w:tcBorders>
            <w:shd w:val="clear" w:color="C0E6F5" w:fill="B6D2B0"/>
            <w:noWrap/>
            <w:vAlign w:val="center"/>
            <w:hideMark/>
          </w:tcPr>
          <w:p w14:paraId="0D9657B8" w14:textId="77777777" w:rsidR="008D445D" w:rsidRPr="00CE70B5" w:rsidRDefault="008D445D"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15</w:t>
            </w:r>
          </w:p>
        </w:tc>
        <w:tc>
          <w:tcPr>
            <w:tcW w:w="3402" w:type="dxa"/>
            <w:tcBorders>
              <w:top w:val="nil"/>
              <w:left w:val="nil"/>
              <w:bottom w:val="single" w:sz="4" w:space="0" w:color="auto"/>
              <w:right w:val="single" w:sz="4" w:space="0" w:color="auto"/>
            </w:tcBorders>
            <w:shd w:val="clear" w:color="C0E6F5" w:fill="B6D2B0"/>
            <w:noWrap/>
            <w:vAlign w:val="center"/>
            <w:hideMark/>
          </w:tcPr>
          <w:p w14:paraId="5BAFEE5B" w14:textId="77777777" w:rsidR="008D445D" w:rsidRPr="00CE70B5" w:rsidRDefault="008D445D"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ŚWIĘTOKRZYSKIE</w:t>
            </w:r>
          </w:p>
        </w:tc>
        <w:tc>
          <w:tcPr>
            <w:tcW w:w="1701" w:type="dxa"/>
            <w:tcBorders>
              <w:top w:val="nil"/>
              <w:left w:val="nil"/>
              <w:bottom w:val="single" w:sz="4" w:space="0" w:color="auto"/>
              <w:right w:val="single" w:sz="4" w:space="0" w:color="auto"/>
            </w:tcBorders>
            <w:shd w:val="clear" w:color="C0E6F5" w:fill="B6D2B0"/>
            <w:noWrap/>
            <w:vAlign w:val="center"/>
            <w:hideMark/>
          </w:tcPr>
          <w:p w14:paraId="075801F6" w14:textId="77777777" w:rsidR="008D445D" w:rsidRPr="00CE70B5" w:rsidRDefault="008D445D" w:rsidP="00CE70B5">
            <w:pPr>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7,250</w:t>
            </w:r>
          </w:p>
        </w:tc>
      </w:tr>
      <w:tr w:rsidR="008D445D" w:rsidRPr="00CE70B5" w14:paraId="16C74422" w14:textId="77777777" w:rsidTr="00CE70B5">
        <w:trPr>
          <w:trHeight w:val="340"/>
          <w:jc w:val="center"/>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5519357B" w14:textId="77777777" w:rsidR="008D445D" w:rsidRPr="00CE70B5" w:rsidRDefault="008D445D" w:rsidP="00CE70B5">
            <w:pPr>
              <w:spacing w:before="0" w:after="0" w:line="240" w:lineRule="auto"/>
              <w:jc w:val="center"/>
              <w:rPr>
                <w:rFonts w:eastAsia="Times New Roman"/>
                <w:b/>
                <w:bCs/>
                <w:color w:val="000000"/>
                <w:szCs w:val="24"/>
                <w:lang w:eastAsia="pl-PL"/>
              </w:rPr>
            </w:pPr>
            <w:r w:rsidRPr="00CE70B5">
              <w:rPr>
                <w:rFonts w:eastAsia="Times New Roman"/>
                <w:b/>
                <w:bCs/>
                <w:color w:val="000000"/>
                <w:szCs w:val="24"/>
                <w:lang w:eastAsia="pl-PL"/>
              </w:rPr>
              <w:t>16</w:t>
            </w:r>
          </w:p>
        </w:tc>
        <w:tc>
          <w:tcPr>
            <w:tcW w:w="3402" w:type="dxa"/>
            <w:tcBorders>
              <w:top w:val="nil"/>
              <w:left w:val="nil"/>
              <w:bottom w:val="single" w:sz="4" w:space="0" w:color="auto"/>
              <w:right w:val="single" w:sz="4" w:space="0" w:color="auto"/>
            </w:tcBorders>
            <w:shd w:val="clear" w:color="auto" w:fill="auto"/>
            <w:noWrap/>
            <w:vAlign w:val="center"/>
            <w:hideMark/>
          </w:tcPr>
          <w:p w14:paraId="4325A2D9" w14:textId="77777777" w:rsidR="008D445D" w:rsidRPr="00CE70B5" w:rsidRDefault="008D445D" w:rsidP="00CE70B5">
            <w:pPr>
              <w:spacing w:before="0" w:after="0" w:line="240" w:lineRule="auto"/>
              <w:jc w:val="left"/>
              <w:rPr>
                <w:rFonts w:eastAsia="Times New Roman"/>
                <w:color w:val="000000"/>
                <w:szCs w:val="24"/>
                <w:lang w:eastAsia="pl-PL"/>
              </w:rPr>
            </w:pPr>
            <w:r w:rsidRPr="00CE70B5">
              <w:rPr>
                <w:rFonts w:eastAsia="Times New Roman"/>
                <w:color w:val="000000"/>
                <w:szCs w:val="24"/>
                <w:lang w:eastAsia="pl-PL"/>
              </w:rPr>
              <w:t>WARMIŃSKO-MAZURSKIE</w:t>
            </w:r>
          </w:p>
        </w:tc>
        <w:tc>
          <w:tcPr>
            <w:tcW w:w="1701" w:type="dxa"/>
            <w:tcBorders>
              <w:top w:val="nil"/>
              <w:left w:val="nil"/>
              <w:bottom w:val="single" w:sz="4" w:space="0" w:color="auto"/>
              <w:right w:val="single" w:sz="4" w:space="0" w:color="auto"/>
            </w:tcBorders>
            <w:shd w:val="clear" w:color="auto" w:fill="auto"/>
            <w:noWrap/>
            <w:vAlign w:val="center"/>
            <w:hideMark/>
          </w:tcPr>
          <w:p w14:paraId="15E53FA4" w14:textId="77777777" w:rsidR="008D445D" w:rsidRPr="00CE70B5" w:rsidRDefault="008D445D" w:rsidP="00CE70B5">
            <w:pPr>
              <w:keepNext/>
              <w:spacing w:before="0" w:after="0" w:line="240" w:lineRule="auto"/>
              <w:jc w:val="center"/>
              <w:rPr>
                <w:rFonts w:eastAsia="Times New Roman"/>
                <w:color w:val="000000"/>
                <w:szCs w:val="24"/>
                <w:lang w:eastAsia="pl-PL"/>
              </w:rPr>
            </w:pPr>
            <w:r w:rsidRPr="00CE70B5">
              <w:rPr>
                <w:rFonts w:eastAsia="Times New Roman"/>
                <w:color w:val="000000"/>
                <w:szCs w:val="24"/>
                <w:lang w:eastAsia="pl-PL"/>
              </w:rPr>
              <w:t>6,000</w:t>
            </w:r>
          </w:p>
        </w:tc>
      </w:tr>
    </w:tbl>
    <w:p w14:paraId="35974EBE" w14:textId="3114C63F" w:rsidR="001B52EE" w:rsidRDefault="002F60E3" w:rsidP="002F60E3">
      <w:pPr>
        <w:pStyle w:val="Legenda"/>
        <w:jc w:val="center"/>
      </w:pPr>
      <w:r>
        <w:t xml:space="preserve">Tabela </w:t>
      </w:r>
      <w:fldSimple w:instr=" SEQ Tabela \* ARABIC ">
        <w:r w:rsidR="00EF2DB4">
          <w:rPr>
            <w:noProof/>
          </w:rPr>
          <w:t>6</w:t>
        </w:r>
      </w:fldSimple>
      <w:r>
        <w:t xml:space="preserve">. </w:t>
      </w:r>
      <w:r w:rsidRPr="00E61F15">
        <w:t>Wyniki porządkowania liniowego uzyskane metodą s</w:t>
      </w:r>
      <w:r>
        <w:t>umy rang</w:t>
      </w:r>
      <w:r w:rsidRPr="00E61F15">
        <w:t>.</w:t>
      </w:r>
    </w:p>
    <w:p w14:paraId="18291E04" w14:textId="3BAE7288" w:rsidR="002F60E3" w:rsidRPr="002F60E3" w:rsidRDefault="002F60E3" w:rsidP="002F60E3">
      <w:r w:rsidRPr="002F60E3">
        <w:tab/>
        <w:t>Wyniki uzyskane metodą sumy rang przynoszą zauważalne różnice w porównaniu z</w:t>
      </w:r>
      <w:r>
        <w:t> </w:t>
      </w:r>
      <w:r w:rsidRPr="002F60E3">
        <w:t>wcześniejszymi metodami, zwłaszcza na czołowych pozycjach. Tym razem województwo wielkopolskie zajmuje pierwsze miejsce (10,475), co jest istotną zmianą, ponieważ w</w:t>
      </w:r>
      <w:r>
        <w:t> </w:t>
      </w:r>
      <w:r w:rsidRPr="002F60E3">
        <w:t>poprzednich metodach (Hellwiga i standaryzowanych sum) plasowało się niżej. Podobnie śląskie przesunęło się na wyższe, 3. miejsce (9,275), wyprzedzając nawet mazowieckie (9,225), które w innych rankingach było liderem lub na czołowych pozycjach. To pokazuje, że metoda sumy rang wyrównuje różnice między regionami, a województwa o ekstremalnych wartościach nie mają tak dominującej przewagi.</w:t>
      </w:r>
    </w:p>
    <w:p w14:paraId="7C714A61" w14:textId="29F9530D" w:rsidR="002F60E3" w:rsidRDefault="002F60E3" w:rsidP="002F60E3">
      <w:r w:rsidRPr="002F60E3">
        <w:t>Dodatkowo, opolskie (9,075) i łódzkie (8,950) zyskały wyższe pozycje w porównaniu do wcześniejszych metod, co wskazuje, że metoda ta jest mniej wrażliwa na duże rozpiętości danych. Zaskakująco, pomorskie, które wcześniej plasowało się wysoko, tym razem spadło na 10. miejsce, co sugeruje, że metoda sumy rang obniżyła wagę wyższych wyników w niektórych kategoriach. Warmińsko-mazurskie (6,000) ponownie zajmuje ostatnie miejsce, co jest spójne z poprzednimi analizami, sugerując jego trwałe problemy z niską jakością życia.</w:t>
      </w:r>
    </w:p>
    <w:p w14:paraId="5CF3E001" w14:textId="77777777" w:rsidR="002F60E3" w:rsidRDefault="002F60E3">
      <w:pPr>
        <w:spacing w:before="0" w:after="160" w:line="278" w:lineRule="auto"/>
        <w:jc w:val="left"/>
      </w:pPr>
      <w:r>
        <w:br w:type="page"/>
      </w:r>
    </w:p>
    <w:p w14:paraId="21CBE5C8" w14:textId="36A2E7AD" w:rsidR="007D0832" w:rsidRDefault="006D0D4C" w:rsidP="006D0D4C">
      <w:pPr>
        <w:keepNext/>
        <w:jc w:val="center"/>
      </w:pPr>
      <w:r>
        <w:rPr>
          <w:noProof/>
          <w14:ligatures w14:val="standardContextual"/>
        </w:rPr>
        <w:lastRenderedPageBreak/>
        <w:drawing>
          <wp:inline distT="0" distB="0" distL="0" distR="0" wp14:anchorId="229E9CB5" wp14:editId="16B07B44">
            <wp:extent cx="5245100" cy="2413000"/>
            <wp:effectExtent l="0" t="0" r="0" b="0"/>
            <wp:docPr id="447611925" name="Obraz 7" descr="Obraz zawierający mapa, tekst, atla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11925" name="Obraz 7" descr="Obraz zawierający mapa, tekst, atlas&#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5245100" cy="2413000"/>
                    </a:xfrm>
                    <a:prstGeom prst="rect">
                      <a:avLst/>
                    </a:prstGeom>
                  </pic:spPr>
                </pic:pic>
              </a:graphicData>
            </a:graphic>
          </wp:inline>
        </w:drawing>
      </w:r>
      <w:r>
        <w:rPr>
          <w:noProof/>
          <w14:ligatures w14:val="standardContextual"/>
        </w:rPr>
        <mc:AlternateContent>
          <mc:Choice Requires="wps">
            <w:drawing>
              <wp:anchor distT="0" distB="0" distL="114300" distR="114300" simplePos="0" relativeHeight="251668480" behindDoc="0" locked="0" layoutInCell="1" allowOverlap="1" wp14:anchorId="5C86EAFB" wp14:editId="7141E3BE">
                <wp:simplePos x="0" y="0"/>
                <wp:positionH relativeFrom="column">
                  <wp:posOffset>4018569</wp:posOffset>
                </wp:positionH>
                <wp:positionV relativeFrom="paragraph">
                  <wp:posOffset>2342169</wp:posOffset>
                </wp:positionV>
                <wp:extent cx="1191491" cy="290945"/>
                <wp:effectExtent l="0" t="0" r="2540" b="1270"/>
                <wp:wrapNone/>
                <wp:docPr id="1996753247" name="Prostokąt 6"/>
                <wp:cNvGraphicFramePr/>
                <a:graphic xmlns:a="http://schemas.openxmlformats.org/drawingml/2006/main">
                  <a:graphicData uri="http://schemas.microsoft.com/office/word/2010/wordprocessingShape">
                    <wps:wsp>
                      <wps:cNvSpPr/>
                      <wps:spPr>
                        <a:xfrm>
                          <a:off x="0" y="0"/>
                          <a:ext cx="1191491" cy="29094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F69968" id="Prostokąt 6" o:spid="_x0000_s1026" style="position:absolute;margin-left:316.4pt;margin-top:184.4pt;width:93.8pt;height:22.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" fillcolor="white [3212]" stroked="f" strokeweight="1pt"/>
            </w:pict>
          </mc:Fallback>
        </mc:AlternateContent>
      </w:r>
    </w:p>
    <w:p w14:paraId="168290CA" w14:textId="639BA7DA" w:rsidR="002F60E3" w:rsidRDefault="007D0832" w:rsidP="007D0832">
      <w:pPr>
        <w:pStyle w:val="Legenda"/>
        <w:jc w:val="center"/>
      </w:pPr>
      <w:r>
        <w:t xml:space="preserve">Rysunek </w:t>
      </w:r>
      <w:fldSimple w:instr=" SEQ Rysunek \* ARABIC ">
        <w:r w:rsidR="0072353B">
          <w:rPr>
            <w:noProof/>
          </w:rPr>
          <w:t>5</w:t>
        </w:r>
      </w:fldSimple>
      <w:r>
        <w:t xml:space="preserve">. </w:t>
      </w:r>
      <w:r w:rsidRPr="007753EE">
        <w:t xml:space="preserve">Wyniki uzyskane metodą </w:t>
      </w:r>
      <w:r>
        <w:t>sumy rang</w:t>
      </w:r>
      <w:r w:rsidRPr="007753EE">
        <w:t xml:space="preserve"> po pogrupowaniu według średniej.</w:t>
      </w:r>
    </w:p>
    <w:p w14:paraId="24B09710" w14:textId="208892B3" w:rsidR="007D0832" w:rsidRDefault="007D0832" w:rsidP="007D0832">
      <w:r>
        <w:tab/>
        <w:t>Grupowanie ponownie wykazało, że województwem o najlepszych warunkach życia jest województwo dolnośląskie, ale również tym razem w tej grupie znalazła się Wielkopolska. Z kolei na drugim końcu rankingu po raz kolejny znalazło się województwo warmińsko-mazurskie i tym razem również województwo świętokrzyskie.</w:t>
      </w:r>
    </w:p>
    <w:p w14:paraId="276C681C" w14:textId="116505B7" w:rsidR="007D0832" w:rsidRDefault="007D0832" w:rsidP="007D0832">
      <w:pPr>
        <w:pStyle w:val="Nagwek2"/>
      </w:pPr>
      <w:hyperlink w:anchor="_Spis_treści" w:history="1">
        <w:bookmarkStart w:id="13" w:name="_Toc180602600"/>
        <w:r w:rsidRPr="007D0832">
          <w:rPr>
            <w:rStyle w:val="Hipercze"/>
            <w:color w:val="000000" w:themeColor="text1"/>
            <w:u w:val="none"/>
          </w:rPr>
          <w:t>Podsumowanie wyników</w:t>
        </w:r>
        <w:bookmarkEnd w:id="13"/>
      </w:hyperlink>
    </w:p>
    <w:p w14:paraId="020EE3B5" w14:textId="5EA6CD2C" w:rsidR="007D0832" w:rsidRDefault="007D0832" w:rsidP="007D0832">
      <w:r>
        <w:tab/>
      </w:r>
      <w:r w:rsidR="00345FB1" w:rsidRPr="00345FB1">
        <w:t>Wszystkie trzy zastosowane metody</w:t>
      </w:r>
      <w:r w:rsidR="00345FB1">
        <w:t xml:space="preserve"> </w:t>
      </w:r>
      <w:r w:rsidR="00345FB1" w:rsidRPr="00345FB1">
        <w:t>–</w:t>
      </w:r>
      <w:r w:rsidR="00345FB1">
        <w:t xml:space="preserve"> </w:t>
      </w:r>
      <w:r w:rsidR="00345FB1" w:rsidRPr="00345FB1">
        <w:t>metod</w:t>
      </w:r>
      <w:r w:rsidR="00345FB1">
        <w:t>a</w:t>
      </w:r>
      <w:r w:rsidR="00345FB1" w:rsidRPr="00345FB1">
        <w:t xml:space="preserve"> Hellwiga, metoda standaryzowanych sum oraz metoda sumy rang – ukazują różne aspekty zróżnicowania poziomu życia w polskich województwach. Dzięki ich porównaniu możemy uzyskać pełniejszy obraz sytuacji, uwzględniający zarówno ekstremalne wartości w poszczególnych zmiennych, jak i bardziej wyrównane różnice między regionami. Każda z metod kładzie nacisk na inne cechy, co pozwala lepiej zrozumieć, które województwa wyróżniają się na tle pozostałych, a także jakie czynniki mają największy wpływ na ich pozycję w rankingu.</w:t>
      </w:r>
      <w:r w:rsidR="00345FB1">
        <w:t xml:space="preserve"> Kolejna</w:t>
      </w:r>
      <w:r>
        <w:t xml:space="preserve"> tabela przedstawia województwa i miejsca, które zajęły w poszczególnych rankingach, uzyskanych wszystkimi testowanymi metodami.</w:t>
      </w:r>
      <w:r w:rsidR="00345FB1">
        <w:t xml:space="preserve"> Zostały one posortowane przy założeniu równości wyników metod, po sumie rang uzyskanych każdą z nich.</w:t>
      </w:r>
    </w:p>
    <w:p w14:paraId="6F6F372F" w14:textId="0A59ACB9" w:rsidR="006D0D4C" w:rsidRDefault="006D0D4C" w:rsidP="007D0832"/>
    <w:p w14:paraId="22BAE24E" w14:textId="77777777" w:rsidR="006D0D4C" w:rsidRDefault="006D0D4C" w:rsidP="007D0832"/>
    <w:p w14:paraId="28A79E7B" w14:textId="77777777" w:rsidR="00345FB1" w:rsidRDefault="00345FB1" w:rsidP="007D0832"/>
    <w:tbl>
      <w:tblPr>
        <w:tblStyle w:val="Tabelasiatki4"/>
        <w:tblW w:w="6804" w:type="dxa"/>
        <w:jc w:val="center"/>
        <w:tblLook w:val="04A0" w:firstRow="1" w:lastRow="0" w:firstColumn="1" w:lastColumn="0" w:noHBand="0" w:noVBand="1"/>
      </w:tblPr>
      <w:tblGrid>
        <w:gridCol w:w="3402"/>
        <w:gridCol w:w="1134"/>
        <w:gridCol w:w="1134"/>
        <w:gridCol w:w="1134"/>
      </w:tblGrid>
      <w:tr w:rsidR="002D1AE9" w:rsidRPr="007D0832" w14:paraId="257F2E31" w14:textId="77777777" w:rsidTr="00CE70B5">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45DFEF41" w14:textId="77777777" w:rsidR="007D0832" w:rsidRPr="00CE70B5" w:rsidRDefault="007D0832" w:rsidP="00CE70B5">
            <w:pPr>
              <w:spacing w:before="0" w:after="0" w:line="240" w:lineRule="auto"/>
              <w:jc w:val="left"/>
              <w:rPr>
                <w:rFonts w:eastAsia="Times New Roman"/>
                <w:color w:val="FFFFFF"/>
                <w:szCs w:val="24"/>
                <w:lang w:eastAsia="pl-PL"/>
              </w:rPr>
            </w:pPr>
            <w:r w:rsidRPr="00CE70B5">
              <w:rPr>
                <w:rFonts w:eastAsia="Times New Roman"/>
                <w:color w:val="FFFFFF"/>
                <w:szCs w:val="24"/>
                <w:lang w:eastAsia="pl-PL"/>
              </w:rPr>
              <w:lastRenderedPageBreak/>
              <w:t>WOJEWÓDZTWO</w:t>
            </w:r>
          </w:p>
        </w:tc>
        <w:tc>
          <w:tcPr>
            <w:tcW w:w="1134" w:type="dxa"/>
            <w:noWrap/>
            <w:vAlign w:val="center"/>
            <w:hideMark/>
          </w:tcPr>
          <w:p w14:paraId="3AEA5818" w14:textId="77777777" w:rsidR="007D0832" w:rsidRPr="00CE70B5" w:rsidRDefault="007D0832" w:rsidP="00CE70B5">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FFFFFF"/>
                <w:szCs w:val="24"/>
                <w:lang w:eastAsia="pl-PL"/>
              </w:rPr>
            </w:pPr>
            <w:r w:rsidRPr="00CE70B5">
              <w:rPr>
                <w:rFonts w:eastAsia="Times New Roman"/>
                <w:color w:val="FFFFFF"/>
                <w:szCs w:val="24"/>
                <w:lang w:eastAsia="pl-PL"/>
              </w:rPr>
              <w:t>Hellwig</w:t>
            </w:r>
          </w:p>
        </w:tc>
        <w:tc>
          <w:tcPr>
            <w:tcW w:w="1134" w:type="dxa"/>
            <w:noWrap/>
            <w:vAlign w:val="center"/>
            <w:hideMark/>
          </w:tcPr>
          <w:p w14:paraId="4B42757F" w14:textId="77777777" w:rsidR="007D0832" w:rsidRPr="00CE70B5" w:rsidRDefault="007D0832" w:rsidP="00CE70B5">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FFFFFF"/>
                <w:szCs w:val="24"/>
                <w:lang w:eastAsia="pl-PL"/>
              </w:rPr>
            </w:pPr>
            <w:r w:rsidRPr="00CE70B5">
              <w:rPr>
                <w:rFonts w:eastAsia="Times New Roman"/>
                <w:color w:val="FFFFFF"/>
                <w:szCs w:val="24"/>
                <w:lang w:eastAsia="pl-PL"/>
              </w:rPr>
              <w:t>MSS</w:t>
            </w:r>
          </w:p>
        </w:tc>
        <w:tc>
          <w:tcPr>
            <w:tcW w:w="1134" w:type="dxa"/>
            <w:noWrap/>
            <w:vAlign w:val="center"/>
            <w:hideMark/>
          </w:tcPr>
          <w:p w14:paraId="4FA26EBD" w14:textId="77777777" w:rsidR="007D0832" w:rsidRPr="00CE70B5" w:rsidRDefault="007D0832" w:rsidP="00CE70B5">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FFFFFF"/>
                <w:szCs w:val="24"/>
                <w:lang w:eastAsia="pl-PL"/>
              </w:rPr>
            </w:pPr>
            <w:r w:rsidRPr="00CE70B5">
              <w:rPr>
                <w:rFonts w:eastAsia="Times New Roman"/>
                <w:color w:val="FFFFFF"/>
                <w:szCs w:val="24"/>
                <w:lang w:eastAsia="pl-PL"/>
              </w:rPr>
              <w:t>MSR</w:t>
            </w:r>
          </w:p>
        </w:tc>
      </w:tr>
      <w:tr w:rsidR="002D1AE9" w:rsidRPr="007D0832" w14:paraId="02B5AAEA" w14:textId="77777777" w:rsidTr="00CE70B5">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1B1BC600" w14:textId="77777777" w:rsidR="007D0832" w:rsidRPr="003816C8" w:rsidRDefault="007D0832" w:rsidP="00CE70B5">
            <w:pPr>
              <w:spacing w:before="0" w:after="0" w:line="240" w:lineRule="auto"/>
              <w:jc w:val="left"/>
              <w:rPr>
                <w:rFonts w:eastAsia="Times New Roman"/>
                <w:b w:val="0"/>
                <w:bCs w:val="0"/>
                <w:color w:val="000000"/>
                <w:szCs w:val="24"/>
                <w:lang w:eastAsia="pl-PL"/>
              </w:rPr>
            </w:pPr>
            <w:r w:rsidRPr="003816C8">
              <w:rPr>
                <w:rFonts w:eastAsia="Times New Roman"/>
                <w:b w:val="0"/>
                <w:bCs w:val="0"/>
                <w:color w:val="000000"/>
                <w:szCs w:val="24"/>
                <w:lang w:eastAsia="pl-PL"/>
              </w:rPr>
              <w:t>DOLNOŚLĄSKIE</w:t>
            </w:r>
          </w:p>
        </w:tc>
        <w:tc>
          <w:tcPr>
            <w:tcW w:w="1134" w:type="dxa"/>
            <w:noWrap/>
            <w:vAlign w:val="center"/>
            <w:hideMark/>
          </w:tcPr>
          <w:p w14:paraId="1387AA52"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w:t>
            </w:r>
          </w:p>
        </w:tc>
        <w:tc>
          <w:tcPr>
            <w:tcW w:w="1134" w:type="dxa"/>
            <w:noWrap/>
            <w:vAlign w:val="center"/>
            <w:hideMark/>
          </w:tcPr>
          <w:p w14:paraId="569DC7BB"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2</w:t>
            </w:r>
          </w:p>
        </w:tc>
        <w:tc>
          <w:tcPr>
            <w:tcW w:w="1134" w:type="dxa"/>
            <w:noWrap/>
            <w:vAlign w:val="center"/>
            <w:hideMark/>
          </w:tcPr>
          <w:p w14:paraId="7E0436C2"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2</w:t>
            </w:r>
          </w:p>
        </w:tc>
      </w:tr>
      <w:tr w:rsidR="002D1AE9" w:rsidRPr="007D0832" w14:paraId="09432ABB" w14:textId="77777777" w:rsidTr="00CE70B5">
        <w:trPr>
          <w:trHeight w:val="32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0E6A7ED8" w14:textId="77777777" w:rsidR="007D0832" w:rsidRPr="003816C8" w:rsidRDefault="007D0832" w:rsidP="00CE70B5">
            <w:pPr>
              <w:spacing w:before="0" w:after="0" w:line="240" w:lineRule="auto"/>
              <w:jc w:val="left"/>
              <w:rPr>
                <w:rFonts w:eastAsia="Times New Roman"/>
                <w:b w:val="0"/>
                <w:bCs w:val="0"/>
                <w:color w:val="000000"/>
                <w:szCs w:val="24"/>
                <w:lang w:eastAsia="pl-PL"/>
              </w:rPr>
            </w:pPr>
            <w:r w:rsidRPr="003816C8">
              <w:rPr>
                <w:rFonts w:eastAsia="Times New Roman"/>
                <w:b w:val="0"/>
                <w:bCs w:val="0"/>
                <w:color w:val="000000"/>
                <w:szCs w:val="24"/>
                <w:lang w:eastAsia="pl-PL"/>
              </w:rPr>
              <w:t>MAZOWIECKIE</w:t>
            </w:r>
          </w:p>
        </w:tc>
        <w:tc>
          <w:tcPr>
            <w:tcW w:w="1134" w:type="dxa"/>
            <w:noWrap/>
            <w:vAlign w:val="center"/>
            <w:hideMark/>
          </w:tcPr>
          <w:p w14:paraId="2690E1EA" w14:textId="77777777" w:rsidR="007D0832" w:rsidRPr="00CE70B5" w:rsidRDefault="007D0832" w:rsidP="00CE70B5">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2</w:t>
            </w:r>
          </w:p>
        </w:tc>
        <w:tc>
          <w:tcPr>
            <w:tcW w:w="1134" w:type="dxa"/>
            <w:noWrap/>
            <w:vAlign w:val="center"/>
            <w:hideMark/>
          </w:tcPr>
          <w:p w14:paraId="1F379664" w14:textId="77777777" w:rsidR="007D0832" w:rsidRPr="00CE70B5" w:rsidRDefault="007D0832" w:rsidP="00CE70B5">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w:t>
            </w:r>
          </w:p>
        </w:tc>
        <w:tc>
          <w:tcPr>
            <w:tcW w:w="1134" w:type="dxa"/>
            <w:noWrap/>
            <w:vAlign w:val="center"/>
            <w:hideMark/>
          </w:tcPr>
          <w:p w14:paraId="32913FA3" w14:textId="77777777" w:rsidR="007D0832" w:rsidRPr="00CE70B5" w:rsidRDefault="007D0832" w:rsidP="00CE70B5">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4</w:t>
            </w:r>
          </w:p>
        </w:tc>
      </w:tr>
      <w:tr w:rsidR="002D1AE9" w:rsidRPr="007D0832" w14:paraId="7288861F" w14:textId="77777777" w:rsidTr="00CE70B5">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70CB0B97" w14:textId="77777777" w:rsidR="007D0832" w:rsidRPr="003816C8" w:rsidRDefault="007D0832" w:rsidP="00CE70B5">
            <w:pPr>
              <w:spacing w:before="0" w:after="0" w:line="240" w:lineRule="auto"/>
              <w:jc w:val="left"/>
              <w:rPr>
                <w:rFonts w:eastAsia="Times New Roman"/>
                <w:b w:val="0"/>
                <w:bCs w:val="0"/>
                <w:color w:val="000000"/>
                <w:szCs w:val="24"/>
                <w:lang w:eastAsia="pl-PL"/>
              </w:rPr>
            </w:pPr>
            <w:r w:rsidRPr="003816C8">
              <w:rPr>
                <w:rFonts w:eastAsia="Times New Roman"/>
                <w:b w:val="0"/>
                <w:bCs w:val="0"/>
                <w:color w:val="000000"/>
                <w:szCs w:val="24"/>
                <w:lang w:eastAsia="pl-PL"/>
              </w:rPr>
              <w:t>WIELKOPOLSKIE</w:t>
            </w:r>
          </w:p>
        </w:tc>
        <w:tc>
          <w:tcPr>
            <w:tcW w:w="1134" w:type="dxa"/>
            <w:noWrap/>
            <w:vAlign w:val="center"/>
            <w:hideMark/>
          </w:tcPr>
          <w:p w14:paraId="3888A0E2"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5</w:t>
            </w:r>
          </w:p>
        </w:tc>
        <w:tc>
          <w:tcPr>
            <w:tcW w:w="1134" w:type="dxa"/>
            <w:noWrap/>
            <w:vAlign w:val="center"/>
            <w:hideMark/>
          </w:tcPr>
          <w:p w14:paraId="6C90CFB2"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3</w:t>
            </w:r>
          </w:p>
        </w:tc>
        <w:tc>
          <w:tcPr>
            <w:tcW w:w="1134" w:type="dxa"/>
            <w:noWrap/>
            <w:vAlign w:val="center"/>
            <w:hideMark/>
          </w:tcPr>
          <w:p w14:paraId="0A7CD874"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w:t>
            </w:r>
          </w:p>
        </w:tc>
      </w:tr>
      <w:tr w:rsidR="002D1AE9" w:rsidRPr="007D0832" w14:paraId="337F5F87" w14:textId="77777777" w:rsidTr="00CE70B5">
        <w:trPr>
          <w:trHeight w:val="32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7A8E4500" w14:textId="77777777" w:rsidR="007D0832" w:rsidRPr="003816C8" w:rsidRDefault="007D0832" w:rsidP="00CE70B5">
            <w:pPr>
              <w:spacing w:before="0" w:after="0" w:line="240" w:lineRule="auto"/>
              <w:jc w:val="left"/>
              <w:rPr>
                <w:rFonts w:eastAsia="Times New Roman"/>
                <w:b w:val="0"/>
                <w:bCs w:val="0"/>
                <w:color w:val="000000"/>
                <w:szCs w:val="24"/>
                <w:lang w:eastAsia="pl-PL"/>
              </w:rPr>
            </w:pPr>
            <w:r w:rsidRPr="003816C8">
              <w:rPr>
                <w:rFonts w:eastAsia="Times New Roman"/>
                <w:b w:val="0"/>
                <w:bCs w:val="0"/>
                <w:color w:val="000000"/>
                <w:szCs w:val="24"/>
                <w:lang w:eastAsia="pl-PL"/>
              </w:rPr>
              <w:t>MAŁOPOLSKIE</w:t>
            </w:r>
          </w:p>
        </w:tc>
        <w:tc>
          <w:tcPr>
            <w:tcW w:w="1134" w:type="dxa"/>
            <w:noWrap/>
            <w:vAlign w:val="center"/>
            <w:hideMark/>
          </w:tcPr>
          <w:p w14:paraId="3EFA06DD" w14:textId="77777777" w:rsidR="007D0832" w:rsidRPr="00CE70B5" w:rsidRDefault="007D0832" w:rsidP="00CE70B5">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4</w:t>
            </w:r>
          </w:p>
        </w:tc>
        <w:tc>
          <w:tcPr>
            <w:tcW w:w="1134" w:type="dxa"/>
            <w:noWrap/>
            <w:vAlign w:val="center"/>
            <w:hideMark/>
          </w:tcPr>
          <w:p w14:paraId="18E61B7D" w14:textId="77777777" w:rsidR="007D0832" w:rsidRPr="00CE70B5" w:rsidRDefault="007D0832" w:rsidP="00CE70B5">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8</w:t>
            </w:r>
          </w:p>
        </w:tc>
        <w:tc>
          <w:tcPr>
            <w:tcW w:w="1134" w:type="dxa"/>
            <w:noWrap/>
            <w:vAlign w:val="center"/>
            <w:hideMark/>
          </w:tcPr>
          <w:p w14:paraId="4EB93DA9" w14:textId="77777777" w:rsidR="007D0832" w:rsidRPr="00CE70B5" w:rsidRDefault="007D0832" w:rsidP="00CE70B5">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6</w:t>
            </w:r>
          </w:p>
        </w:tc>
      </w:tr>
      <w:tr w:rsidR="002D1AE9" w:rsidRPr="007D0832" w14:paraId="77E342F2" w14:textId="77777777" w:rsidTr="00CE70B5">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38807D6F" w14:textId="77777777" w:rsidR="007D0832" w:rsidRPr="003816C8" w:rsidRDefault="007D0832" w:rsidP="00CE70B5">
            <w:pPr>
              <w:spacing w:before="0" w:after="0" w:line="240" w:lineRule="auto"/>
              <w:jc w:val="left"/>
              <w:rPr>
                <w:rFonts w:eastAsia="Times New Roman"/>
                <w:b w:val="0"/>
                <w:bCs w:val="0"/>
                <w:color w:val="000000"/>
                <w:szCs w:val="24"/>
                <w:lang w:eastAsia="pl-PL"/>
              </w:rPr>
            </w:pPr>
            <w:r w:rsidRPr="003816C8">
              <w:rPr>
                <w:rFonts w:eastAsia="Times New Roman"/>
                <w:b w:val="0"/>
                <w:bCs w:val="0"/>
                <w:color w:val="000000"/>
                <w:szCs w:val="24"/>
                <w:lang w:eastAsia="pl-PL"/>
              </w:rPr>
              <w:t>POMORSKIE</w:t>
            </w:r>
          </w:p>
        </w:tc>
        <w:tc>
          <w:tcPr>
            <w:tcW w:w="1134" w:type="dxa"/>
            <w:noWrap/>
            <w:vAlign w:val="center"/>
            <w:hideMark/>
          </w:tcPr>
          <w:p w14:paraId="3458D86D"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3</w:t>
            </w:r>
          </w:p>
        </w:tc>
        <w:tc>
          <w:tcPr>
            <w:tcW w:w="1134" w:type="dxa"/>
            <w:noWrap/>
            <w:vAlign w:val="center"/>
            <w:hideMark/>
          </w:tcPr>
          <w:p w14:paraId="4F73A3EA"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6</w:t>
            </w:r>
          </w:p>
        </w:tc>
        <w:tc>
          <w:tcPr>
            <w:tcW w:w="1134" w:type="dxa"/>
            <w:noWrap/>
            <w:vAlign w:val="center"/>
            <w:hideMark/>
          </w:tcPr>
          <w:p w14:paraId="22642B71"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10</w:t>
            </w:r>
          </w:p>
        </w:tc>
      </w:tr>
      <w:tr w:rsidR="002D1AE9" w:rsidRPr="007D0832" w14:paraId="72840A68" w14:textId="77777777" w:rsidTr="00CE70B5">
        <w:trPr>
          <w:trHeight w:val="32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648C4741" w14:textId="77777777" w:rsidR="007D0832" w:rsidRPr="003816C8" w:rsidRDefault="007D0832" w:rsidP="00CE70B5">
            <w:pPr>
              <w:spacing w:before="0" w:after="0" w:line="240" w:lineRule="auto"/>
              <w:jc w:val="left"/>
              <w:rPr>
                <w:rFonts w:eastAsia="Times New Roman"/>
                <w:b w:val="0"/>
                <w:bCs w:val="0"/>
                <w:color w:val="000000"/>
                <w:szCs w:val="24"/>
                <w:lang w:eastAsia="pl-PL"/>
              </w:rPr>
            </w:pPr>
            <w:r w:rsidRPr="003816C8">
              <w:rPr>
                <w:rFonts w:eastAsia="Times New Roman"/>
                <w:b w:val="0"/>
                <w:bCs w:val="0"/>
                <w:color w:val="000000"/>
                <w:szCs w:val="24"/>
                <w:lang w:eastAsia="pl-PL"/>
              </w:rPr>
              <w:t>PODLASKIE</w:t>
            </w:r>
          </w:p>
        </w:tc>
        <w:tc>
          <w:tcPr>
            <w:tcW w:w="1134" w:type="dxa"/>
            <w:noWrap/>
            <w:vAlign w:val="center"/>
            <w:hideMark/>
          </w:tcPr>
          <w:p w14:paraId="749686DD" w14:textId="77777777" w:rsidR="007D0832" w:rsidRPr="00CE70B5" w:rsidRDefault="007D0832" w:rsidP="00CE70B5">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8</w:t>
            </w:r>
          </w:p>
        </w:tc>
        <w:tc>
          <w:tcPr>
            <w:tcW w:w="1134" w:type="dxa"/>
            <w:noWrap/>
            <w:vAlign w:val="center"/>
            <w:hideMark/>
          </w:tcPr>
          <w:p w14:paraId="4DC0CEF6" w14:textId="77777777" w:rsidR="007D0832" w:rsidRPr="00CE70B5" w:rsidRDefault="007D0832" w:rsidP="00CE70B5">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4</w:t>
            </w:r>
          </w:p>
        </w:tc>
        <w:tc>
          <w:tcPr>
            <w:tcW w:w="1134" w:type="dxa"/>
            <w:noWrap/>
            <w:vAlign w:val="center"/>
            <w:hideMark/>
          </w:tcPr>
          <w:p w14:paraId="78D084D0" w14:textId="77777777" w:rsidR="007D0832" w:rsidRPr="00CE70B5" w:rsidRDefault="007D0832" w:rsidP="00CE70B5">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8</w:t>
            </w:r>
          </w:p>
        </w:tc>
      </w:tr>
      <w:tr w:rsidR="002D1AE9" w:rsidRPr="007D0832" w14:paraId="2DAD2167" w14:textId="77777777" w:rsidTr="00CE70B5">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4E9038BB" w14:textId="77777777" w:rsidR="007D0832" w:rsidRPr="003816C8" w:rsidRDefault="007D0832" w:rsidP="00CE70B5">
            <w:pPr>
              <w:spacing w:before="0" w:after="0" w:line="240" w:lineRule="auto"/>
              <w:jc w:val="left"/>
              <w:rPr>
                <w:rFonts w:eastAsia="Times New Roman"/>
                <w:b w:val="0"/>
                <w:bCs w:val="0"/>
                <w:color w:val="000000"/>
                <w:szCs w:val="24"/>
                <w:lang w:eastAsia="pl-PL"/>
              </w:rPr>
            </w:pPr>
            <w:r w:rsidRPr="003816C8">
              <w:rPr>
                <w:rFonts w:eastAsia="Times New Roman"/>
                <w:b w:val="0"/>
                <w:bCs w:val="0"/>
                <w:color w:val="000000"/>
                <w:szCs w:val="24"/>
                <w:lang w:eastAsia="pl-PL"/>
              </w:rPr>
              <w:t>ŚLĄSKIE</w:t>
            </w:r>
          </w:p>
        </w:tc>
        <w:tc>
          <w:tcPr>
            <w:tcW w:w="1134" w:type="dxa"/>
            <w:noWrap/>
            <w:vAlign w:val="center"/>
            <w:hideMark/>
          </w:tcPr>
          <w:p w14:paraId="0DDD4F01"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7</w:t>
            </w:r>
          </w:p>
        </w:tc>
        <w:tc>
          <w:tcPr>
            <w:tcW w:w="1134" w:type="dxa"/>
            <w:noWrap/>
            <w:vAlign w:val="center"/>
            <w:hideMark/>
          </w:tcPr>
          <w:p w14:paraId="7E2C9082"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10</w:t>
            </w:r>
          </w:p>
        </w:tc>
        <w:tc>
          <w:tcPr>
            <w:tcW w:w="1134" w:type="dxa"/>
            <w:noWrap/>
            <w:vAlign w:val="center"/>
            <w:hideMark/>
          </w:tcPr>
          <w:p w14:paraId="0EB0BF72"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3</w:t>
            </w:r>
          </w:p>
        </w:tc>
      </w:tr>
      <w:tr w:rsidR="002D1AE9" w:rsidRPr="007D0832" w14:paraId="73F4702E" w14:textId="77777777" w:rsidTr="00CE70B5">
        <w:trPr>
          <w:trHeight w:val="32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65E72D9B" w14:textId="77777777" w:rsidR="007D0832" w:rsidRPr="003816C8" w:rsidRDefault="007D0832" w:rsidP="00CE70B5">
            <w:pPr>
              <w:spacing w:before="0" w:after="0" w:line="240" w:lineRule="auto"/>
              <w:jc w:val="left"/>
              <w:rPr>
                <w:rFonts w:eastAsia="Times New Roman"/>
                <w:b w:val="0"/>
                <w:bCs w:val="0"/>
                <w:color w:val="000000"/>
                <w:szCs w:val="24"/>
                <w:lang w:eastAsia="pl-PL"/>
              </w:rPr>
            </w:pPr>
            <w:r w:rsidRPr="003816C8">
              <w:rPr>
                <w:rFonts w:eastAsia="Times New Roman"/>
                <w:b w:val="0"/>
                <w:bCs w:val="0"/>
                <w:color w:val="000000"/>
                <w:szCs w:val="24"/>
                <w:lang w:eastAsia="pl-PL"/>
              </w:rPr>
              <w:t>ŁÓDZKIE</w:t>
            </w:r>
          </w:p>
        </w:tc>
        <w:tc>
          <w:tcPr>
            <w:tcW w:w="1134" w:type="dxa"/>
            <w:noWrap/>
            <w:vAlign w:val="center"/>
            <w:hideMark/>
          </w:tcPr>
          <w:p w14:paraId="70CD6E32" w14:textId="77777777" w:rsidR="007D0832" w:rsidRPr="00CE70B5" w:rsidRDefault="007D0832" w:rsidP="00CE70B5">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6</w:t>
            </w:r>
          </w:p>
        </w:tc>
        <w:tc>
          <w:tcPr>
            <w:tcW w:w="1134" w:type="dxa"/>
            <w:noWrap/>
            <w:vAlign w:val="center"/>
            <w:hideMark/>
          </w:tcPr>
          <w:p w14:paraId="14095AAB" w14:textId="77777777" w:rsidR="007D0832" w:rsidRPr="00CE70B5" w:rsidRDefault="007D0832" w:rsidP="00CE70B5">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11</w:t>
            </w:r>
          </w:p>
        </w:tc>
        <w:tc>
          <w:tcPr>
            <w:tcW w:w="1134" w:type="dxa"/>
            <w:noWrap/>
            <w:vAlign w:val="center"/>
            <w:hideMark/>
          </w:tcPr>
          <w:p w14:paraId="45E8182E" w14:textId="77777777" w:rsidR="007D0832" w:rsidRPr="00CE70B5" w:rsidRDefault="007D0832" w:rsidP="00CE70B5">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6</w:t>
            </w:r>
          </w:p>
        </w:tc>
      </w:tr>
      <w:tr w:rsidR="002D1AE9" w:rsidRPr="007D0832" w14:paraId="17EB5AB3" w14:textId="77777777" w:rsidTr="00CE70B5">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03807BE4" w14:textId="77777777" w:rsidR="007D0832" w:rsidRPr="003816C8" w:rsidRDefault="007D0832" w:rsidP="00CE70B5">
            <w:pPr>
              <w:spacing w:before="0" w:after="0" w:line="240" w:lineRule="auto"/>
              <w:jc w:val="left"/>
              <w:rPr>
                <w:rFonts w:eastAsia="Times New Roman"/>
                <w:b w:val="0"/>
                <w:bCs w:val="0"/>
                <w:color w:val="000000"/>
                <w:szCs w:val="24"/>
                <w:lang w:eastAsia="pl-PL"/>
              </w:rPr>
            </w:pPr>
            <w:r w:rsidRPr="003816C8">
              <w:rPr>
                <w:rFonts w:eastAsia="Times New Roman"/>
                <w:b w:val="0"/>
                <w:bCs w:val="0"/>
                <w:color w:val="000000"/>
                <w:szCs w:val="24"/>
                <w:lang w:eastAsia="pl-PL"/>
              </w:rPr>
              <w:t>OPOLSKIE</w:t>
            </w:r>
          </w:p>
        </w:tc>
        <w:tc>
          <w:tcPr>
            <w:tcW w:w="1134" w:type="dxa"/>
            <w:noWrap/>
            <w:vAlign w:val="center"/>
            <w:hideMark/>
          </w:tcPr>
          <w:p w14:paraId="731D91F2"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10</w:t>
            </w:r>
          </w:p>
        </w:tc>
        <w:tc>
          <w:tcPr>
            <w:tcW w:w="1134" w:type="dxa"/>
            <w:noWrap/>
            <w:vAlign w:val="center"/>
            <w:hideMark/>
          </w:tcPr>
          <w:p w14:paraId="5074F2FD"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13</w:t>
            </w:r>
          </w:p>
        </w:tc>
        <w:tc>
          <w:tcPr>
            <w:tcW w:w="1134" w:type="dxa"/>
            <w:noWrap/>
            <w:vAlign w:val="center"/>
            <w:hideMark/>
          </w:tcPr>
          <w:p w14:paraId="319ABA57"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5</w:t>
            </w:r>
          </w:p>
        </w:tc>
      </w:tr>
      <w:tr w:rsidR="002D1AE9" w:rsidRPr="007D0832" w14:paraId="3B7819F2" w14:textId="77777777" w:rsidTr="00CE70B5">
        <w:trPr>
          <w:trHeight w:val="32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3B033642" w14:textId="77777777" w:rsidR="007D0832" w:rsidRPr="003816C8" w:rsidRDefault="007D0832" w:rsidP="00CE70B5">
            <w:pPr>
              <w:spacing w:before="0" w:after="0" w:line="240" w:lineRule="auto"/>
              <w:jc w:val="left"/>
              <w:rPr>
                <w:rFonts w:eastAsia="Times New Roman"/>
                <w:b w:val="0"/>
                <w:bCs w:val="0"/>
                <w:color w:val="000000"/>
                <w:szCs w:val="24"/>
                <w:lang w:eastAsia="pl-PL"/>
              </w:rPr>
            </w:pPr>
            <w:r w:rsidRPr="003816C8">
              <w:rPr>
                <w:rFonts w:eastAsia="Times New Roman"/>
                <w:b w:val="0"/>
                <w:bCs w:val="0"/>
                <w:color w:val="000000"/>
                <w:szCs w:val="24"/>
                <w:lang w:eastAsia="pl-PL"/>
              </w:rPr>
              <w:t>LUBUSKIE</w:t>
            </w:r>
          </w:p>
        </w:tc>
        <w:tc>
          <w:tcPr>
            <w:tcW w:w="1134" w:type="dxa"/>
            <w:noWrap/>
            <w:vAlign w:val="center"/>
            <w:hideMark/>
          </w:tcPr>
          <w:p w14:paraId="0545426B" w14:textId="77777777" w:rsidR="007D0832" w:rsidRPr="00CE70B5" w:rsidRDefault="007D0832" w:rsidP="00CE70B5">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11</w:t>
            </w:r>
          </w:p>
        </w:tc>
        <w:tc>
          <w:tcPr>
            <w:tcW w:w="1134" w:type="dxa"/>
            <w:noWrap/>
            <w:vAlign w:val="center"/>
            <w:hideMark/>
          </w:tcPr>
          <w:p w14:paraId="4D11BE70" w14:textId="77777777" w:rsidR="007D0832" w:rsidRPr="00CE70B5" w:rsidRDefault="007D0832" w:rsidP="00CE70B5">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9</w:t>
            </w:r>
          </w:p>
        </w:tc>
        <w:tc>
          <w:tcPr>
            <w:tcW w:w="1134" w:type="dxa"/>
            <w:noWrap/>
            <w:vAlign w:val="center"/>
            <w:hideMark/>
          </w:tcPr>
          <w:p w14:paraId="3CC3B80A" w14:textId="77777777" w:rsidR="007D0832" w:rsidRPr="00CE70B5" w:rsidRDefault="007D0832" w:rsidP="00CE70B5">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9</w:t>
            </w:r>
          </w:p>
        </w:tc>
      </w:tr>
      <w:tr w:rsidR="002D1AE9" w:rsidRPr="007D0832" w14:paraId="3BC68D67" w14:textId="77777777" w:rsidTr="00CE70B5">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0988293E" w14:textId="77777777" w:rsidR="007D0832" w:rsidRPr="003816C8" w:rsidRDefault="007D0832" w:rsidP="00CE70B5">
            <w:pPr>
              <w:spacing w:before="0" w:after="0" w:line="240" w:lineRule="auto"/>
              <w:jc w:val="left"/>
              <w:rPr>
                <w:rFonts w:eastAsia="Times New Roman"/>
                <w:b w:val="0"/>
                <w:bCs w:val="0"/>
                <w:color w:val="000000"/>
                <w:szCs w:val="24"/>
                <w:lang w:eastAsia="pl-PL"/>
              </w:rPr>
            </w:pPr>
            <w:r w:rsidRPr="003816C8">
              <w:rPr>
                <w:rFonts w:eastAsia="Times New Roman"/>
                <w:b w:val="0"/>
                <w:bCs w:val="0"/>
                <w:color w:val="000000"/>
                <w:szCs w:val="24"/>
                <w:lang w:eastAsia="pl-PL"/>
              </w:rPr>
              <w:t>PODKARPACKIE</w:t>
            </w:r>
          </w:p>
        </w:tc>
        <w:tc>
          <w:tcPr>
            <w:tcW w:w="1134" w:type="dxa"/>
            <w:noWrap/>
            <w:vAlign w:val="center"/>
            <w:hideMark/>
          </w:tcPr>
          <w:p w14:paraId="47A2D836"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14</w:t>
            </w:r>
          </w:p>
        </w:tc>
        <w:tc>
          <w:tcPr>
            <w:tcW w:w="1134" w:type="dxa"/>
            <w:noWrap/>
            <w:vAlign w:val="center"/>
            <w:hideMark/>
          </w:tcPr>
          <w:p w14:paraId="4D4D5B4B"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5</w:t>
            </w:r>
          </w:p>
        </w:tc>
        <w:tc>
          <w:tcPr>
            <w:tcW w:w="1134" w:type="dxa"/>
            <w:noWrap/>
            <w:vAlign w:val="center"/>
            <w:hideMark/>
          </w:tcPr>
          <w:p w14:paraId="2BB4379F"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12</w:t>
            </w:r>
          </w:p>
        </w:tc>
      </w:tr>
      <w:tr w:rsidR="002D1AE9" w:rsidRPr="007D0832" w14:paraId="21C2448A" w14:textId="77777777" w:rsidTr="00CE70B5">
        <w:trPr>
          <w:trHeight w:val="32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4B2B7C90" w14:textId="77777777" w:rsidR="007D0832" w:rsidRPr="003816C8" w:rsidRDefault="007D0832" w:rsidP="00CE70B5">
            <w:pPr>
              <w:spacing w:before="0" w:after="0" w:line="240" w:lineRule="auto"/>
              <w:jc w:val="left"/>
              <w:rPr>
                <w:rFonts w:eastAsia="Times New Roman"/>
                <w:b w:val="0"/>
                <w:bCs w:val="0"/>
                <w:color w:val="000000"/>
                <w:szCs w:val="24"/>
                <w:lang w:eastAsia="pl-PL"/>
              </w:rPr>
            </w:pPr>
            <w:r w:rsidRPr="003816C8">
              <w:rPr>
                <w:rFonts w:eastAsia="Times New Roman"/>
                <w:b w:val="0"/>
                <w:bCs w:val="0"/>
                <w:color w:val="000000"/>
                <w:szCs w:val="24"/>
                <w:lang w:eastAsia="pl-PL"/>
              </w:rPr>
              <w:t>LUBELSKIE</w:t>
            </w:r>
          </w:p>
        </w:tc>
        <w:tc>
          <w:tcPr>
            <w:tcW w:w="1134" w:type="dxa"/>
            <w:noWrap/>
            <w:vAlign w:val="center"/>
            <w:hideMark/>
          </w:tcPr>
          <w:p w14:paraId="5E56797A" w14:textId="77777777" w:rsidR="007D0832" w:rsidRPr="00CE70B5" w:rsidRDefault="007D0832" w:rsidP="00CE70B5">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13</w:t>
            </w:r>
          </w:p>
        </w:tc>
        <w:tc>
          <w:tcPr>
            <w:tcW w:w="1134" w:type="dxa"/>
            <w:noWrap/>
            <w:vAlign w:val="center"/>
            <w:hideMark/>
          </w:tcPr>
          <w:p w14:paraId="367F1D01" w14:textId="77777777" w:rsidR="007D0832" w:rsidRPr="00CE70B5" w:rsidRDefault="007D0832" w:rsidP="00CE70B5">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7</w:t>
            </w:r>
          </w:p>
        </w:tc>
        <w:tc>
          <w:tcPr>
            <w:tcW w:w="1134" w:type="dxa"/>
            <w:noWrap/>
            <w:vAlign w:val="center"/>
            <w:hideMark/>
          </w:tcPr>
          <w:p w14:paraId="4588877B" w14:textId="77777777" w:rsidR="007D0832" w:rsidRPr="00CE70B5" w:rsidRDefault="007D0832" w:rsidP="00CE70B5">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11</w:t>
            </w:r>
          </w:p>
        </w:tc>
      </w:tr>
      <w:tr w:rsidR="002D1AE9" w:rsidRPr="007D0832" w14:paraId="0EC96AC6" w14:textId="77777777" w:rsidTr="00CE70B5">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34CC2738" w14:textId="77777777" w:rsidR="007D0832" w:rsidRPr="003816C8" w:rsidRDefault="007D0832" w:rsidP="00CE70B5">
            <w:pPr>
              <w:spacing w:before="0" w:after="0" w:line="240" w:lineRule="auto"/>
              <w:jc w:val="left"/>
              <w:rPr>
                <w:rFonts w:eastAsia="Times New Roman"/>
                <w:b w:val="0"/>
                <w:bCs w:val="0"/>
                <w:color w:val="000000"/>
                <w:szCs w:val="24"/>
                <w:lang w:eastAsia="pl-PL"/>
              </w:rPr>
            </w:pPr>
            <w:r w:rsidRPr="003816C8">
              <w:rPr>
                <w:rFonts w:eastAsia="Times New Roman"/>
                <w:b w:val="0"/>
                <w:bCs w:val="0"/>
                <w:color w:val="000000"/>
                <w:szCs w:val="24"/>
                <w:lang w:eastAsia="pl-PL"/>
              </w:rPr>
              <w:t>KUJAWSKO-POMORSKIE</w:t>
            </w:r>
          </w:p>
        </w:tc>
        <w:tc>
          <w:tcPr>
            <w:tcW w:w="1134" w:type="dxa"/>
            <w:noWrap/>
            <w:vAlign w:val="center"/>
            <w:hideMark/>
          </w:tcPr>
          <w:p w14:paraId="170954F4"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12</w:t>
            </w:r>
          </w:p>
        </w:tc>
        <w:tc>
          <w:tcPr>
            <w:tcW w:w="1134" w:type="dxa"/>
            <w:noWrap/>
            <w:vAlign w:val="center"/>
            <w:hideMark/>
          </w:tcPr>
          <w:p w14:paraId="5C0CE4AA"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12</w:t>
            </w:r>
          </w:p>
        </w:tc>
        <w:tc>
          <w:tcPr>
            <w:tcW w:w="1134" w:type="dxa"/>
            <w:noWrap/>
            <w:vAlign w:val="center"/>
            <w:hideMark/>
          </w:tcPr>
          <w:p w14:paraId="75AD274B"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13</w:t>
            </w:r>
          </w:p>
        </w:tc>
      </w:tr>
      <w:tr w:rsidR="002D1AE9" w:rsidRPr="007D0832" w14:paraId="6C123591" w14:textId="77777777" w:rsidTr="00CE70B5">
        <w:trPr>
          <w:trHeight w:val="32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6011F170" w14:textId="77777777" w:rsidR="007D0832" w:rsidRPr="003816C8" w:rsidRDefault="007D0832" w:rsidP="00CE70B5">
            <w:pPr>
              <w:spacing w:before="0" w:after="0" w:line="240" w:lineRule="auto"/>
              <w:jc w:val="left"/>
              <w:rPr>
                <w:rFonts w:eastAsia="Times New Roman"/>
                <w:b w:val="0"/>
                <w:bCs w:val="0"/>
                <w:color w:val="000000"/>
                <w:szCs w:val="24"/>
                <w:lang w:eastAsia="pl-PL"/>
              </w:rPr>
            </w:pPr>
            <w:r w:rsidRPr="003816C8">
              <w:rPr>
                <w:rFonts w:eastAsia="Times New Roman"/>
                <w:b w:val="0"/>
                <w:bCs w:val="0"/>
                <w:color w:val="000000"/>
                <w:szCs w:val="24"/>
                <w:lang w:eastAsia="pl-PL"/>
              </w:rPr>
              <w:t>ZACHODNIOPOMORSKIE</w:t>
            </w:r>
          </w:p>
        </w:tc>
        <w:tc>
          <w:tcPr>
            <w:tcW w:w="1134" w:type="dxa"/>
            <w:noWrap/>
            <w:vAlign w:val="center"/>
            <w:hideMark/>
          </w:tcPr>
          <w:p w14:paraId="2B6848C7" w14:textId="77777777" w:rsidR="007D0832" w:rsidRPr="00CE70B5" w:rsidRDefault="007D0832" w:rsidP="00CE70B5">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9</w:t>
            </w:r>
          </w:p>
        </w:tc>
        <w:tc>
          <w:tcPr>
            <w:tcW w:w="1134" w:type="dxa"/>
            <w:noWrap/>
            <w:vAlign w:val="center"/>
            <w:hideMark/>
          </w:tcPr>
          <w:p w14:paraId="5ABCD421" w14:textId="77777777" w:rsidR="007D0832" w:rsidRPr="00CE70B5" w:rsidRDefault="007D0832" w:rsidP="00CE70B5">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15</w:t>
            </w:r>
          </w:p>
        </w:tc>
        <w:tc>
          <w:tcPr>
            <w:tcW w:w="1134" w:type="dxa"/>
            <w:noWrap/>
            <w:vAlign w:val="center"/>
            <w:hideMark/>
          </w:tcPr>
          <w:p w14:paraId="1922EE07" w14:textId="77777777" w:rsidR="007D0832" w:rsidRPr="00CE70B5" w:rsidRDefault="007D0832" w:rsidP="00CE70B5">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13</w:t>
            </w:r>
          </w:p>
        </w:tc>
      </w:tr>
      <w:tr w:rsidR="002D1AE9" w:rsidRPr="007D0832" w14:paraId="13E41233" w14:textId="77777777" w:rsidTr="00CE70B5">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119DF044" w14:textId="77777777" w:rsidR="007D0832" w:rsidRPr="003816C8" w:rsidRDefault="007D0832" w:rsidP="00CE70B5">
            <w:pPr>
              <w:spacing w:before="0" w:after="0" w:line="240" w:lineRule="auto"/>
              <w:jc w:val="left"/>
              <w:rPr>
                <w:rFonts w:eastAsia="Times New Roman"/>
                <w:b w:val="0"/>
                <w:bCs w:val="0"/>
                <w:color w:val="000000"/>
                <w:szCs w:val="24"/>
                <w:lang w:eastAsia="pl-PL"/>
              </w:rPr>
            </w:pPr>
            <w:r w:rsidRPr="003816C8">
              <w:rPr>
                <w:rFonts w:eastAsia="Times New Roman"/>
                <w:b w:val="0"/>
                <w:bCs w:val="0"/>
                <w:color w:val="000000"/>
                <w:szCs w:val="24"/>
                <w:lang w:eastAsia="pl-PL"/>
              </w:rPr>
              <w:t>ŚWIĘTOKRZYSKIE</w:t>
            </w:r>
          </w:p>
        </w:tc>
        <w:tc>
          <w:tcPr>
            <w:tcW w:w="1134" w:type="dxa"/>
            <w:noWrap/>
            <w:vAlign w:val="center"/>
            <w:hideMark/>
          </w:tcPr>
          <w:p w14:paraId="73172C74"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15</w:t>
            </w:r>
          </w:p>
        </w:tc>
        <w:tc>
          <w:tcPr>
            <w:tcW w:w="1134" w:type="dxa"/>
            <w:noWrap/>
            <w:vAlign w:val="center"/>
            <w:hideMark/>
          </w:tcPr>
          <w:p w14:paraId="5B11507B"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14</w:t>
            </w:r>
          </w:p>
        </w:tc>
        <w:tc>
          <w:tcPr>
            <w:tcW w:w="1134" w:type="dxa"/>
            <w:noWrap/>
            <w:vAlign w:val="center"/>
            <w:hideMark/>
          </w:tcPr>
          <w:p w14:paraId="42495F91" w14:textId="77777777" w:rsidR="007D0832" w:rsidRPr="00CE70B5" w:rsidRDefault="007D0832" w:rsidP="00CE70B5">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15</w:t>
            </w:r>
          </w:p>
        </w:tc>
      </w:tr>
      <w:tr w:rsidR="002D1AE9" w:rsidRPr="007D0832" w14:paraId="34261BDA" w14:textId="77777777" w:rsidTr="00CE70B5">
        <w:trPr>
          <w:trHeight w:val="32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2F9ADDCF" w14:textId="77777777" w:rsidR="007D0832" w:rsidRPr="003816C8" w:rsidRDefault="007D0832" w:rsidP="00CE70B5">
            <w:pPr>
              <w:spacing w:before="0" w:after="0" w:line="240" w:lineRule="auto"/>
              <w:jc w:val="left"/>
              <w:rPr>
                <w:rFonts w:eastAsia="Times New Roman"/>
                <w:b w:val="0"/>
                <w:bCs w:val="0"/>
                <w:color w:val="000000"/>
                <w:szCs w:val="24"/>
                <w:lang w:eastAsia="pl-PL"/>
              </w:rPr>
            </w:pPr>
            <w:r w:rsidRPr="003816C8">
              <w:rPr>
                <w:rFonts w:eastAsia="Times New Roman"/>
                <w:b w:val="0"/>
                <w:bCs w:val="0"/>
                <w:color w:val="000000"/>
                <w:szCs w:val="24"/>
                <w:lang w:eastAsia="pl-PL"/>
              </w:rPr>
              <w:t>WARMIŃSKO-MAZURSKIE</w:t>
            </w:r>
          </w:p>
        </w:tc>
        <w:tc>
          <w:tcPr>
            <w:tcW w:w="1134" w:type="dxa"/>
            <w:noWrap/>
            <w:vAlign w:val="center"/>
            <w:hideMark/>
          </w:tcPr>
          <w:p w14:paraId="633C1947" w14:textId="77777777" w:rsidR="007D0832" w:rsidRPr="00CE70B5" w:rsidRDefault="007D0832" w:rsidP="00CE70B5">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16</w:t>
            </w:r>
          </w:p>
        </w:tc>
        <w:tc>
          <w:tcPr>
            <w:tcW w:w="1134" w:type="dxa"/>
            <w:noWrap/>
            <w:vAlign w:val="center"/>
            <w:hideMark/>
          </w:tcPr>
          <w:p w14:paraId="13A292C9" w14:textId="77777777" w:rsidR="007D0832" w:rsidRPr="00CE70B5" w:rsidRDefault="007D0832" w:rsidP="00CE70B5">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16</w:t>
            </w:r>
          </w:p>
        </w:tc>
        <w:tc>
          <w:tcPr>
            <w:tcW w:w="1134" w:type="dxa"/>
            <w:noWrap/>
            <w:vAlign w:val="center"/>
            <w:hideMark/>
          </w:tcPr>
          <w:p w14:paraId="5EE5E243" w14:textId="77777777" w:rsidR="007D0832" w:rsidRPr="00CE70B5" w:rsidRDefault="007D0832" w:rsidP="00AF75BC">
            <w:pPr>
              <w:keepNext/>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E70B5">
              <w:rPr>
                <w:rFonts w:eastAsia="Times New Roman"/>
                <w:color w:val="000000"/>
                <w:szCs w:val="24"/>
                <w:lang w:eastAsia="pl-PL"/>
              </w:rPr>
              <w:t>16</w:t>
            </w:r>
          </w:p>
        </w:tc>
      </w:tr>
    </w:tbl>
    <w:p w14:paraId="6503527E" w14:textId="789B7352" w:rsidR="007D0832" w:rsidRDefault="00AF75BC" w:rsidP="00AF75BC">
      <w:pPr>
        <w:pStyle w:val="Legenda"/>
        <w:jc w:val="center"/>
      </w:pPr>
      <w:r>
        <w:t xml:space="preserve">Tabela </w:t>
      </w:r>
      <w:fldSimple w:instr=" SEQ Tabela \* ARABIC ">
        <w:r w:rsidR="00EF2DB4">
          <w:rPr>
            <w:noProof/>
          </w:rPr>
          <w:t>7</w:t>
        </w:r>
      </w:fldSimple>
      <w:r>
        <w:t>. Podsumowanie wyników porządkowania liniowego.</w:t>
      </w:r>
    </w:p>
    <w:p w14:paraId="5B72DB15" w14:textId="6828DAE0" w:rsidR="002F60E3" w:rsidRDefault="00AF75BC" w:rsidP="002F60E3">
      <w:r>
        <w:tab/>
        <w:t>Wyniki mimo pojawiającego się zróżnicowania przy niektórych województwach pozwalają na wysunięcie kilku wniosków. Przede wszystkim niezależnie od wybranej metody, województwem wykazującym najlepszy poziom życia jest województwo dolnośląskie oraz mazowieckie. Niedaleko za nimi plasuj</w:t>
      </w:r>
      <w:r w:rsidR="001A0D36">
        <w:t>e się województwo wielkopolskie, małopolskie i</w:t>
      </w:r>
      <w:r w:rsidR="00A10B6E">
        <w:t> </w:t>
      </w:r>
      <w:r w:rsidR="001A0D36">
        <w:t>pomorskie. Są to regiony wysoce zurbanizowane, wyróżniające się rozwiniętą infrastrukturą, szerokim dostępem do usług publicznych oraz względnie wyższymi wynagrodzeniami.</w:t>
      </w:r>
    </w:p>
    <w:p w14:paraId="35C54440" w14:textId="6BD8119B" w:rsidR="00621019" w:rsidRDefault="0077633E" w:rsidP="00621019">
      <w:r>
        <w:tab/>
        <w:t xml:space="preserve">Zauważalne są </w:t>
      </w:r>
      <w:r w:rsidRPr="0077633E">
        <w:t>pewne regionalne dysproporcje, które są szczególnie widoczne w</w:t>
      </w:r>
      <w:r w:rsidR="007D2B6A">
        <w:t> </w:t>
      </w:r>
      <w:r w:rsidRPr="0077633E">
        <w:t>przypadku województw takich jak Warmińsko-Mazurskie, Świętokrzyskie i</w:t>
      </w:r>
      <w:r>
        <w:t> </w:t>
      </w:r>
      <w:r w:rsidRPr="0077633E">
        <w:t>Kujawsko-Pomorskie, które we wszystkich trzech metodach znalazły się na końcowych pozycjach. Regiony te cechują się niższym poziomem urbanizacji, słabszą infrastrukturą oraz ograniczonym dostępem do usług publicznych, co negatywnie wpływa na jakość życia. Wynika to z wolniejszego tempa rozwoju gospodarczego, mniejszej liczby inwestycji oraz wyzwań związanych z rynkiem pracy, w tym wyższym bezrobociem i niższymi wynagrodzeniami.</w:t>
      </w:r>
    </w:p>
    <w:p w14:paraId="3DBC1B89" w14:textId="77777777" w:rsidR="00621019" w:rsidRDefault="00621019">
      <w:pPr>
        <w:spacing w:before="0" w:after="160" w:line="278" w:lineRule="auto"/>
        <w:jc w:val="left"/>
        <w:rPr>
          <w:rFonts w:eastAsiaTheme="majorEastAsia" w:cstheme="majorBidi"/>
          <w:b/>
          <w:color w:val="000000" w:themeColor="text1"/>
          <w:kern w:val="2"/>
          <w:sz w:val="40"/>
          <w:szCs w:val="40"/>
          <w14:ligatures w14:val="standardContextual"/>
        </w:rPr>
      </w:pPr>
      <w:r>
        <w:br w:type="page"/>
      </w:r>
    </w:p>
    <w:p w14:paraId="78A7B851" w14:textId="1AD37855" w:rsidR="0077633E" w:rsidRPr="00D906A4" w:rsidRDefault="0077633E" w:rsidP="0077633E">
      <w:pPr>
        <w:pStyle w:val="Nagwek1"/>
      </w:pPr>
      <w:hyperlink w:anchor="_Spis_treści" w:history="1">
        <w:bookmarkStart w:id="14" w:name="_Toc180602601"/>
        <w:r w:rsidRPr="00D906A4">
          <w:rPr>
            <w:rStyle w:val="Hipercze"/>
            <w:color w:val="000000" w:themeColor="text1"/>
            <w:u w:val="none"/>
          </w:rPr>
          <w:t>Analiza skupień</w:t>
        </w:r>
        <w:bookmarkEnd w:id="14"/>
      </w:hyperlink>
    </w:p>
    <w:p w14:paraId="60982693" w14:textId="132018D8" w:rsidR="00C94149" w:rsidRDefault="003F0DDD" w:rsidP="00C94149">
      <w:r>
        <w:tab/>
        <w:t xml:space="preserve">W celu wykonania analizy skupień zostaną zastosowane dwie metody grupowania – metoda k-średnich (grupowanie podziałowe) oraz metoda Warda (grupowanie hierarchiczne). Zanim jednak przejdę do grupowania, poddam analizie wybór odpowiedniej liczby klastrów. </w:t>
      </w:r>
      <w:r w:rsidR="00BD3D99">
        <w:t xml:space="preserve">W tym celu skorzystam z metody </w:t>
      </w:r>
      <w:r w:rsidR="00D46410">
        <w:t>S</w:t>
      </w:r>
      <w:r w:rsidR="00BD3D99">
        <w:t>ilhouette oraz metody łokcia.</w:t>
      </w:r>
    </w:p>
    <w:p w14:paraId="49C79C6E" w14:textId="711087D0" w:rsidR="00BD3D99" w:rsidRDefault="00BD3D99" w:rsidP="00BD3D99">
      <w:pPr>
        <w:pStyle w:val="Nagwek2"/>
      </w:pPr>
      <w:hyperlink w:anchor="_Spis_treści" w:history="1">
        <w:bookmarkStart w:id="15" w:name="_Toc180602602"/>
        <w:r w:rsidRPr="00BD3D99">
          <w:rPr>
            <w:rStyle w:val="Hipercze"/>
            <w:color w:val="000000" w:themeColor="text1"/>
            <w:u w:val="none"/>
          </w:rPr>
          <w:t>Liczba klastrów</w:t>
        </w:r>
        <w:bookmarkEnd w:id="15"/>
      </w:hyperlink>
    </w:p>
    <w:p w14:paraId="6824DE63" w14:textId="4D266406" w:rsidR="00BD3D99" w:rsidRDefault="00BD3D99" w:rsidP="00BD3D99">
      <w:r>
        <w:tab/>
      </w:r>
      <w:r w:rsidRPr="00BD3D99">
        <w:t xml:space="preserve">Metoda łokcia służy do wyboru optymalnej liczby klastrów, oceniając, jak zmienia się </w:t>
      </w:r>
      <w:proofErr w:type="spellStart"/>
      <w:r w:rsidRPr="00BD3D99">
        <w:t>wewnątrzklastrowa</w:t>
      </w:r>
      <w:proofErr w:type="spellEnd"/>
      <w:r w:rsidRPr="00BD3D99">
        <w:t xml:space="preserve"> suma kwadratów (WSS – </w:t>
      </w:r>
      <w:proofErr w:type="spellStart"/>
      <w:r w:rsidRPr="00BD3D99">
        <w:t>Within</w:t>
      </w:r>
      <w:proofErr w:type="spellEnd"/>
      <w:r w:rsidRPr="00BD3D99">
        <w:t xml:space="preserve">-Cluster Sum of </w:t>
      </w:r>
      <w:proofErr w:type="spellStart"/>
      <w:r w:rsidRPr="00BD3D99">
        <w:t>Squares</w:t>
      </w:r>
      <w:proofErr w:type="spellEnd"/>
      <w:r w:rsidRPr="00BD3D99">
        <w:t xml:space="preserve">) w zależności od liczby klastrów. Na wykresie przedstawiającym liczbę klastrów na osi x i WSS na osi y, </w:t>
      </w:r>
      <w:r>
        <w:t xml:space="preserve">należy szukać </w:t>
      </w:r>
      <w:r w:rsidRPr="00BD3D99">
        <w:t>punktu, w którym następuje "załamanie" wykresu (łokieć).</w:t>
      </w:r>
      <w:r>
        <w:t xml:space="preserve"> </w:t>
      </w:r>
    </w:p>
    <w:p w14:paraId="14355DAB" w14:textId="77777777" w:rsidR="00D46410" w:rsidRDefault="00BD3D99" w:rsidP="00D46410">
      <w:pPr>
        <w:keepNext/>
        <w:jc w:val="center"/>
      </w:pPr>
      <w:r>
        <w:rPr>
          <w:noProof/>
          <w14:ligatures w14:val="standardContextual"/>
        </w:rPr>
        <w:drawing>
          <wp:inline distT="0" distB="0" distL="0" distR="0" wp14:anchorId="08CD85A6" wp14:editId="49AD858A">
            <wp:extent cx="5760720" cy="3427730"/>
            <wp:effectExtent l="0" t="0" r="5080" b="1270"/>
            <wp:docPr id="850277481" name="Obraz 2"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77481" name="Obraz 2" descr="Obraz zawierający tekst, linia, Wykres, diagram&#10;&#10;Opis wygenerowany automatyczni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427730"/>
                    </a:xfrm>
                    <a:prstGeom prst="rect">
                      <a:avLst/>
                    </a:prstGeom>
                  </pic:spPr>
                </pic:pic>
              </a:graphicData>
            </a:graphic>
          </wp:inline>
        </w:drawing>
      </w:r>
    </w:p>
    <w:p w14:paraId="0B54C27F" w14:textId="0E0CD781" w:rsidR="00BD3D99" w:rsidRDefault="00D46410" w:rsidP="00D46410">
      <w:pPr>
        <w:pStyle w:val="Legenda"/>
        <w:jc w:val="center"/>
      </w:pPr>
      <w:r>
        <w:t xml:space="preserve">Rysunek </w:t>
      </w:r>
      <w:fldSimple w:instr=" SEQ Rysunek \* ARABIC ">
        <w:r w:rsidR="0072353B">
          <w:rPr>
            <w:noProof/>
          </w:rPr>
          <w:t>6</w:t>
        </w:r>
      </w:fldSimple>
      <w:r>
        <w:t xml:space="preserve">. </w:t>
      </w:r>
      <w:r w:rsidRPr="00773581">
        <w:t>Determinacja liczby klastrów metodą łokcia</w:t>
      </w:r>
      <w:r>
        <w:t>.</w:t>
      </w:r>
    </w:p>
    <w:p w14:paraId="5B834EB6" w14:textId="56B74046" w:rsidR="00602929" w:rsidRDefault="00602929" w:rsidP="00602929">
      <w:r>
        <w:tab/>
        <w:t xml:space="preserve">Na załączonym wykresie widoczne są dwa punkty, w których następuje załamanie: dla liczby klastrów równej 2 oraz 5. </w:t>
      </w:r>
    </w:p>
    <w:p w14:paraId="0BBC4B4D" w14:textId="48886004" w:rsidR="00D46410" w:rsidRDefault="00D46410" w:rsidP="00602929">
      <w:r>
        <w:tab/>
        <w:t>Z kolei metoda Silhouette s</w:t>
      </w:r>
      <w:r w:rsidRPr="00D46410">
        <w:t xml:space="preserve">łuży do oceny jakości klastrów, mierząc, jak dobrze punkty danych są przypisane do swojego klastra w porównaniu do innych klastrów. Każdy punkt ma wartość współczynnika </w:t>
      </w:r>
      <w:proofErr w:type="spellStart"/>
      <w:r w:rsidRPr="00D46410">
        <w:t>silhouette</w:t>
      </w:r>
      <w:proofErr w:type="spellEnd"/>
      <w:r w:rsidRPr="00D46410">
        <w:t xml:space="preserve">, która wynosi od -1 do </w:t>
      </w:r>
      <w:r>
        <w:t xml:space="preserve">1, gdzie im większa wartość tym </w:t>
      </w:r>
      <w:r>
        <w:lastRenderedPageBreak/>
        <w:t xml:space="preserve">lepsze dopasowanie punktu do swojego klastra i gorsze do sąsiednich klastrów. </w:t>
      </w:r>
      <w:r w:rsidRPr="00D46410">
        <w:t xml:space="preserve">Średnia wartość </w:t>
      </w:r>
      <w:proofErr w:type="spellStart"/>
      <w:r w:rsidRPr="00D46410">
        <w:t>silhouette</w:t>
      </w:r>
      <w:proofErr w:type="spellEnd"/>
      <w:r w:rsidRPr="00D46410">
        <w:t xml:space="preserve"> dla wszystkich punktów w zbiorze danych daje ogólną ocenę jakości </w:t>
      </w:r>
      <w:proofErr w:type="spellStart"/>
      <w:r w:rsidRPr="00D46410">
        <w:t>klastrowania</w:t>
      </w:r>
      <w:proofErr w:type="spellEnd"/>
      <w:r w:rsidRPr="00D46410">
        <w:t xml:space="preserve"> – im wyższa wartość, tym lepsze rozdzielenie klastrów.</w:t>
      </w:r>
    </w:p>
    <w:p w14:paraId="2EE1172C" w14:textId="77777777" w:rsidR="00D46410" w:rsidRDefault="00D46410" w:rsidP="00D46410">
      <w:pPr>
        <w:keepNext/>
      </w:pPr>
      <w:r>
        <w:rPr>
          <w:noProof/>
          <w14:ligatures w14:val="standardContextual"/>
        </w:rPr>
        <w:drawing>
          <wp:inline distT="0" distB="0" distL="0" distR="0" wp14:anchorId="7F9013DE" wp14:editId="3BE0FFA7">
            <wp:extent cx="5760720" cy="3444240"/>
            <wp:effectExtent l="0" t="0" r="5080" b="0"/>
            <wp:docPr id="571191472" name="Obraz 3" descr="Obraz zawierający linia, diagram, Wykres, sto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91472" name="Obraz 3" descr="Obraz zawierający linia, diagram, Wykres, stok&#10;&#10;Opis wygenerowany automatyczni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444240"/>
                    </a:xfrm>
                    <a:prstGeom prst="rect">
                      <a:avLst/>
                    </a:prstGeom>
                  </pic:spPr>
                </pic:pic>
              </a:graphicData>
            </a:graphic>
          </wp:inline>
        </w:drawing>
      </w:r>
    </w:p>
    <w:p w14:paraId="32E014D0" w14:textId="6CC0E520" w:rsidR="00D46410" w:rsidRDefault="00D46410" w:rsidP="00D46410">
      <w:pPr>
        <w:pStyle w:val="Legenda"/>
        <w:jc w:val="center"/>
      </w:pPr>
      <w:r>
        <w:t xml:space="preserve">Rysunek </w:t>
      </w:r>
      <w:fldSimple w:instr=" SEQ Rysunek \* ARABIC ">
        <w:r w:rsidR="0072353B">
          <w:rPr>
            <w:noProof/>
          </w:rPr>
          <w:t>7</w:t>
        </w:r>
      </w:fldSimple>
      <w:r>
        <w:t xml:space="preserve">. </w:t>
      </w:r>
      <w:r w:rsidRPr="00552C7C">
        <w:t xml:space="preserve">Determinacja liczby klastrów metodą </w:t>
      </w:r>
      <w:r>
        <w:t>Silhouette.</w:t>
      </w:r>
    </w:p>
    <w:p w14:paraId="66D1FECA" w14:textId="0EEAA0C7" w:rsidR="00D46410" w:rsidRDefault="00D46410" w:rsidP="00D46410">
      <w:r>
        <w:tab/>
        <w:t>Powyższa metoda wykazała, że najlepszym wyborem będzie podział danych na dwa klastry. Mając na uwadze wyniki metody łokcia, wykorzystam jednak oba wskazane podziały, czyli dwa oraz pięć klastrów, co pozwoli na głębsze przeanalizowanie zestawu danych.</w:t>
      </w:r>
    </w:p>
    <w:p w14:paraId="1733CDEE" w14:textId="2B2E6FA3" w:rsidR="00D46410" w:rsidRDefault="00D46410" w:rsidP="00D46410">
      <w:pPr>
        <w:pStyle w:val="Nagwek2"/>
      </w:pPr>
      <w:hyperlink w:anchor="_Spis_treści" w:history="1">
        <w:bookmarkStart w:id="16" w:name="_Toc180602603"/>
        <w:r w:rsidRPr="00D46410">
          <w:rPr>
            <w:rStyle w:val="Hipercze"/>
            <w:color w:val="000000" w:themeColor="text1"/>
            <w:u w:val="none"/>
          </w:rPr>
          <w:t>Grupowanie podziałowe</w:t>
        </w:r>
        <w:bookmarkEnd w:id="16"/>
      </w:hyperlink>
    </w:p>
    <w:p w14:paraId="08453252" w14:textId="42133111" w:rsidR="00807A47" w:rsidRDefault="00D46410" w:rsidP="00D46410">
      <w:r>
        <w:tab/>
      </w:r>
      <w:r w:rsidR="00807A47">
        <w:t>Metoda</w:t>
      </w:r>
      <w:r w:rsidR="00807A47" w:rsidRPr="00807A47">
        <w:t xml:space="preserve"> k-średnich służy do podziału danych wejściowych na z góry założoną liczbę klas</w:t>
      </w:r>
      <w:r w:rsidR="00807A47">
        <w:t xml:space="preserve"> – w tym przypadku dwa oraz pięć. Algorytm </w:t>
      </w:r>
      <w:r w:rsidR="00807A47" w:rsidRPr="00807A47">
        <w:t>najpierw losowo wybiera początkowe centroidy, przypisuje punkty do najbliższe</w:t>
      </w:r>
      <w:r w:rsidR="00807A47">
        <w:t>j</w:t>
      </w:r>
      <w:r w:rsidR="00807A47" w:rsidRPr="00807A47">
        <w:t xml:space="preserve"> centroid</w:t>
      </w:r>
      <w:r w:rsidR="00807A47">
        <w:t>y</w:t>
      </w:r>
      <w:r w:rsidR="00807A47" w:rsidRPr="00807A47">
        <w:t xml:space="preserve">, a następnie oblicza nowe centroidy jako średnią punktów w klastrze. Proces ten powtarza się, aż przypisania punktów przestaną się zmieniać. K-średnich minimalizuje sumę kwadratów odległości punktów od ich centroid, tworząc najbardziej jednorodne klastry. </w:t>
      </w:r>
      <w:r w:rsidR="00807A47">
        <w:t>Kolejna tabela prezentuje rezultaty otrzymane w wyniku zastosowania powyższego algorytmu</w:t>
      </w:r>
      <w:r w:rsidR="00FE1405">
        <w:t xml:space="preserve"> dla dwóch klastrów</w:t>
      </w:r>
      <w:r w:rsidR="00807A47">
        <w:t>.</w:t>
      </w:r>
    </w:p>
    <w:p w14:paraId="7E10C225" w14:textId="77777777" w:rsidR="00807A47" w:rsidRDefault="00807A47">
      <w:pPr>
        <w:spacing w:before="0" w:after="160" w:line="278" w:lineRule="auto"/>
        <w:jc w:val="left"/>
      </w:pPr>
      <w:r>
        <w:br w:type="page"/>
      </w:r>
    </w:p>
    <w:tbl>
      <w:tblPr>
        <w:tblStyle w:val="Tabelasiatki4"/>
        <w:tblW w:w="4819" w:type="dxa"/>
        <w:jc w:val="center"/>
        <w:tblLook w:val="04A0" w:firstRow="1" w:lastRow="0" w:firstColumn="1" w:lastColumn="0" w:noHBand="0" w:noVBand="1"/>
      </w:tblPr>
      <w:tblGrid>
        <w:gridCol w:w="3402"/>
        <w:gridCol w:w="1417"/>
      </w:tblGrid>
      <w:tr w:rsidR="00632878" w:rsidRPr="00C27B2F" w14:paraId="5893163D" w14:textId="77777777" w:rsidTr="0063287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0761176F" w14:textId="77777777" w:rsidR="00632878" w:rsidRPr="00C27B2F" w:rsidRDefault="00632878" w:rsidP="00C27B2F">
            <w:pPr>
              <w:spacing w:before="0" w:after="0" w:line="240" w:lineRule="auto"/>
              <w:jc w:val="left"/>
              <w:rPr>
                <w:rFonts w:eastAsia="Times New Roman"/>
                <w:szCs w:val="24"/>
                <w:lang w:eastAsia="pl-PL"/>
              </w:rPr>
            </w:pPr>
            <w:r w:rsidRPr="00C27B2F">
              <w:rPr>
                <w:rFonts w:eastAsia="Times New Roman"/>
                <w:szCs w:val="24"/>
                <w:lang w:eastAsia="pl-PL"/>
              </w:rPr>
              <w:lastRenderedPageBreak/>
              <w:t>WOJEWÓDZTWO</w:t>
            </w:r>
          </w:p>
        </w:tc>
        <w:tc>
          <w:tcPr>
            <w:tcW w:w="1417" w:type="dxa"/>
            <w:noWrap/>
            <w:vAlign w:val="center"/>
            <w:hideMark/>
          </w:tcPr>
          <w:p w14:paraId="722034B6" w14:textId="77777777" w:rsidR="00632878" w:rsidRPr="00C27B2F" w:rsidRDefault="00632878" w:rsidP="00C27B2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bCs w:val="0"/>
                <w:szCs w:val="24"/>
                <w:lang w:eastAsia="pl-PL"/>
              </w:rPr>
            </w:pPr>
            <w:r w:rsidRPr="00C27B2F">
              <w:rPr>
                <w:rFonts w:eastAsia="Times New Roman"/>
                <w:bCs w:val="0"/>
                <w:szCs w:val="24"/>
                <w:lang w:eastAsia="pl-PL"/>
              </w:rPr>
              <w:t>2 klastry</w:t>
            </w:r>
          </w:p>
        </w:tc>
      </w:tr>
      <w:tr w:rsidR="00632878" w:rsidRPr="00C27B2F" w14:paraId="5CABB2F4" w14:textId="77777777" w:rsidTr="0063287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1DC90033" w14:textId="77777777" w:rsidR="00632878" w:rsidRPr="00C27B2F" w:rsidRDefault="00632878" w:rsidP="00C27B2F">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DOLNOŚLĄSKIE</w:t>
            </w:r>
          </w:p>
        </w:tc>
        <w:tc>
          <w:tcPr>
            <w:tcW w:w="1417" w:type="dxa"/>
            <w:noWrap/>
            <w:vAlign w:val="center"/>
            <w:hideMark/>
          </w:tcPr>
          <w:p w14:paraId="3E1592C0" w14:textId="77777777" w:rsidR="00632878" w:rsidRPr="00C27B2F" w:rsidRDefault="00632878" w:rsidP="00C27B2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w:t>
            </w:r>
          </w:p>
        </w:tc>
      </w:tr>
      <w:tr w:rsidR="00632878" w:rsidRPr="00C27B2F" w14:paraId="3C9EAD1A" w14:textId="77777777" w:rsidTr="00632878">
        <w:trPr>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41FD275D" w14:textId="77777777" w:rsidR="00632878" w:rsidRPr="00C27B2F" w:rsidRDefault="00632878" w:rsidP="00C27B2F">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MAŁOPOLSKIE</w:t>
            </w:r>
          </w:p>
        </w:tc>
        <w:tc>
          <w:tcPr>
            <w:tcW w:w="1417" w:type="dxa"/>
            <w:noWrap/>
            <w:vAlign w:val="center"/>
            <w:hideMark/>
          </w:tcPr>
          <w:p w14:paraId="39BDACE5" w14:textId="77777777" w:rsidR="00632878" w:rsidRPr="00C27B2F" w:rsidRDefault="00632878" w:rsidP="00C27B2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w:t>
            </w:r>
          </w:p>
        </w:tc>
      </w:tr>
      <w:tr w:rsidR="00632878" w:rsidRPr="00C27B2F" w14:paraId="30F3091E" w14:textId="77777777" w:rsidTr="0063287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2E63851B" w14:textId="77777777" w:rsidR="00632878" w:rsidRPr="00C27B2F" w:rsidRDefault="00632878" w:rsidP="00C27B2F">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MAZOWIECKIE</w:t>
            </w:r>
          </w:p>
        </w:tc>
        <w:tc>
          <w:tcPr>
            <w:tcW w:w="1417" w:type="dxa"/>
            <w:noWrap/>
            <w:vAlign w:val="center"/>
            <w:hideMark/>
          </w:tcPr>
          <w:p w14:paraId="0E821F2F" w14:textId="77777777" w:rsidR="00632878" w:rsidRPr="00C27B2F" w:rsidRDefault="00632878" w:rsidP="00C27B2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w:t>
            </w:r>
          </w:p>
        </w:tc>
      </w:tr>
      <w:tr w:rsidR="00632878" w:rsidRPr="00C27B2F" w14:paraId="29ED4615" w14:textId="77777777" w:rsidTr="00632878">
        <w:trPr>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76B1A2D4" w14:textId="77777777" w:rsidR="00632878" w:rsidRPr="00C27B2F" w:rsidRDefault="00632878" w:rsidP="00C27B2F">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POMORSKIE</w:t>
            </w:r>
          </w:p>
        </w:tc>
        <w:tc>
          <w:tcPr>
            <w:tcW w:w="1417" w:type="dxa"/>
            <w:noWrap/>
            <w:vAlign w:val="center"/>
            <w:hideMark/>
          </w:tcPr>
          <w:p w14:paraId="54750FD5" w14:textId="77777777" w:rsidR="00632878" w:rsidRPr="00C27B2F" w:rsidRDefault="00632878" w:rsidP="00C27B2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w:t>
            </w:r>
          </w:p>
        </w:tc>
      </w:tr>
      <w:tr w:rsidR="00632878" w:rsidRPr="00C27B2F" w14:paraId="79D95FAD" w14:textId="77777777" w:rsidTr="0063287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0EA65618" w14:textId="77777777" w:rsidR="00632878" w:rsidRPr="00C27B2F" w:rsidRDefault="00632878" w:rsidP="00C27B2F">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ŁÓDZKIE</w:t>
            </w:r>
          </w:p>
        </w:tc>
        <w:tc>
          <w:tcPr>
            <w:tcW w:w="1417" w:type="dxa"/>
            <w:noWrap/>
            <w:vAlign w:val="center"/>
            <w:hideMark/>
          </w:tcPr>
          <w:p w14:paraId="54090A34" w14:textId="77777777" w:rsidR="00632878" w:rsidRPr="00C27B2F" w:rsidRDefault="00632878" w:rsidP="00C27B2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w:t>
            </w:r>
          </w:p>
        </w:tc>
      </w:tr>
      <w:tr w:rsidR="00632878" w:rsidRPr="00C27B2F" w14:paraId="508ADA22" w14:textId="77777777" w:rsidTr="00632878">
        <w:trPr>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23387A8B" w14:textId="77777777" w:rsidR="00632878" w:rsidRPr="00C27B2F" w:rsidRDefault="00632878" w:rsidP="00C27B2F">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ŚLĄSKIE</w:t>
            </w:r>
          </w:p>
        </w:tc>
        <w:tc>
          <w:tcPr>
            <w:tcW w:w="1417" w:type="dxa"/>
            <w:noWrap/>
            <w:vAlign w:val="center"/>
            <w:hideMark/>
          </w:tcPr>
          <w:p w14:paraId="5115E8A5" w14:textId="77777777" w:rsidR="00632878" w:rsidRPr="00C27B2F" w:rsidRDefault="00632878" w:rsidP="00C27B2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w:t>
            </w:r>
          </w:p>
        </w:tc>
      </w:tr>
      <w:tr w:rsidR="00632878" w:rsidRPr="00C27B2F" w14:paraId="4B4F92CE" w14:textId="77777777" w:rsidTr="0063287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79DF1C2C" w14:textId="77777777" w:rsidR="00632878" w:rsidRPr="00C27B2F" w:rsidRDefault="00632878" w:rsidP="00C27B2F">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LUBELSKIE</w:t>
            </w:r>
          </w:p>
        </w:tc>
        <w:tc>
          <w:tcPr>
            <w:tcW w:w="1417" w:type="dxa"/>
            <w:noWrap/>
            <w:vAlign w:val="center"/>
            <w:hideMark/>
          </w:tcPr>
          <w:p w14:paraId="21E0E21F" w14:textId="77777777" w:rsidR="00632878" w:rsidRPr="00C27B2F" w:rsidRDefault="00632878" w:rsidP="00C27B2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II</w:t>
            </w:r>
          </w:p>
        </w:tc>
      </w:tr>
      <w:tr w:rsidR="00632878" w:rsidRPr="00C27B2F" w14:paraId="166317EE" w14:textId="77777777" w:rsidTr="00632878">
        <w:trPr>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46BFD6FB" w14:textId="77777777" w:rsidR="00632878" w:rsidRPr="00C27B2F" w:rsidRDefault="00632878" w:rsidP="00C27B2F">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PODLASKIE</w:t>
            </w:r>
          </w:p>
        </w:tc>
        <w:tc>
          <w:tcPr>
            <w:tcW w:w="1417" w:type="dxa"/>
            <w:noWrap/>
            <w:vAlign w:val="center"/>
            <w:hideMark/>
          </w:tcPr>
          <w:p w14:paraId="51BB3813" w14:textId="77777777" w:rsidR="00632878" w:rsidRPr="00C27B2F" w:rsidRDefault="00632878" w:rsidP="00C27B2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II</w:t>
            </w:r>
          </w:p>
        </w:tc>
      </w:tr>
      <w:tr w:rsidR="00632878" w:rsidRPr="00C27B2F" w14:paraId="55D976A1" w14:textId="77777777" w:rsidTr="0063287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7299D5EE" w14:textId="77777777" w:rsidR="00632878" w:rsidRPr="00C27B2F" w:rsidRDefault="00632878" w:rsidP="00C27B2F">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WIELKOPOLSKIE</w:t>
            </w:r>
          </w:p>
        </w:tc>
        <w:tc>
          <w:tcPr>
            <w:tcW w:w="1417" w:type="dxa"/>
            <w:noWrap/>
            <w:vAlign w:val="center"/>
            <w:hideMark/>
          </w:tcPr>
          <w:p w14:paraId="2D920513" w14:textId="77777777" w:rsidR="00632878" w:rsidRPr="00C27B2F" w:rsidRDefault="00632878" w:rsidP="00C27B2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II</w:t>
            </w:r>
          </w:p>
        </w:tc>
      </w:tr>
      <w:tr w:rsidR="00632878" w:rsidRPr="00C27B2F" w14:paraId="59B71550" w14:textId="77777777" w:rsidTr="00632878">
        <w:trPr>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12A8D855" w14:textId="77777777" w:rsidR="00632878" w:rsidRPr="00C27B2F" w:rsidRDefault="00632878" w:rsidP="00C27B2F">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ZACHODNIOPOMORSKIE</w:t>
            </w:r>
          </w:p>
        </w:tc>
        <w:tc>
          <w:tcPr>
            <w:tcW w:w="1417" w:type="dxa"/>
            <w:noWrap/>
            <w:vAlign w:val="center"/>
            <w:hideMark/>
          </w:tcPr>
          <w:p w14:paraId="2EC86AD4" w14:textId="77777777" w:rsidR="00632878" w:rsidRPr="00C27B2F" w:rsidRDefault="00632878" w:rsidP="00C27B2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II</w:t>
            </w:r>
          </w:p>
        </w:tc>
      </w:tr>
      <w:tr w:rsidR="00632878" w:rsidRPr="00C27B2F" w14:paraId="212CAFAB" w14:textId="77777777" w:rsidTr="0063287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5FB99725" w14:textId="77777777" w:rsidR="00632878" w:rsidRPr="00C27B2F" w:rsidRDefault="00632878" w:rsidP="00C27B2F">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PODKARPACKIE</w:t>
            </w:r>
          </w:p>
        </w:tc>
        <w:tc>
          <w:tcPr>
            <w:tcW w:w="1417" w:type="dxa"/>
            <w:noWrap/>
            <w:vAlign w:val="center"/>
            <w:hideMark/>
          </w:tcPr>
          <w:p w14:paraId="0504B8A8" w14:textId="77777777" w:rsidR="00632878" w:rsidRPr="00C27B2F" w:rsidRDefault="00632878" w:rsidP="00C27B2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II</w:t>
            </w:r>
          </w:p>
        </w:tc>
      </w:tr>
      <w:tr w:rsidR="00632878" w:rsidRPr="00C27B2F" w14:paraId="272FF94A" w14:textId="77777777" w:rsidTr="00632878">
        <w:trPr>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4A5BF429" w14:textId="77777777" w:rsidR="00632878" w:rsidRPr="00C27B2F" w:rsidRDefault="00632878" w:rsidP="00C27B2F">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KUJAWSKO-POMORSKIE</w:t>
            </w:r>
          </w:p>
        </w:tc>
        <w:tc>
          <w:tcPr>
            <w:tcW w:w="1417" w:type="dxa"/>
            <w:noWrap/>
            <w:vAlign w:val="center"/>
            <w:hideMark/>
          </w:tcPr>
          <w:p w14:paraId="122B6E37" w14:textId="77777777" w:rsidR="00632878" w:rsidRPr="00C27B2F" w:rsidRDefault="00632878" w:rsidP="00C27B2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II</w:t>
            </w:r>
          </w:p>
        </w:tc>
      </w:tr>
      <w:tr w:rsidR="00632878" w:rsidRPr="00C27B2F" w14:paraId="2F3B71FC" w14:textId="77777777" w:rsidTr="0063287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767B6665" w14:textId="77777777" w:rsidR="00632878" w:rsidRPr="00C27B2F" w:rsidRDefault="00632878" w:rsidP="00C27B2F">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LUBUSKIE</w:t>
            </w:r>
          </w:p>
        </w:tc>
        <w:tc>
          <w:tcPr>
            <w:tcW w:w="1417" w:type="dxa"/>
            <w:noWrap/>
            <w:vAlign w:val="center"/>
            <w:hideMark/>
          </w:tcPr>
          <w:p w14:paraId="5951B938" w14:textId="77777777" w:rsidR="00632878" w:rsidRPr="00C27B2F" w:rsidRDefault="00632878" w:rsidP="00C27B2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II</w:t>
            </w:r>
          </w:p>
        </w:tc>
      </w:tr>
      <w:tr w:rsidR="00632878" w:rsidRPr="00C27B2F" w14:paraId="1687CB2B" w14:textId="77777777" w:rsidTr="00632878">
        <w:trPr>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1690A5D1" w14:textId="77777777" w:rsidR="00632878" w:rsidRPr="00C27B2F" w:rsidRDefault="00632878" w:rsidP="00C27B2F">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OPOLSKIE</w:t>
            </w:r>
          </w:p>
        </w:tc>
        <w:tc>
          <w:tcPr>
            <w:tcW w:w="1417" w:type="dxa"/>
            <w:noWrap/>
            <w:vAlign w:val="center"/>
            <w:hideMark/>
          </w:tcPr>
          <w:p w14:paraId="234B3047" w14:textId="77777777" w:rsidR="00632878" w:rsidRPr="00C27B2F" w:rsidRDefault="00632878" w:rsidP="00C27B2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II</w:t>
            </w:r>
          </w:p>
        </w:tc>
      </w:tr>
      <w:tr w:rsidR="00632878" w:rsidRPr="00C27B2F" w14:paraId="02296018" w14:textId="77777777" w:rsidTr="0063287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7289ED03" w14:textId="77777777" w:rsidR="00632878" w:rsidRPr="00C27B2F" w:rsidRDefault="00632878" w:rsidP="00C27B2F">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ŚWIĘTOKRZYSKIE</w:t>
            </w:r>
          </w:p>
        </w:tc>
        <w:tc>
          <w:tcPr>
            <w:tcW w:w="1417" w:type="dxa"/>
            <w:noWrap/>
            <w:vAlign w:val="center"/>
            <w:hideMark/>
          </w:tcPr>
          <w:p w14:paraId="7FE15290" w14:textId="77777777" w:rsidR="00632878" w:rsidRPr="00C27B2F" w:rsidRDefault="00632878" w:rsidP="00C27B2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II</w:t>
            </w:r>
          </w:p>
        </w:tc>
      </w:tr>
      <w:tr w:rsidR="00632878" w:rsidRPr="00C27B2F" w14:paraId="0A455B80" w14:textId="77777777" w:rsidTr="00632878">
        <w:trPr>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08581CEA" w14:textId="77777777" w:rsidR="00632878" w:rsidRPr="00C27B2F" w:rsidRDefault="00632878" w:rsidP="00C27B2F">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WARMIŃSKO-MAZURSKIE</w:t>
            </w:r>
          </w:p>
        </w:tc>
        <w:tc>
          <w:tcPr>
            <w:tcW w:w="1417" w:type="dxa"/>
            <w:noWrap/>
            <w:vAlign w:val="center"/>
            <w:hideMark/>
          </w:tcPr>
          <w:p w14:paraId="0EE1DF6F" w14:textId="77777777" w:rsidR="00632878" w:rsidRPr="00C27B2F" w:rsidRDefault="00632878" w:rsidP="00632878">
            <w:pPr>
              <w:keepNext/>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II</w:t>
            </w:r>
          </w:p>
        </w:tc>
      </w:tr>
    </w:tbl>
    <w:p w14:paraId="5572E238" w14:textId="34909830" w:rsidR="00632878" w:rsidRDefault="00632878" w:rsidP="0018183C">
      <w:pPr>
        <w:pStyle w:val="Legenda"/>
        <w:jc w:val="center"/>
      </w:pPr>
      <w:r>
        <w:t xml:space="preserve">Tabela </w:t>
      </w:r>
      <w:fldSimple w:instr=" SEQ Tabela \* ARABIC ">
        <w:r w:rsidR="00EF2DB4">
          <w:rPr>
            <w:noProof/>
          </w:rPr>
          <w:t>8</w:t>
        </w:r>
      </w:fldSimple>
      <w:r>
        <w:t xml:space="preserve">. </w:t>
      </w:r>
      <w:r w:rsidRPr="00115366">
        <w:t>Wyniki zastosowania metody k-średnich dla dwóch klastrów.</w:t>
      </w:r>
    </w:p>
    <w:p w14:paraId="56D8D06E" w14:textId="3C652B04" w:rsidR="00C27B2F" w:rsidRDefault="00C27B2F" w:rsidP="00D46410">
      <w:r>
        <w:tab/>
        <w:t>W celu dalszej analizy, poniżej znajdują się średnie poszczególnych zmiennych w tych grupach.</w:t>
      </w:r>
    </w:p>
    <w:tbl>
      <w:tblPr>
        <w:tblW w:w="9581" w:type="dxa"/>
        <w:jc w:val="center"/>
        <w:tblCellMar>
          <w:left w:w="70" w:type="dxa"/>
          <w:right w:w="70" w:type="dxa"/>
        </w:tblCellMar>
        <w:tblLook w:val="04A0" w:firstRow="1" w:lastRow="0" w:firstColumn="1" w:lastColumn="0" w:noHBand="0" w:noVBand="1"/>
      </w:tblPr>
      <w:tblGrid>
        <w:gridCol w:w="737"/>
        <w:gridCol w:w="737"/>
        <w:gridCol w:w="737"/>
        <w:gridCol w:w="737"/>
        <w:gridCol w:w="737"/>
        <w:gridCol w:w="737"/>
        <w:gridCol w:w="737"/>
        <w:gridCol w:w="737"/>
        <w:gridCol w:w="737"/>
        <w:gridCol w:w="737"/>
        <w:gridCol w:w="737"/>
        <w:gridCol w:w="737"/>
        <w:gridCol w:w="737"/>
      </w:tblGrid>
      <w:tr w:rsidR="00FE1405" w:rsidRPr="00FE1405" w14:paraId="06235469" w14:textId="77777777" w:rsidTr="00FE1405">
        <w:trPr>
          <w:trHeight w:val="454"/>
          <w:jc w:val="center"/>
        </w:trPr>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7B056C1" w14:textId="00AA8BED" w:rsidR="00FE1405" w:rsidRPr="00FE1405" w:rsidRDefault="00FE1405" w:rsidP="00FE1405">
            <w:pPr>
              <w:spacing w:before="0" w:after="0" w:line="240" w:lineRule="auto"/>
              <w:jc w:val="center"/>
              <w:rPr>
                <w:rFonts w:eastAsia="Times New Roman"/>
                <w:b/>
                <w:bCs/>
                <w:color w:val="000000"/>
                <w:sz w:val="22"/>
                <w:lang w:eastAsia="pl-PL"/>
              </w:rPr>
            </w:pP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2FD035B" w14:textId="77777777" w:rsidR="00FE1405" w:rsidRPr="00FE1405" w:rsidRDefault="00FE1405" w:rsidP="00FE1405">
            <w:pPr>
              <w:spacing w:before="0" w:after="0" w:line="240" w:lineRule="auto"/>
              <w:jc w:val="center"/>
              <w:rPr>
                <w:rFonts w:eastAsia="Times New Roman"/>
                <w:b/>
                <w:bCs/>
                <w:color w:val="000000"/>
                <w:sz w:val="22"/>
                <w:lang w:eastAsia="pl-PL"/>
              </w:rPr>
            </w:pPr>
            <w:r w:rsidRPr="00FE1405">
              <w:rPr>
                <w:rFonts w:eastAsia="Times New Roman"/>
                <w:b/>
                <w:bCs/>
                <w:color w:val="000000"/>
                <w:sz w:val="22"/>
                <w:lang w:eastAsia="pl-PL"/>
              </w:rPr>
              <w:t>X1</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F767A59" w14:textId="77777777" w:rsidR="00FE1405" w:rsidRPr="00FE1405" w:rsidRDefault="00FE1405" w:rsidP="00FE1405">
            <w:pPr>
              <w:spacing w:before="0" w:after="0" w:line="240" w:lineRule="auto"/>
              <w:jc w:val="center"/>
              <w:rPr>
                <w:rFonts w:eastAsia="Times New Roman"/>
                <w:b/>
                <w:bCs/>
                <w:color w:val="000000"/>
                <w:sz w:val="22"/>
                <w:lang w:eastAsia="pl-PL"/>
              </w:rPr>
            </w:pPr>
            <w:r w:rsidRPr="00FE1405">
              <w:rPr>
                <w:rFonts w:eastAsia="Times New Roman"/>
                <w:b/>
                <w:bCs/>
                <w:color w:val="000000"/>
                <w:sz w:val="22"/>
                <w:lang w:eastAsia="pl-PL"/>
              </w:rPr>
              <w:t>X2</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F407C53" w14:textId="77777777" w:rsidR="00FE1405" w:rsidRPr="00FE1405" w:rsidRDefault="00FE1405" w:rsidP="00FE1405">
            <w:pPr>
              <w:spacing w:before="0" w:after="0" w:line="240" w:lineRule="auto"/>
              <w:jc w:val="center"/>
              <w:rPr>
                <w:rFonts w:eastAsia="Times New Roman"/>
                <w:b/>
                <w:bCs/>
                <w:color w:val="000000"/>
                <w:sz w:val="22"/>
                <w:lang w:eastAsia="pl-PL"/>
              </w:rPr>
            </w:pPr>
            <w:r w:rsidRPr="00FE1405">
              <w:rPr>
                <w:rFonts w:eastAsia="Times New Roman"/>
                <w:b/>
                <w:bCs/>
                <w:color w:val="000000"/>
                <w:sz w:val="22"/>
                <w:lang w:eastAsia="pl-PL"/>
              </w:rPr>
              <w:t>X3</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7EE6DBF" w14:textId="77777777" w:rsidR="00FE1405" w:rsidRPr="00FE1405" w:rsidRDefault="00FE1405" w:rsidP="00FE1405">
            <w:pPr>
              <w:spacing w:before="0" w:after="0" w:line="240" w:lineRule="auto"/>
              <w:jc w:val="center"/>
              <w:rPr>
                <w:rFonts w:eastAsia="Times New Roman"/>
                <w:b/>
                <w:bCs/>
                <w:color w:val="000000"/>
                <w:sz w:val="22"/>
                <w:lang w:eastAsia="pl-PL"/>
              </w:rPr>
            </w:pPr>
            <w:r w:rsidRPr="00FE1405">
              <w:rPr>
                <w:rFonts w:eastAsia="Times New Roman"/>
                <w:b/>
                <w:bCs/>
                <w:color w:val="000000"/>
                <w:sz w:val="22"/>
                <w:lang w:eastAsia="pl-PL"/>
              </w:rPr>
              <w:t>X4</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0F4F9F3" w14:textId="77777777" w:rsidR="00FE1405" w:rsidRPr="00FE1405" w:rsidRDefault="00FE1405" w:rsidP="00FE1405">
            <w:pPr>
              <w:spacing w:before="0" w:after="0" w:line="240" w:lineRule="auto"/>
              <w:jc w:val="center"/>
              <w:rPr>
                <w:rFonts w:eastAsia="Times New Roman"/>
                <w:b/>
                <w:bCs/>
                <w:color w:val="000000"/>
                <w:sz w:val="22"/>
                <w:lang w:eastAsia="pl-PL"/>
              </w:rPr>
            </w:pPr>
            <w:r w:rsidRPr="00FE1405">
              <w:rPr>
                <w:rFonts w:eastAsia="Times New Roman"/>
                <w:b/>
                <w:bCs/>
                <w:color w:val="000000"/>
                <w:sz w:val="22"/>
                <w:lang w:eastAsia="pl-PL"/>
              </w:rPr>
              <w:t>X5</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125B6A5" w14:textId="77777777" w:rsidR="00FE1405" w:rsidRPr="00FE1405" w:rsidRDefault="00FE1405" w:rsidP="00FE1405">
            <w:pPr>
              <w:spacing w:before="0" w:after="0" w:line="240" w:lineRule="auto"/>
              <w:jc w:val="center"/>
              <w:rPr>
                <w:rFonts w:eastAsia="Times New Roman"/>
                <w:b/>
                <w:bCs/>
                <w:color w:val="000000"/>
                <w:sz w:val="22"/>
                <w:lang w:eastAsia="pl-PL"/>
              </w:rPr>
            </w:pPr>
            <w:r w:rsidRPr="00FE1405">
              <w:rPr>
                <w:rFonts w:eastAsia="Times New Roman"/>
                <w:b/>
                <w:bCs/>
                <w:color w:val="000000"/>
                <w:sz w:val="22"/>
                <w:lang w:eastAsia="pl-PL"/>
              </w:rPr>
              <w:t>X6</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EDCA9D6" w14:textId="77777777" w:rsidR="00FE1405" w:rsidRPr="00FE1405" w:rsidRDefault="00FE1405" w:rsidP="00FE1405">
            <w:pPr>
              <w:spacing w:before="0" w:after="0" w:line="240" w:lineRule="auto"/>
              <w:jc w:val="center"/>
              <w:rPr>
                <w:rFonts w:eastAsia="Times New Roman"/>
                <w:b/>
                <w:bCs/>
                <w:color w:val="000000"/>
                <w:sz w:val="22"/>
                <w:lang w:eastAsia="pl-PL"/>
              </w:rPr>
            </w:pPr>
            <w:r w:rsidRPr="00FE1405">
              <w:rPr>
                <w:rFonts w:eastAsia="Times New Roman"/>
                <w:b/>
                <w:bCs/>
                <w:color w:val="000000"/>
                <w:sz w:val="22"/>
                <w:lang w:eastAsia="pl-PL"/>
              </w:rPr>
              <w:t>X7</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26C6509" w14:textId="77777777" w:rsidR="00FE1405" w:rsidRPr="00FE1405" w:rsidRDefault="00FE1405" w:rsidP="00FE1405">
            <w:pPr>
              <w:spacing w:before="0" w:after="0" w:line="240" w:lineRule="auto"/>
              <w:jc w:val="center"/>
              <w:rPr>
                <w:rFonts w:eastAsia="Times New Roman"/>
                <w:b/>
                <w:bCs/>
                <w:color w:val="000000"/>
                <w:sz w:val="22"/>
                <w:lang w:eastAsia="pl-PL"/>
              </w:rPr>
            </w:pPr>
            <w:r w:rsidRPr="00FE1405">
              <w:rPr>
                <w:rFonts w:eastAsia="Times New Roman"/>
                <w:b/>
                <w:bCs/>
                <w:color w:val="000000"/>
                <w:sz w:val="22"/>
                <w:lang w:eastAsia="pl-PL"/>
              </w:rPr>
              <w:t>X8</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36CF27F" w14:textId="77777777" w:rsidR="00FE1405" w:rsidRPr="00FE1405" w:rsidRDefault="00FE1405" w:rsidP="00FE1405">
            <w:pPr>
              <w:spacing w:before="0" w:after="0" w:line="240" w:lineRule="auto"/>
              <w:jc w:val="center"/>
              <w:rPr>
                <w:rFonts w:eastAsia="Times New Roman"/>
                <w:b/>
                <w:bCs/>
                <w:color w:val="000000"/>
                <w:sz w:val="22"/>
                <w:lang w:eastAsia="pl-PL"/>
              </w:rPr>
            </w:pPr>
            <w:r w:rsidRPr="00FE1405">
              <w:rPr>
                <w:rFonts w:eastAsia="Times New Roman"/>
                <w:b/>
                <w:bCs/>
                <w:color w:val="000000"/>
                <w:sz w:val="22"/>
                <w:lang w:eastAsia="pl-PL"/>
              </w:rPr>
              <w:t>X9</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59FBF04" w14:textId="77777777" w:rsidR="00FE1405" w:rsidRPr="00FE1405" w:rsidRDefault="00FE1405" w:rsidP="00FE1405">
            <w:pPr>
              <w:spacing w:before="0" w:after="0" w:line="240" w:lineRule="auto"/>
              <w:jc w:val="center"/>
              <w:rPr>
                <w:rFonts w:eastAsia="Times New Roman"/>
                <w:b/>
                <w:bCs/>
                <w:color w:val="000000"/>
                <w:sz w:val="22"/>
                <w:lang w:eastAsia="pl-PL"/>
              </w:rPr>
            </w:pPr>
            <w:r w:rsidRPr="00FE1405">
              <w:rPr>
                <w:rFonts w:eastAsia="Times New Roman"/>
                <w:b/>
                <w:bCs/>
                <w:color w:val="000000"/>
                <w:sz w:val="22"/>
                <w:lang w:eastAsia="pl-PL"/>
              </w:rPr>
              <w:t>X10</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C6FBDDD" w14:textId="77777777" w:rsidR="00FE1405" w:rsidRPr="00FE1405" w:rsidRDefault="00FE1405" w:rsidP="00FE1405">
            <w:pPr>
              <w:spacing w:before="0" w:after="0" w:line="240" w:lineRule="auto"/>
              <w:jc w:val="center"/>
              <w:rPr>
                <w:rFonts w:eastAsia="Times New Roman"/>
                <w:b/>
                <w:bCs/>
                <w:color w:val="000000"/>
                <w:sz w:val="22"/>
                <w:lang w:eastAsia="pl-PL"/>
              </w:rPr>
            </w:pPr>
            <w:r w:rsidRPr="00FE1405">
              <w:rPr>
                <w:rFonts w:eastAsia="Times New Roman"/>
                <w:b/>
                <w:bCs/>
                <w:color w:val="000000"/>
                <w:sz w:val="22"/>
                <w:lang w:eastAsia="pl-PL"/>
              </w:rPr>
              <w:t>X11</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5D3B714" w14:textId="77777777" w:rsidR="00FE1405" w:rsidRPr="00FE1405" w:rsidRDefault="00FE1405" w:rsidP="00FE1405">
            <w:pPr>
              <w:spacing w:before="0" w:after="0" w:line="240" w:lineRule="auto"/>
              <w:jc w:val="center"/>
              <w:rPr>
                <w:rFonts w:eastAsia="Times New Roman"/>
                <w:b/>
                <w:bCs/>
                <w:color w:val="000000"/>
                <w:sz w:val="22"/>
                <w:lang w:eastAsia="pl-PL"/>
              </w:rPr>
            </w:pPr>
            <w:r w:rsidRPr="00FE1405">
              <w:rPr>
                <w:rFonts w:eastAsia="Times New Roman"/>
                <w:b/>
                <w:bCs/>
                <w:color w:val="000000"/>
                <w:sz w:val="22"/>
                <w:lang w:eastAsia="pl-PL"/>
              </w:rPr>
              <w:t>X12</w:t>
            </w:r>
          </w:p>
        </w:tc>
      </w:tr>
      <w:tr w:rsidR="00632878" w:rsidRPr="00FE1405" w14:paraId="08375CC0" w14:textId="77777777" w:rsidTr="00632878">
        <w:trPr>
          <w:trHeight w:val="454"/>
          <w:jc w:val="center"/>
        </w:trPr>
        <w:tc>
          <w:tcPr>
            <w:tcW w:w="73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469E0F7" w14:textId="77777777" w:rsidR="00FE1405" w:rsidRPr="00FE1405" w:rsidRDefault="00FE1405" w:rsidP="00FE1405">
            <w:pPr>
              <w:spacing w:before="0" w:after="0" w:line="240" w:lineRule="auto"/>
              <w:jc w:val="center"/>
              <w:rPr>
                <w:rFonts w:eastAsia="Times New Roman"/>
                <w:b/>
                <w:bCs/>
                <w:color w:val="000000"/>
                <w:sz w:val="22"/>
                <w:lang w:eastAsia="pl-PL"/>
              </w:rPr>
            </w:pPr>
            <w:r w:rsidRPr="00FE1405">
              <w:rPr>
                <w:rFonts w:eastAsia="Times New Roman"/>
                <w:b/>
                <w:bCs/>
                <w:color w:val="000000"/>
                <w:sz w:val="22"/>
                <w:lang w:eastAsia="pl-PL"/>
              </w:rPr>
              <w:t>gr. I</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3CE82CA3" w14:textId="77777777" w:rsidR="00FE1405" w:rsidRPr="00FE1405" w:rsidRDefault="00FE1405" w:rsidP="00FE1405">
            <w:pPr>
              <w:spacing w:before="0" w:after="0" w:line="240" w:lineRule="auto"/>
              <w:jc w:val="center"/>
              <w:rPr>
                <w:rFonts w:eastAsia="Times New Roman"/>
                <w:color w:val="000000"/>
                <w:sz w:val="22"/>
                <w:lang w:eastAsia="pl-PL"/>
              </w:rPr>
            </w:pPr>
            <w:r w:rsidRPr="00FE1405">
              <w:rPr>
                <w:rFonts w:eastAsia="Times New Roman"/>
                <w:color w:val="000000"/>
                <w:sz w:val="22"/>
                <w:lang w:eastAsia="pl-PL"/>
              </w:rPr>
              <w:t>1,008</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320538F1" w14:textId="77777777" w:rsidR="00FE1405" w:rsidRPr="00FE1405" w:rsidRDefault="00FE1405" w:rsidP="00FE1405">
            <w:pPr>
              <w:spacing w:before="0" w:after="0" w:line="240" w:lineRule="auto"/>
              <w:jc w:val="center"/>
              <w:rPr>
                <w:rFonts w:eastAsia="Times New Roman"/>
                <w:color w:val="000000"/>
                <w:sz w:val="22"/>
                <w:lang w:eastAsia="pl-PL"/>
              </w:rPr>
            </w:pPr>
            <w:r w:rsidRPr="00FE1405">
              <w:rPr>
                <w:rFonts w:eastAsia="Times New Roman"/>
                <w:color w:val="000000"/>
                <w:sz w:val="22"/>
                <w:lang w:eastAsia="pl-PL"/>
              </w:rPr>
              <w:t>-0,750</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0D663338" w14:textId="77777777" w:rsidR="00FE1405" w:rsidRPr="00FE1405" w:rsidRDefault="00FE1405" w:rsidP="00FE1405">
            <w:pPr>
              <w:spacing w:before="0" w:after="0" w:line="240" w:lineRule="auto"/>
              <w:jc w:val="center"/>
              <w:rPr>
                <w:rFonts w:eastAsia="Times New Roman"/>
                <w:color w:val="000000"/>
                <w:sz w:val="22"/>
                <w:lang w:eastAsia="pl-PL"/>
              </w:rPr>
            </w:pPr>
            <w:r w:rsidRPr="00FE1405">
              <w:rPr>
                <w:rFonts w:eastAsia="Times New Roman"/>
                <w:color w:val="000000"/>
                <w:sz w:val="22"/>
                <w:lang w:eastAsia="pl-PL"/>
              </w:rPr>
              <w:t>0,857</w:t>
            </w:r>
          </w:p>
        </w:tc>
        <w:tc>
          <w:tcPr>
            <w:tcW w:w="737" w:type="dxa"/>
            <w:tcBorders>
              <w:top w:val="nil"/>
              <w:left w:val="nil"/>
              <w:bottom w:val="single" w:sz="4" w:space="0" w:color="auto"/>
              <w:right w:val="single" w:sz="4" w:space="0" w:color="auto"/>
            </w:tcBorders>
            <w:shd w:val="clear" w:color="auto" w:fill="auto"/>
            <w:noWrap/>
            <w:vAlign w:val="center"/>
            <w:hideMark/>
          </w:tcPr>
          <w:p w14:paraId="24C7B1A1" w14:textId="77777777" w:rsidR="00FE1405" w:rsidRPr="00FE1405" w:rsidRDefault="00FE1405" w:rsidP="00FE1405">
            <w:pPr>
              <w:spacing w:before="0" w:after="0" w:line="240" w:lineRule="auto"/>
              <w:jc w:val="center"/>
              <w:rPr>
                <w:rFonts w:eastAsia="Times New Roman"/>
                <w:color w:val="000000"/>
                <w:sz w:val="22"/>
                <w:lang w:eastAsia="pl-PL"/>
              </w:rPr>
            </w:pPr>
            <w:r w:rsidRPr="00FE1405">
              <w:rPr>
                <w:rFonts w:eastAsia="Times New Roman"/>
                <w:color w:val="000000"/>
                <w:sz w:val="22"/>
                <w:lang w:eastAsia="pl-PL"/>
              </w:rPr>
              <w:t>0,848</w:t>
            </w:r>
          </w:p>
        </w:tc>
        <w:tc>
          <w:tcPr>
            <w:tcW w:w="737" w:type="dxa"/>
            <w:tcBorders>
              <w:top w:val="nil"/>
              <w:left w:val="nil"/>
              <w:bottom w:val="single" w:sz="4" w:space="0" w:color="auto"/>
              <w:right w:val="single" w:sz="4" w:space="0" w:color="auto"/>
            </w:tcBorders>
            <w:shd w:val="clear" w:color="auto" w:fill="auto"/>
            <w:noWrap/>
            <w:vAlign w:val="center"/>
            <w:hideMark/>
          </w:tcPr>
          <w:p w14:paraId="1BF62F81" w14:textId="77777777" w:rsidR="00FE1405" w:rsidRPr="00FE1405" w:rsidRDefault="00FE1405" w:rsidP="00FE1405">
            <w:pPr>
              <w:spacing w:before="0" w:after="0" w:line="240" w:lineRule="auto"/>
              <w:jc w:val="center"/>
              <w:rPr>
                <w:rFonts w:eastAsia="Times New Roman"/>
                <w:color w:val="000000"/>
                <w:sz w:val="22"/>
                <w:lang w:eastAsia="pl-PL"/>
              </w:rPr>
            </w:pPr>
            <w:r w:rsidRPr="00FE1405">
              <w:rPr>
                <w:rFonts w:eastAsia="Times New Roman"/>
                <w:color w:val="000000"/>
                <w:sz w:val="22"/>
                <w:lang w:eastAsia="pl-PL"/>
              </w:rPr>
              <w:t>-0,242</w:t>
            </w:r>
          </w:p>
        </w:tc>
        <w:tc>
          <w:tcPr>
            <w:tcW w:w="737" w:type="dxa"/>
            <w:tcBorders>
              <w:top w:val="nil"/>
              <w:left w:val="nil"/>
              <w:bottom w:val="single" w:sz="4" w:space="0" w:color="auto"/>
              <w:right w:val="single" w:sz="4" w:space="0" w:color="auto"/>
            </w:tcBorders>
            <w:shd w:val="clear" w:color="auto" w:fill="auto"/>
            <w:noWrap/>
            <w:vAlign w:val="center"/>
            <w:hideMark/>
          </w:tcPr>
          <w:p w14:paraId="4E891C50" w14:textId="77777777" w:rsidR="00FE1405" w:rsidRPr="00FE1405" w:rsidRDefault="00FE1405" w:rsidP="00FE1405">
            <w:pPr>
              <w:spacing w:before="0" w:after="0" w:line="240" w:lineRule="auto"/>
              <w:jc w:val="center"/>
              <w:rPr>
                <w:rFonts w:eastAsia="Times New Roman"/>
                <w:color w:val="000000"/>
                <w:sz w:val="22"/>
                <w:lang w:eastAsia="pl-PL"/>
              </w:rPr>
            </w:pPr>
            <w:r w:rsidRPr="00FE1405">
              <w:rPr>
                <w:rFonts w:eastAsia="Times New Roman"/>
                <w:color w:val="000000"/>
                <w:sz w:val="22"/>
                <w:lang w:eastAsia="pl-PL"/>
              </w:rPr>
              <w:t>0,736</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7D100898" w14:textId="77777777" w:rsidR="00FE1405" w:rsidRPr="00FE1405" w:rsidRDefault="00FE1405" w:rsidP="00FE1405">
            <w:pPr>
              <w:spacing w:before="0" w:after="0" w:line="240" w:lineRule="auto"/>
              <w:jc w:val="center"/>
              <w:rPr>
                <w:rFonts w:eastAsia="Times New Roman"/>
                <w:color w:val="000000"/>
                <w:sz w:val="22"/>
                <w:lang w:eastAsia="pl-PL"/>
              </w:rPr>
            </w:pPr>
            <w:r w:rsidRPr="00FE1405">
              <w:rPr>
                <w:rFonts w:eastAsia="Times New Roman"/>
                <w:color w:val="000000"/>
                <w:sz w:val="22"/>
                <w:lang w:eastAsia="pl-PL"/>
              </w:rPr>
              <w:t>0,567</w:t>
            </w:r>
          </w:p>
        </w:tc>
        <w:tc>
          <w:tcPr>
            <w:tcW w:w="737" w:type="dxa"/>
            <w:tcBorders>
              <w:top w:val="nil"/>
              <w:left w:val="nil"/>
              <w:bottom w:val="single" w:sz="4" w:space="0" w:color="auto"/>
              <w:right w:val="single" w:sz="4" w:space="0" w:color="auto"/>
            </w:tcBorders>
            <w:shd w:val="clear" w:color="auto" w:fill="auto"/>
            <w:noWrap/>
            <w:vAlign w:val="center"/>
            <w:hideMark/>
          </w:tcPr>
          <w:p w14:paraId="6B269FC2" w14:textId="77777777" w:rsidR="00FE1405" w:rsidRPr="00FE1405" w:rsidRDefault="00FE1405" w:rsidP="00FE1405">
            <w:pPr>
              <w:spacing w:before="0" w:after="0" w:line="240" w:lineRule="auto"/>
              <w:jc w:val="center"/>
              <w:rPr>
                <w:rFonts w:eastAsia="Times New Roman"/>
                <w:color w:val="000000"/>
                <w:sz w:val="22"/>
                <w:lang w:eastAsia="pl-PL"/>
              </w:rPr>
            </w:pPr>
            <w:r w:rsidRPr="00FE1405">
              <w:rPr>
                <w:rFonts w:eastAsia="Times New Roman"/>
                <w:color w:val="000000"/>
                <w:sz w:val="22"/>
                <w:lang w:eastAsia="pl-PL"/>
              </w:rPr>
              <w:t>0,605</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43CBCEEF" w14:textId="77777777" w:rsidR="00FE1405" w:rsidRPr="00FE1405" w:rsidRDefault="00FE1405" w:rsidP="00FE1405">
            <w:pPr>
              <w:spacing w:before="0" w:after="0" w:line="240" w:lineRule="auto"/>
              <w:jc w:val="center"/>
              <w:rPr>
                <w:rFonts w:eastAsia="Times New Roman"/>
                <w:color w:val="000000"/>
                <w:sz w:val="22"/>
                <w:lang w:eastAsia="pl-PL"/>
              </w:rPr>
            </w:pPr>
            <w:r w:rsidRPr="00FE1405">
              <w:rPr>
                <w:rFonts w:eastAsia="Times New Roman"/>
                <w:color w:val="000000"/>
                <w:sz w:val="22"/>
                <w:lang w:eastAsia="pl-PL"/>
              </w:rPr>
              <w:t>0,602</w:t>
            </w:r>
          </w:p>
        </w:tc>
        <w:tc>
          <w:tcPr>
            <w:tcW w:w="737" w:type="dxa"/>
            <w:tcBorders>
              <w:top w:val="nil"/>
              <w:left w:val="nil"/>
              <w:bottom w:val="single" w:sz="4" w:space="0" w:color="auto"/>
              <w:right w:val="single" w:sz="4" w:space="0" w:color="auto"/>
            </w:tcBorders>
            <w:shd w:val="clear" w:color="auto" w:fill="auto"/>
            <w:noWrap/>
            <w:vAlign w:val="center"/>
            <w:hideMark/>
          </w:tcPr>
          <w:p w14:paraId="7CCE9198" w14:textId="77777777" w:rsidR="00FE1405" w:rsidRPr="00FE1405" w:rsidRDefault="00FE1405" w:rsidP="00FE1405">
            <w:pPr>
              <w:spacing w:before="0" w:after="0" w:line="240" w:lineRule="auto"/>
              <w:jc w:val="center"/>
              <w:rPr>
                <w:rFonts w:eastAsia="Times New Roman"/>
                <w:color w:val="000000"/>
                <w:sz w:val="22"/>
                <w:lang w:eastAsia="pl-PL"/>
              </w:rPr>
            </w:pPr>
            <w:r w:rsidRPr="00FE1405">
              <w:rPr>
                <w:rFonts w:eastAsia="Times New Roman"/>
                <w:color w:val="000000"/>
                <w:sz w:val="22"/>
                <w:lang w:eastAsia="pl-PL"/>
              </w:rPr>
              <w:t>0,709</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1BB46E34" w14:textId="77777777" w:rsidR="00FE1405" w:rsidRPr="00FE1405" w:rsidRDefault="00FE1405" w:rsidP="00FE1405">
            <w:pPr>
              <w:spacing w:before="0" w:after="0" w:line="240" w:lineRule="auto"/>
              <w:jc w:val="center"/>
              <w:rPr>
                <w:rFonts w:eastAsia="Times New Roman"/>
                <w:color w:val="000000"/>
                <w:sz w:val="22"/>
                <w:lang w:eastAsia="pl-PL"/>
              </w:rPr>
            </w:pPr>
            <w:r w:rsidRPr="00FE1405">
              <w:rPr>
                <w:rFonts w:eastAsia="Times New Roman"/>
                <w:color w:val="000000"/>
                <w:sz w:val="22"/>
                <w:lang w:eastAsia="pl-PL"/>
              </w:rPr>
              <w:t>0,283</w:t>
            </w:r>
          </w:p>
        </w:tc>
        <w:tc>
          <w:tcPr>
            <w:tcW w:w="737" w:type="dxa"/>
            <w:tcBorders>
              <w:top w:val="nil"/>
              <w:left w:val="nil"/>
              <w:bottom w:val="single" w:sz="4" w:space="0" w:color="auto"/>
              <w:right w:val="single" w:sz="4" w:space="0" w:color="auto"/>
            </w:tcBorders>
            <w:shd w:val="clear" w:color="auto" w:fill="auto"/>
            <w:noWrap/>
            <w:vAlign w:val="center"/>
            <w:hideMark/>
          </w:tcPr>
          <w:p w14:paraId="73F48FA3" w14:textId="77777777" w:rsidR="00FE1405" w:rsidRPr="00FE1405" w:rsidRDefault="00FE1405" w:rsidP="00FE1405">
            <w:pPr>
              <w:spacing w:before="0" w:after="0" w:line="240" w:lineRule="auto"/>
              <w:jc w:val="center"/>
              <w:rPr>
                <w:rFonts w:eastAsia="Times New Roman"/>
                <w:color w:val="000000"/>
                <w:sz w:val="22"/>
                <w:lang w:eastAsia="pl-PL"/>
              </w:rPr>
            </w:pPr>
            <w:r w:rsidRPr="00FE1405">
              <w:rPr>
                <w:rFonts w:eastAsia="Times New Roman"/>
                <w:color w:val="000000"/>
                <w:sz w:val="22"/>
                <w:lang w:eastAsia="pl-PL"/>
              </w:rPr>
              <w:t>0,657</w:t>
            </w:r>
          </w:p>
        </w:tc>
      </w:tr>
      <w:tr w:rsidR="00632878" w:rsidRPr="00FE1405" w14:paraId="5E518A53" w14:textId="77777777" w:rsidTr="00632878">
        <w:trPr>
          <w:trHeight w:val="454"/>
          <w:jc w:val="center"/>
        </w:trPr>
        <w:tc>
          <w:tcPr>
            <w:tcW w:w="73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EEDE0E1" w14:textId="77777777" w:rsidR="00FE1405" w:rsidRPr="00FE1405" w:rsidRDefault="00FE1405" w:rsidP="00FE1405">
            <w:pPr>
              <w:spacing w:before="0" w:after="0" w:line="240" w:lineRule="auto"/>
              <w:jc w:val="center"/>
              <w:rPr>
                <w:rFonts w:eastAsia="Times New Roman"/>
                <w:b/>
                <w:bCs/>
                <w:color w:val="000000"/>
                <w:sz w:val="22"/>
                <w:lang w:eastAsia="pl-PL"/>
              </w:rPr>
            </w:pPr>
            <w:r w:rsidRPr="00FE1405">
              <w:rPr>
                <w:rFonts w:eastAsia="Times New Roman"/>
                <w:b/>
                <w:bCs/>
                <w:color w:val="000000"/>
                <w:sz w:val="22"/>
                <w:lang w:eastAsia="pl-PL"/>
              </w:rPr>
              <w:t>gr. II</w:t>
            </w:r>
          </w:p>
        </w:tc>
        <w:tc>
          <w:tcPr>
            <w:tcW w:w="737" w:type="dxa"/>
            <w:tcBorders>
              <w:top w:val="nil"/>
              <w:left w:val="nil"/>
              <w:bottom w:val="single" w:sz="4" w:space="0" w:color="auto"/>
              <w:right w:val="single" w:sz="4" w:space="0" w:color="auto"/>
            </w:tcBorders>
            <w:shd w:val="clear" w:color="auto" w:fill="auto"/>
            <w:noWrap/>
            <w:vAlign w:val="center"/>
            <w:hideMark/>
          </w:tcPr>
          <w:p w14:paraId="16D8FB3F" w14:textId="77777777" w:rsidR="00FE1405" w:rsidRPr="00FE1405" w:rsidRDefault="00FE1405" w:rsidP="00FE1405">
            <w:pPr>
              <w:spacing w:before="0" w:after="0" w:line="240" w:lineRule="auto"/>
              <w:jc w:val="center"/>
              <w:rPr>
                <w:rFonts w:eastAsia="Times New Roman"/>
                <w:color w:val="000000"/>
                <w:sz w:val="22"/>
                <w:lang w:eastAsia="pl-PL"/>
              </w:rPr>
            </w:pPr>
            <w:r w:rsidRPr="00FE1405">
              <w:rPr>
                <w:rFonts w:eastAsia="Times New Roman"/>
                <w:color w:val="000000"/>
                <w:sz w:val="22"/>
                <w:lang w:eastAsia="pl-PL"/>
              </w:rPr>
              <w:t>-0,605</w:t>
            </w:r>
          </w:p>
        </w:tc>
        <w:tc>
          <w:tcPr>
            <w:tcW w:w="737" w:type="dxa"/>
            <w:tcBorders>
              <w:top w:val="nil"/>
              <w:left w:val="nil"/>
              <w:bottom w:val="single" w:sz="4" w:space="0" w:color="auto"/>
              <w:right w:val="single" w:sz="4" w:space="0" w:color="auto"/>
            </w:tcBorders>
            <w:shd w:val="clear" w:color="auto" w:fill="auto"/>
            <w:noWrap/>
            <w:vAlign w:val="center"/>
            <w:hideMark/>
          </w:tcPr>
          <w:p w14:paraId="1D2B5BC2" w14:textId="77777777" w:rsidR="00FE1405" w:rsidRPr="00FE1405" w:rsidRDefault="00FE1405" w:rsidP="00FE1405">
            <w:pPr>
              <w:spacing w:before="0" w:after="0" w:line="240" w:lineRule="auto"/>
              <w:jc w:val="center"/>
              <w:rPr>
                <w:rFonts w:eastAsia="Times New Roman"/>
                <w:color w:val="000000"/>
                <w:sz w:val="22"/>
                <w:lang w:eastAsia="pl-PL"/>
              </w:rPr>
            </w:pPr>
            <w:r w:rsidRPr="00FE1405">
              <w:rPr>
                <w:rFonts w:eastAsia="Times New Roman"/>
                <w:color w:val="000000"/>
                <w:sz w:val="22"/>
                <w:lang w:eastAsia="pl-PL"/>
              </w:rPr>
              <w:t>0,450</w:t>
            </w:r>
          </w:p>
        </w:tc>
        <w:tc>
          <w:tcPr>
            <w:tcW w:w="737" w:type="dxa"/>
            <w:tcBorders>
              <w:top w:val="nil"/>
              <w:left w:val="nil"/>
              <w:bottom w:val="single" w:sz="4" w:space="0" w:color="auto"/>
              <w:right w:val="single" w:sz="4" w:space="0" w:color="auto"/>
            </w:tcBorders>
            <w:shd w:val="clear" w:color="auto" w:fill="auto"/>
            <w:noWrap/>
            <w:vAlign w:val="center"/>
            <w:hideMark/>
          </w:tcPr>
          <w:p w14:paraId="236BD9F9" w14:textId="77777777" w:rsidR="00FE1405" w:rsidRPr="00FE1405" w:rsidRDefault="00FE1405" w:rsidP="00FE1405">
            <w:pPr>
              <w:spacing w:before="0" w:after="0" w:line="240" w:lineRule="auto"/>
              <w:jc w:val="center"/>
              <w:rPr>
                <w:rFonts w:eastAsia="Times New Roman"/>
                <w:color w:val="000000"/>
                <w:sz w:val="22"/>
                <w:lang w:eastAsia="pl-PL"/>
              </w:rPr>
            </w:pPr>
            <w:r w:rsidRPr="00FE1405">
              <w:rPr>
                <w:rFonts w:eastAsia="Times New Roman"/>
                <w:color w:val="000000"/>
                <w:sz w:val="22"/>
                <w:lang w:eastAsia="pl-PL"/>
              </w:rPr>
              <w:t>-0,514</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7B95FDA5" w14:textId="77777777" w:rsidR="00FE1405" w:rsidRPr="00FE1405" w:rsidRDefault="00FE1405" w:rsidP="00FE1405">
            <w:pPr>
              <w:spacing w:before="0" w:after="0" w:line="240" w:lineRule="auto"/>
              <w:jc w:val="center"/>
              <w:rPr>
                <w:rFonts w:eastAsia="Times New Roman"/>
                <w:color w:val="000000"/>
                <w:sz w:val="22"/>
                <w:lang w:eastAsia="pl-PL"/>
              </w:rPr>
            </w:pPr>
            <w:r w:rsidRPr="00FE1405">
              <w:rPr>
                <w:rFonts w:eastAsia="Times New Roman"/>
                <w:color w:val="000000"/>
                <w:sz w:val="22"/>
                <w:lang w:eastAsia="pl-PL"/>
              </w:rPr>
              <w:t>-0,509</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44309B20" w14:textId="77777777" w:rsidR="00FE1405" w:rsidRPr="00FE1405" w:rsidRDefault="00FE1405" w:rsidP="00FE1405">
            <w:pPr>
              <w:spacing w:before="0" w:after="0" w:line="240" w:lineRule="auto"/>
              <w:jc w:val="center"/>
              <w:rPr>
                <w:rFonts w:eastAsia="Times New Roman"/>
                <w:color w:val="000000"/>
                <w:sz w:val="22"/>
                <w:lang w:eastAsia="pl-PL"/>
              </w:rPr>
            </w:pPr>
            <w:r w:rsidRPr="00FE1405">
              <w:rPr>
                <w:rFonts w:eastAsia="Times New Roman"/>
                <w:color w:val="000000"/>
                <w:sz w:val="22"/>
                <w:lang w:eastAsia="pl-PL"/>
              </w:rPr>
              <w:t>0,145</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17BC01F4" w14:textId="77777777" w:rsidR="00FE1405" w:rsidRPr="00FE1405" w:rsidRDefault="00FE1405" w:rsidP="00FE1405">
            <w:pPr>
              <w:spacing w:before="0" w:after="0" w:line="240" w:lineRule="auto"/>
              <w:jc w:val="center"/>
              <w:rPr>
                <w:rFonts w:eastAsia="Times New Roman"/>
                <w:color w:val="000000"/>
                <w:sz w:val="22"/>
                <w:lang w:eastAsia="pl-PL"/>
              </w:rPr>
            </w:pPr>
            <w:r w:rsidRPr="00FE1405">
              <w:rPr>
                <w:rFonts w:eastAsia="Times New Roman"/>
                <w:color w:val="000000"/>
                <w:sz w:val="22"/>
                <w:lang w:eastAsia="pl-PL"/>
              </w:rPr>
              <w:t>-0,442</w:t>
            </w:r>
          </w:p>
        </w:tc>
        <w:tc>
          <w:tcPr>
            <w:tcW w:w="737" w:type="dxa"/>
            <w:tcBorders>
              <w:top w:val="nil"/>
              <w:left w:val="nil"/>
              <w:bottom w:val="single" w:sz="4" w:space="0" w:color="auto"/>
              <w:right w:val="single" w:sz="4" w:space="0" w:color="auto"/>
            </w:tcBorders>
            <w:shd w:val="clear" w:color="auto" w:fill="auto"/>
            <w:noWrap/>
            <w:vAlign w:val="center"/>
            <w:hideMark/>
          </w:tcPr>
          <w:p w14:paraId="22A3B3A0" w14:textId="77777777" w:rsidR="00FE1405" w:rsidRPr="00FE1405" w:rsidRDefault="00FE1405" w:rsidP="00FE1405">
            <w:pPr>
              <w:spacing w:before="0" w:after="0" w:line="240" w:lineRule="auto"/>
              <w:jc w:val="center"/>
              <w:rPr>
                <w:rFonts w:eastAsia="Times New Roman"/>
                <w:color w:val="000000"/>
                <w:sz w:val="22"/>
                <w:lang w:eastAsia="pl-PL"/>
              </w:rPr>
            </w:pPr>
            <w:r w:rsidRPr="00FE1405">
              <w:rPr>
                <w:rFonts w:eastAsia="Times New Roman"/>
                <w:color w:val="000000"/>
                <w:sz w:val="22"/>
                <w:lang w:eastAsia="pl-PL"/>
              </w:rPr>
              <w:t>-0,340</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7D2ECDA0" w14:textId="77777777" w:rsidR="00FE1405" w:rsidRPr="00FE1405" w:rsidRDefault="00FE1405" w:rsidP="00FE1405">
            <w:pPr>
              <w:spacing w:before="0" w:after="0" w:line="240" w:lineRule="auto"/>
              <w:jc w:val="center"/>
              <w:rPr>
                <w:rFonts w:eastAsia="Times New Roman"/>
                <w:color w:val="000000"/>
                <w:sz w:val="22"/>
                <w:lang w:eastAsia="pl-PL"/>
              </w:rPr>
            </w:pPr>
            <w:r w:rsidRPr="00FE1405">
              <w:rPr>
                <w:rFonts w:eastAsia="Times New Roman"/>
                <w:color w:val="000000"/>
                <w:sz w:val="22"/>
                <w:lang w:eastAsia="pl-PL"/>
              </w:rPr>
              <w:t>-0,363</w:t>
            </w:r>
          </w:p>
        </w:tc>
        <w:tc>
          <w:tcPr>
            <w:tcW w:w="737" w:type="dxa"/>
            <w:tcBorders>
              <w:top w:val="nil"/>
              <w:left w:val="nil"/>
              <w:bottom w:val="single" w:sz="4" w:space="0" w:color="auto"/>
              <w:right w:val="single" w:sz="4" w:space="0" w:color="auto"/>
            </w:tcBorders>
            <w:shd w:val="clear" w:color="auto" w:fill="auto"/>
            <w:noWrap/>
            <w:vAlign w:val="center"/>
            <w:hideMark/>
          </w:tcPr>
          <w:p w14:paraId="07935E6D" w14:textId="77777777" w:rsidR="00FE1405" w:rsidRPr="00FE1405" w:rsidRDefault="00FE1405" w:rsidP="00FE1405">
            <w:pPr>
              <w:spacing w:before="0" w:after="0" w:line="240" w:lineRule="auto"/>
              <w:jc w:val="center"/>
              <w:rPr>
                <w:rFonts w:eastAsia="Times New Roman"/>
                <w:color w:val="000000"/>
                <w:sz w:val="22"/>
                <w:lang w:eastAsia="pl-PL"/>
              </w:rPr>
            </w:pPr>
            <w:r w:rsidRPr="00FE1405">
              <w:rPr>
                <w:rFonts w:eastAsia="Times New Roman"/>
                <w:color w:val="000000"/>
                <w:sz w:val="22"/>
                <w:lang w:eastAsia="pl-PL"/>
              </w:rPr>
              <w:t>-0,361</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3B9A3345" w14:textId="77777777" w:rsidR="00FE1405" w:rsidRPr="00FE1405" w:rsidRDefault="00FE1405" w:rsidP="00FE1405">
            <w:pPr>
              <w:spacing w:before="0" w:after="0" w:line="240" w:lineRule="auto"/>
              <w:jc w:val="center"/>
              <w:rPr>
                <w:rFonts w:eastAsia="Times New Roman"/>
                <w:color w:val="000000"/>
                <w:sz w:val="22"/>
                <w:lang w:eastAsia="pl-PL"/>
              </w:rPr>
            </w:pPr>
            <w:r w:rsidRPr="00FE1405">
              <w:rPr>
                <w:rFonts w:eastAsia="Times New Roman"/>
                <w:color w:val="000000"/>
                <w:sz w:val="22"/>
                <w:lang w:eastAsia="pl-PL"/>
              </w:rPr>
              <w:t>-0,425</w:t>
            </w:r>
          </w:p>
        </w:tc>
        <w:tc>
          <w:tcPr>
            <w:tcW w:w="737" w:type="dxa"/>
            <w:tcBorders>
              <w:top w:val="nil"/>
              <w:left w:val="nil"/>
              <w:bottom w:val="single" w:sz="4" w:space="0" w:color="auto"/>
              <w:right w:val="single" w:sz="4" w:space="0" w:color="auto"/>
            </w:tcBorders>
            <w:shd w:val="clear" w:color="auto" w:fill="auto"/>
            <w:noWrap/>
            <w:vAlign w:val="center"/>
            <w:hideMark/>
          </w:tcPr>
          <w:p w14:paraId="25ADB655" w14:textId="77777777" w:rsidR="00FE1405" w:rsidRPr="00FE1405" w:rsidRDefault="00FE1405" w:rsidP="00FE1405">
            <w:pPr>
              <w:spacing w:before="0" w:after="0" w:line="240" w:lineRule="auto"/>
              <w:jc w:val="center"/>
              <w:rPr>
                <w:rFonts w:eastAsia="Times New Roman"/>
                <w:color w:val="000000"/>
                <w:sz w:val="22"/>
                <w:lang w:eastAsia="pl-PL"/>
              </w:rPr>
            </w:pPr>
            <w:r w:rsidRPr="00FE1405">
              <w:rPr>
                <w:rFonts w:eastAsia="Times New Roman"/>
                <w:color w:val="000000"/>
                <w:sz w:val="22"/>
                <w:lang w:eastAsia="pl-PL"/>
              </w:rPr>
              <w:t>-0,170</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1438B3AC" w14:textId="77777777" w:rsidR="00FE1405" w:rsidRPr="00FE1405" w:rsidRDefault="00FE1405" w:rsidP="00632878">
            <w:pPr>
              <w:keepNext/>
              <w:spacing w:before="0" w:after="0" w:line="240" w:lineRule="auto"/>
              <w:jc w:val="center"/>
              <w:rPr>
                <w:rFonts w:eastAsia="Times New Roman"/>
                <w:color w:val="000000"/>
                <w:sz w:val="22"/>
                <w:lang w:eastAsia="pl-PL"/>
              </w:rPr>
            </w:pPr>
            <w:r w:rsidRPr="00FE1405">
              <w:rPr>
                <w:rFonts w:eastAsia="Times New Roman"/>
                <w:color w:val="000000"/>
                <w:sz w:val="22"/>
                <w:lang w:eastAsia="pl-PL"/>
              </w:rPr>
              <w:t>-0,394</w:t>
            </w:r>
          </w:p>
        </w:tc>
      </w:tr>
    </w:tbl>
    <w:p w14:paraId="1F88356E" w14:textId="45E9BD71" w:rsidR="00FE1405" w:rsidRDefault="00632878" w:rsidP="0018183C">
      <w:pPr>
        <w:pStyle w:val="Legenda"/>
        <w:jc w:val="center"/>
      </w:pPr>
      <w:r>
        <w:t xml:space="preserve">Tabela </w:t>
      </w:r>
      <w:fldSimple w:instr=" SEQ Tabela \* ARABIC ">
        <w:r w:rsidR="00EF2DB4">
          <w:rPr>
            <w:noProof/>
          </w:rPr>
          <w:t>9</w:t>
        </w:r>
      </w:fldSimple>
      <w:r>
        <w:t xml:space="preserve">. </w:t>
      </w:r>
      <w:r w:rsidRPr="00786254">
        <w:t>Średnie zmiennych w grupach otrzymanych w wyniku zastosowania metody k-średnich dla dwóch klastrów.</w:t>
      </w:r>
    </w:p>
    <w:p w14:paraId="3C0A88AA" w14:textId="0E324DE3" w:rsidR="00632878" w:rsidRDefault="00632878" w:rsidP="00D46410">
      <w:r>
        <w:tab/>
      </w:r>
      <w:r w:rsidR="00220CB6" w:rsidRPr="00220CB6">
        <w:t>Grupa I charakteryzuje się wyraźnie wyższymi wartościami w większości zmiennych związanych z rozwojem gospodarczym i infrastrukturą. Województwa te mają wyższe przeciętne wynagrodzenie brutto</w:t>
      </w:r>
      <w:r w:rsidR="00220CB6">
        <w:t>,</w:t>
      </w:r>
      <w:r w:rsidR="00220CB6" w:rsidRPr="00220CB6">
        <w:t xml:space="preserve"> co sugeruje lepsze warunki ekonomiczne, niższe bezrobocie</w:t>
      </w:r>
      <w:r w:rsidR="00220CB6">
        <w:t xml:space="preserve"> </w:t>
      </w:r>
      <w:r w:rsidR="00220CB6" w:rsidRPr="00220CB6">
        <w:t>oraz lepszy dostęp do lekarzy, co wskazuje na rozwiniętą służbę zdrowia. Koszty utrzymania, takie jak opłaty komunalne</w:t>
      </w:r>
      <w:r w:rsidR="00220CB6">
        <w:t xml:space="preserve">, </w:t>
      </w:r>
      <w:r w:rsidR="00220CB6" w:rsidRPr="00220CB6">
        <w:t>są również wyższe, co może świadczyć o lepszej infrastrukturze, ale i wyższych kosztach życia. Wysokie wartości dla liczby nowych mieszkań oraz liczby przestępstw mogą sugerować dynamiczny rozwój urbanistyczny, ale również wyzwania związane z bezpieczeństwem. Z kolei większa liczba uczelni wyższych potwierdza bardziej rozwiniętą bazę edukacyjną w tych regionach.</w:t>
      </w:r>
    </w:p>
    <w:p w14:paraId="2748CC9A" w14:textId="720A811D" w:rsidR="00220CB6" w:rsidRDefault="00220CB6" w:rsidP="00D46410">
      <w:r>
        <w:lastRenderedPageBreak/>
        <w:tab/>
        <w:t>Druga grupa to województwa znacznie mniej zurbanizowane. Ma to swoje zalety i odzwierciedlenie w wartościach dotyczących liczby przestępstw czy liczby wypadków, gdzie wypadają lepiej względem pierwszej grupy. Ponadto oferują niższe ceny mieszkań i koszty utrzymania</w:t>
      </w:r>
      <w:r w:rsidR="0018183C">
        <w:t>. Z drugiej strony przeciętne wynagrodzenie jest tutaj niższe, a stopa bezrobocia wyższa co wskazuje na pewne trudności na rynku pracy.</w:t>
      </w:r>
    </w:p>
    <w:p w14:paraId="0B454BCD" w14:textId="71B3CF8E" w:rsidR="00632878" w:rsidRDefault="0018183C" w:rsidP="00D46410">
      <w:r>
        <w:tab/>
        <w:t>Dla porównania warto spojrzeć na zestawienie otrzymane w wyniku podzielenia województw na pięć klastrów.</w:t>
      </w:r>
    </w:p>
    <w:tbl>
      <w:tblPr>
        <w:tblStyle w:val="Tabelasiatki4"/>
        <w:tblW w:w="4819" w:type="dxa"/>
        <w:jc w:val="center"/>
        <w:tblLook w:val="04A0" w:firstRow="1" w:lastRow="0" w:firstColumn="1" w:lastColumn="0" w:noHBand="0" w:noVBand="1"/>
      </w:tblPr>
      <w:tblGrid>
        <w:gridCol w:w="3402"/>
        <w:gridCol w:w="1417"/>
      </w:tblGrid>
      <w:tr w:rsidR="00632878" w:rsidRPr="00C27B2F" w14:paraId="56048C46" w14:textId="77777777" w:rsidTr="0063287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0DC39881" w14:textId="77777777" w:rsidR="00632878" w:rsidRPr="00C27B2F" w:rsidRDefault="00632878" w:rsidP="003A68C2">
            <w:pPr>
              <w:spacing w:before="0" w:after="0" w:line="240" w:lineRule="auto"/>
              <w:jc w:val="left"/>
              <w:rPr>
                <w:rFonts w:eastAsia="Times New Roman"/>
                <w:szCs w:val="24"/>
                <w:lang w:eastAsia="pl-PL"/>
              </w:rPr>
            </w:pPr>
            <w:r w:rsidRPr="00C27B2F">
              <w:rPr>
                <w:rFonts w:eastAsia="Times New Roman"/>
                <w:szCs w:val="24"/>
                <w:lang w:eastAsia="pl-PL"/>
              </w:rPr>
              <w:t>WOJEWÓDZTWO</w:t>
            </w:r>
          </w:p>
        </w:tc>
        <w:tc>
          <w:tcPr>
            <w:tcW w:w="1417" w:type="dxa"/>
            <w:noWrap/>
            <w:vAlign w:val="center"/>
            <w:hideMark/>
          </w:tcPr>
          <w:p w14:paraId="23BE4908" w14:textId="77777777" w:rsidR="00632878" w:rsidRPr="00C27B2F" w:rsidRDefault="00632878" w:rsidP="003A68C2">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bCs w:val="0"/>
                <w:szCs w:val="24"/>
                <w:lang w:eastAsia="pl-PL"/>
              </w:rPr>
            </w:pPr>
            <w:r w:rsidRPr="00C27B2F">
              <w:rPr>
                <w:rFonts w:eastAsia="Times New Roman"/>
                <w:bCs w:val="0"/>
                <w:szCs w:val="24"/>
                <w:lang w:eastAsia="pl-PL"/>
              </w:rPr>
              <w:t>5 klastrów</w:t>
            </w:r>
          </w:p>
        </w:tc>
      </w:tr>
      <w:tr w:rsidR="00632878" w:rsidRPr="00C27B2F" w14:paraId="39CB6D88" w14:textId="77777777" w:rsidTr="0063287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07864781" w14:textId="77777777" w:rsidR="00632878" w:rsidRPr="00C27B2F" w:rsidRDefault="00632878" w:rsidP="003A68C2">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DOLNOŚLĄSKIE</w:t>
            </w:r>
          </w:p>
        </w:tc>
        <w:tc>
          <w:tcPr>
            <w:tcW w:w="1417" w:type="dxa"/>
            <w:noWrap/>
            <w:vAlign w:val="center"/>
            <w:hideMark/>
          </w:tcPr>
          <w:p w14:paraId="4571CCD2" w14:textId="77777777" w:rsidR="00632878" w:rsidRPr="00C27B2F" w:rsidRDefault="00632878" w:rsidP="003A68C2">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w:t>
            </w:r>
          </w:p>
        </w:tc>
      </w:tr>
      <w:tr w:rsidR="00632878" w:rsidRPr="00C27B2F" w14:paraId="1C00A8A0" w14:textId="77777777" w:rsidTr="00632878">
        <w:trPr>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4C35BAB2" w14:textId="77777777" w:rsidR="00632878" w:rsidRPr="00C27B2F" w:rsidRDefault="00632878" w:rsidP="003A68C2">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MAŁOPOLSKIE</w:t>
            </w:r>
          </w:p>
        </w:tc>
        <w:tc>
          <w:tcPr>
            <w:tcW w:w="1417" w:type="dxa"/>
            <w:noWrap/>
            <w:vAlign w:val="center"/>
            <w:hideMark/>
          </w:tcPr>
          <w:p w14:paraId="444812A9" w14:textId="77777777" w:rsidR="00632878" w:rsidRPr="00C27B2F" w:rsidRDefault="00632878" w:rsidP="003A68C2">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w:t>
            </w:r>
          </w:p>
        </w:tc>
      </w:tr>
      <w:tr w:rsidR="00632878" w:rsidRPr="00C27B2F" w14:paraId="44AA983C" w14:textId="77777777" w:rsidTr="0063287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6051C3B0" w14:textId="77777777" w:rsidR="00632878" w:rsidRPr="00C27B2F" w:rsidRDefault="00632878" w:rsidP="003A68C2">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MAZOWIECKIE</w:t>
            </w:r>
          </w:p>
        </w:tc>
        <w:tc>
          <w:tcPr>
            <w:tcW w:w="1417" w:type="dxa"/>
            <w:noWrap/>
            <w:vAlign w:val="center"/>
            <w:hideMark/>
          </w:tcPr>
          <w:p w14:paraId="3BCD0E4E" w14:textId="77777777" w:rsidR="00632878" w:rsidRPr="00C27B2F" w:rsidRDefault="00632878" w:rsidP="003A68C2">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w:t>
            </w:r>
          </w:p>
        </w:tc>
      </w:tr>
      <w:tr w:rsidR="00632878" w:rsidRPr="00C27B2F" w14:paraId="3E234EFC" w14:textId="77777777" w:rsidTr="00632878">
        <w:trPr>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5F9EFDBA" w14:textId="77777777" w:rsidR="00632878" w:rsidRPr="00C27B2F" w:rsidRDefault="00632878" w:rsidP="003A68C2">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POMORSKIE</w:t>
            </w:r>
          </w:p>
        </w:tc>
        <w:tc>
          <w:tcPr>
            <w:tcW w:w="1417" w:type="dxa"/>
            <w:noWrap/>
            <w:vAlign w:val="center"/>
            <w:hideMark/>
          </w:tcPr>
          <w:p w14:paraId="7178B0CB" w14:textId="77777777" w:rsidR="00632878" w:rsidRPr="00C27B2F" w:rsidRDefault="00632878" w:rsidP="003A68C2">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w:t>
            </w:r>
          </w:p>
        </w:tc>
      </w:tr>
      <w:tr w:rsidR="00632878" w:rsidRPr="00C27B2F" w14:paraId="1F6AAC45" w14:textId="77777777" w:rsidTr="0063287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6B9A0152" w14:textId="77777777" w:rsidR="00632878" w:rsidRPr="00C27B2F" w:rsidRDefault="00632878" w:rsidP="003A68C2">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LUBELSKIE</w:t>
            </w:r>
          </w:p>
        </w:tc>
        <w:tc>
          <w:tcPr>
            <w:tcW w:w="1417" w:type="dxa"/>
            <w:noWrap/>
            <w:vAlign w:val="center"/>
            <w:hideMark/>
          </w:tcPr>
          <w:p w14:paraId="0E319696" w14:textId="77777777" w:rsidR="00632878" w:rsidRPr="00C27B2F" w:rsidRDefault="00632878" w:rsidP="003A68C2">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II</w:t>
            </w:r>
          </w:p>
        </w:tc>
      </w:tr>
      <w:tr w:rsidR="00632878" w:rsidRPr="00C27B2F" w14:paraId="34359842" w14:textId="77777777" w:rsidTr="00632878">
        <w:trPr>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5A5F9A3F" w14:textId="77777777" w:rsidR="00632878" w:rsidRPr="00C27B2F" w:rsidRDefault="00632878" w:rsidP="003A68C2">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PODLASKIE</w:t>
            </w:r>
          </w:p>
        </w:tc>
        <w:tc>
          <w:tcPr>
            <w:tcW w:w="1417" w:type="dxa"/>
            <w:noWrap/>
            <w:vAlign w:val="center"/>
            <w:hideMark/>
          </w:tcPr>
          <w:p w14:paraId="20AD5228" w14:textId="77777777" w:rsidR="00632878" w:rsidRPr="00C27B2F" w:rsidRDefault="00632878" w:rsidP="003A68C2">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II</w:t>
            </w:r>
          </w:p>
        </w:tc>
      </w:tr>
      <w:tr w:rsidR="00632878" w:rsidRPr="00C27B2F" w14:paraId="4D225415" w14:textId="77777777" w:rsidTr="0063287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071ED9A5" w14:textId="77777777" w:rsidR="00632878" w:rsidRPr="00C27B2F" w:rsidRDefault="00632878" w:rsidP="003A68C2">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WIELKOPOLSKIE</w:t>
            </w:r>
          </w:p>
        </w:tc>
        <w:tc>
          <w:tcPr>
            <w:tcW w:w="1417" w:type="dxa"/>
            <w:noWrap/>
            <w:vAlign w:val="center"/>
            <w:hideMark/>
          </w:tcPr>
          <w:p w14:paraId="45905539" w14:textId="77777777" w:rsidR="00632878" w:rsidRPr="00C27B2F" w:rsidRDefault="00632878" w:rsidP="003A68C2">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II</w:t>
            </w:r>
          </w:p>
        </w:tc>
      </w:tr>
      <w:tr w:rsidR="00632878" w:rsidRPr="00C27B2F" w14:paraId="0066BEAD" w14:textId="77777777" w:rsidTr="00632878">
        <w:trPr>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39008471" w14:textId="77777777" w:rsidR="00632878" w:rsidRPr="00C27B2F" w:rsidRDefault="00632878" w:rsidP="003A68C2">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ZACHODNIOPOMORSKIE</w:t>
            </w:r>
          </w:p>
        </w:tc>
        <w:tc>
          <w:tcPr>
            <w:tcW w:w="1417" w:type="dxa"/>
            <w:noWrap/>
            <w:vAlign w:val="center"/>
            <w:hideMark/>
          </w:tcPr>
          <w:p w14:paraId="63E5C295" w14:textId="77777777" w:rsidR="00632878" w:rsidRPr="00C27B2F" w:rsidRDefault="00632878" w:rsidP="003A68C2">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II</w:t>
            </w:r>
          </w:p>
        </w:tc>
      </w:tr>
      <w:tr w:rsidR="00632878" w:rsidRPr="00C27B2F" w14:paraId="04233F43" w14:textId="77777777" w:rsidTr="0063287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00AD9F96" w14:textId="77777777" w:rsidR="00632878" w:rsidRPr="00C27B2F" w:rsidRDefault="00632878" w:rsidP="003A68C2">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PODKARPACKIE</w:t>
            </w:r>
          </w:p>
        </w:tc>
        <w:tc>
          <w:tcPr>
            <w:tcW w:w="1417" w:type="dxa"/>
            <w:noWrap/>
            <w:vAlign w:val="center"/>
            <w:hideMark/>
          </w:tcPr>
          <w:p w14:paraId="1FCFDB78" w14:textId="77777777" w:rsidR="00632878" w:rsidRPr="00C27B2F" w:rsidRDefault="00632878" w:rsidP="003A68C2">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III</w:t>
            </w:r>
          </w:p>
        </w:tc>
      </w:tr>
      <w:tr w:rsidR="00632878" w:rsidRPr="00C27B2F" w14:paraId="33DA2757" w14:textId="77777777" w:rsidTr="00632878">
        <w:trPr>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573E8F6E" w14:textId="77777777" w:rsidR="00632878" w:rsidRPr="00C27B2F" w:rsidRDefault="00632878" w:rsidP="003A68C2">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KUJAWSKO-POMORSKIE</w:t>
            </w:r>
          </w:p>
        </w:tc>
        <w:tc>
          <w:tcPr>
            <w:tcW w:w="1417" w:type="dxa"/>
            <w:noWrap/>
            <w:vAlign w:val="center"/>
            <w:hideMark/>
          </w:tcPr>
          <w:p w14:paraId="1611619B" w14:textId="77777777" w:rsidR="00632878" w:rsidRPr="00C27B2F" w:rsidRDefault="00632878" w:rsidP="003A68C2">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IV</w:t>
            </w:r>
          </w:p>
        </w:tc>
      </w:tr>
      <w:tr w:rsidR="00632878" w:rsidRPr="00C27B2F" w14:paraId="62D1B032" w14:textId="77777777" w:rsidTr="0063287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5323F8A4" w14:textId="77777777" w:rsidR="00632878" w:rsidRPr="00C27B2F" w:rsidRDefault="00632878" w:rsidP="003A68C2">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LUBUSKIE</w:t>
            </w:r>
          </w:p>
        </w:tc>
        <w:tc>
          <w:tcPr>
            <w:tcW w:w="1417" w:type="dxa"/>
            <w:noWrap/>
            <w:vAlign w:val="center"/>
            <w:hideMark/>
          </w:tcPr>
          <w:p w14:paraId="260682B9" w14:textId="77777777" w:rsidR="00632878" w:rsidRPr="00C27B2F" w:rsidRDefault="00632878" w:rsidP="003A68C2">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IV</w:t>
            </w:r>
          </w:p>
        </w:tc>
      </w:tr>
      <w:tr w:rsidR="00632878" w:rsidRPr="00C27B2F" w14:paraId="4796FEC5" w14:textId="77777777" w:rsidTr="00632878">
        <w:trPr>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216168D3" w14:textId="77777777" w:rsidR="00632878" w:rsidRPr="00C27B2F" w:rsidRDefault="00632878" w:rsidP="003A68C2">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OPOLSKIE</w:t>
            </w:r>
          </w:p>
        </w:tc>
        <w:tc>
          <w:tcPr>
            <w:tcW w:w="1417" w:type="dxa"/>
            <w:noWrap/>
            <w:vAlign w:val="center"/>
            <w:hideMark/>
          </w:tcPr>
          <w:p w14:paraId="30FF2764" w14:textId="77777777" w:rsidR="00632878" w:rsidRPr="00C27B2F" w:rsidRDefault="00632878" w:rsidP="003A68C2">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IV</w:t>
            </w:r>
          </w:p>
        </w:tc>
      </w:tr>
      <w:tr w:rsidR="00632878" w:rsidRPr="00C27B2F" w14:paraId="45F0D2F4" w14:textId="77777777" w:rsidTr="0063287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06B8A46F" w14:textId="77777777" w:rsidR="00632878" w:rsidRPr="00C27B2F" w:rsidRDefault="00632878" w:rsidP="003A68C2">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ŚWIĘTOKRZYSKIE</w:t>
            </w:r>
          </w:p>
        </w:tc>
        <w:tc>
          <w:tcPr>
            <w:tcW w:w="1417" w:type="dxa"/>
            <w:noWrap/>
            <w:vAlign w:val="center"/>
            <w:hideMark/>
          </w:tcPr>
          <w:p w14:paraId="7488FA22" w14:textId="77777777" w:rsidR="00632878" w:rsidRPr="00C27B2F" w:rsidRDefault="00632878" w:rsidP="003A68C2">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IV</w:t>
            </w:r>
          </w:p>
        </w:tc>
      </w:tr>
      <w:tr w:rsidR="00632878" w:rsidRPr="00C27B2F" w14:paraId="57441080" w14:textId="77777777" w:rsidTr="00632878">
        <w:trPr>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42D9A3FF" w14:textId="77777777" w:rsidR="00632878" w:rsidRPr="00C27B2F" w:rsidRDefault="00632878" w:rsidP="003A68C2">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WARMIŃSKO-MAZURSKIE</w:t>
            </w:r>
          </w:p>
        </w:tc>
        <w:tc>
          <w:tcPr>
            <w:tcW w:w="1417" w:type="dxa"/>
            <w:noWrap/>
            <w:vAlign w:val="center"/>
            <w:hideMark/>
          </w:tcPr>
          <w:p w14:paraId="327540CF" w14:textId="77777777" w:rsidR="00632878" w:rsidRPr="00C27B2F" w:rsidRDefault="00632878" w:rsidP="003A68C2">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IV</w:t>
            </w:r>
          </w:p>
        </w:tc>
      </w:tr>
      <w:tr w:rsidR="00632878" w:rsidRPr="00C27B2F" w14:paraId="502ADF75" w14:textId="77777777" w:rsidTr="0063287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6939ED64" w14:textId="77777777" w:rsidR="00632878" w:rsidRPr="00C27B2F" w:rsidRDefault="00632878" w:rsidP="003A68C2">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ŁÓDZKIE</w:t>
            </w:r>
          </w:p>
        </w:tc>
        <w:tc>
          <w:tcPr>
            <w:tcW w:w="1417" w:type="dxa"/>
            <w:noWrap/>
            <w:vAlign w:val="center"/>
            <w:hideMark/>
          </w:tcPr>
          <w:p w14:paraId="6E550EEF" w14:textId="77777777" w:rsidR="00632878" w:rsidRPr="00C27B2F" w:rsidRDefault="00632878" w:rsidP="003A68C2">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V</w:t>
            </w:r>
          </w:p>
        </w:tc>
      </w:tr>
      <w:tr w:rsidR="00632878" w:rsidRPr="00C27B2F" w14:paraId="5D2A9242" w14:textId="77777777" w:rsidTr="00632878">
        <w:trPr>
          <w:trHeight w:val="340"/>
          <w:jc w:val="center"/>
        </w:trPr>
        <w:tc>
          <w:tcPr>
            <w:cnfStyle w:val="001000000000" w:firstRow="0" w:lastRow="0" w:firstColumn="1" w:lastColumn="0" w:oddVBand="0" w:evenVBand="0" w:oddHBand="0" w:evenHBand="0" w:firstRowFirstColumn="0" w:firstRowLastColumn="0" w:lastRowFirstColumn="0" w:lastRowLastColumn="0"/>
            <w:tcW w:w="3402" w:type="dxa"/>
            <w:noWrap/>
            <w:vAlign w:val="center"/>
            <w:hideMark/>
          </w:tcPr>
          <w:p w14:paraId="17CB7648" w14:textId="77777777" w:rsidR="00632878" w:rsidRPr="00C27B2F" w:rsidRDefault="00632878" w:rsidP="003A68C2">
            <w:pPr>
              <w:spacing w:before="0" w:after="0" w:line="240" w:lineRule="auto"/>
              <w:jc w:val="left"/>
              <w:rPr>
                <w:rFonts w:eastAsia="Times New Roman"/>
                <w:b w:val="0"/>
                <w:bCs w:val="0"/>
                <w:color w:val="000000"/>
                <w:szCs w:val="24"/>
                <w:lang w:eastAsia="pl-PL"/>
              </w:rPr>
            </w:pPr>
            <w:r w:rsidRPr="00C27B2F">
              <w:rPr>
                <w:rFonts w:eastAsia="Times New Roman"/>
                <w:b w:val="0"/>
                <w:bCs w:val="0"/>
                <w:color w:val="000000"/>
                <w:szCs w:val="24"/>
                <w:lang w:eastAsia="pl-PL"/>
              </w:rPr>
              <w:t>ŚLĄSKIE</w:t>
            </w:r>
          </w:p>
        </w:tc>
        <w:tc>
          <w:tcPr>
            <w:tcW w:w="1417" w:type="dxa"/>
            <w:noWrap/>
            <w:vAlign w:val="center"/>
            <w:hideMark/>
          </w:tcPr>
          <w:p w14:paraId="73855569" w14:textId="77777777" w:rsidR="00632878" w:rsidRPr="00C27B2F" w:rsidRDefault="00632878" w:rsidP="0018183C">
            <w:pPr>
              <w:keepNext/>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eastAsia="pl-PL"/>
              </w:rPr>
            </w:pPr>
            <w:r w:rsidRPr="00C27B2F">
              <w:rPr>
                <w:rFonts w:eastAsia="Times New Roman"/>
                <w:color w:val="000000"/>
                <w:szCs w:val="24"/>
                <w:lang w:eastAsia="pl-PL"/>
              </w:rPr>
              <w:t>gr. V</w:t>
            </w:r>
          </w:p>
        </w:tc>
      </w:tr>
    </w:tbl>
    <w:p w14:paraId="16AA7BAC" w14:textId="4C46E6EA" w:rsidR="0018183C" w:rsidRPr="0018183C" w:rsidRDefault="0018183C" w:rsidP="0018183C">
      <w:pPr>
        <w:pStyle w:val="Legenda"/>
        <w:jc w:val="center"/>
      </w:pPr>
      <w:r>
        <w:t xml:space="preserve">Tabela </w:t>
      </w:r>
      <w:fldSimple w:instr=" SEQ Tabela \* ARABIC ">
        <w:r w:rsidR="00EF2DB4">
          <w:rPr>
            <w:noProof/>
          </w:rPr>
          <w:t>10</w:t>
        </w:r>
      </w:fldSimple>
      <w:r>
        <w:t xml:space="preserve">. </w:t>
      </w:r>
      <w:r w:rsidRPr="0035188B">
        <w:t xml:space="preserve">Wyniki zastosowania metody k-średnich dla </w:t>
      </w:r>
      <w:r>
        <w:t>pięciu</w:t>
      </w:r>
      <w:r w:rsidRPr="0035188B">
        <w:t xml:space="preserve"> klastrów.</w:t>
      </w:r>
    </w:p>
    <w:tbl>
      <w:tblPr>
        <w:tblW w:w="9581" w:type="dxa"/>
        <w:jc w:val="center"/>
        <w:tblCellMar>
          <w:left w:w="70" w:type="dxa"/>
          <w:right w:w="70" w:type="dxa"/>
        </w:tblCellMar>
        <w:tblLook w:val="04A0" w:firstRow="1" w:lastRow="0" w:firstColumn="1" w:lastColumn="0" w:noHBand="0" w:noVBand="1"/>
      </w:tblPr>
      <w:tblGrid>
        <w:gridCol w:w="737"/>
        <w:gridCol w:w="737"/>
        <w:gridCol w:w="737"/>
        <w:gridCol w:w="737"/>
        <w:gridCol w:w="737"/>
        <w:gridCol w:w="737"/>
        <w:gridCol w:w="737"/>
        <w:gridCol w:w="737"/>
        <w:gridCol w:w="737"/>
        <w:gridCol w:w="737"/>
        <w:gridCol w:w="737"/>
        <w:gridCol w:w="737"/>
        <w:gridCol w:w="737"/>
      </w:tblGrid>
      <w:tr w:rsidR="008A2A09" w:rsidRPr="008A2A09" w14:paraId="47145421" w14:textId="77777777" w:rsidTr="007D3210">
        <w:trPr>
          <w:trHeight w:val="454"/>
          <w:jc w:val="center"/>
        </w:trPr>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7563C95" w14:textId="55DADDE4" w:rsidR="008A2A09" w:rsidRPr="008A2A09" w:rsidRDefault="008A2A09" w:rsidP="008A2A09">
            <w:pPr>
              <w:spacing w:before="0" w:after="0" w:line="240" w:lineRule="auto"/>
              <w:jc w:val="center"/>
              <w:rPr>
                <w:rFonts w:eastAsia="Times New Roman"/>
                <w:b/>
                <w:bCs/>
                <w:color w:val="000000"/>
                <w:sz w:val="22"/>
                <w:lang w:eastAsia="pl-PL"/>
              </w:rPr>
            </w:pP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25F1791" w14:textId="77777777" w:rsidR="008A2A09" w:rsidRPr="008A2A09" w:rsidRDefault="008A2A09" w:rsidP="008A2A09">
            <w:pPr>
              <w:spacing w:before="0" w:after="0" w:line="240" w:lineRule="auto"/>
              <w:jc w:val="center"/>
              <w:rPr>
                <w:rFonts w:eastAsia="Times New Roman"/>
                <w:b/>
                <w:bCs/>
                <w:color w:val="000000"/>
                <w:sz w:val="22"/>
                <w:lang w:eastAsia="pl-PL"/>
              </w:rPr>
            </w:pPr>
            <w:r w:rsidRPr="008A2A09">
              <w:rPr>
                <w:rFonts w:eastAsia="Times New Roman"/>
                <w:b/>
                <w:bCs/>
                <w:color w:val="000000"/>
                <w:sz w:val="22"/>
                <w:lang w:eastAsia="pl-PL"/>
              </w:rPr>
              <w:t>X1</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517DDAF" w14:textId="77777777" w:rsidR="008A2A09" w:rsidRPr="008A2A09" w:rsidRDefault="008A2A09" w:rsidP="008A2A09">
            <w:pPr>
              <w:spacing w:before="0" w:after="0" w:line="240" w:lineRule="auto"/>
              <w:jc w:val="center"/>
              <w:rPr>
                <w:rFonts w:eastAsia="Times New Roman"/>
                <w:b/>
                <w:bCs/>
                <w:color w:val="000000"/>
                <w:sz w:val="22"/>
                <w:lang w:eastAsia="pl-PL"/>
              </w:rPr>
            </w:pPr>
            <w:r w:rsidRPr="008A2A09">
              <w:rPr>
                <w:rFonts w:eastAsia="Times New Roman"/>
                <w:b/>
                <w:bCs/>
                <w:color w:val="000000"/>
                <w:sz w:val="22"/>
                <w:lang w:eastAsia="pl-PL"/>
              </w:rPr>
              <w:t>X2</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FA04B67" w14:textId="77777777" w:rsidR="008A2A09" w:rsidRPr="008A2A09" w:rsidRDefault="008A2A09" w:rsidP="008A2A09">
            <w:pPr>
              <w:spacing w:before="0" w:after="0" w:line="240" w:lineRule="auto"/>
              <w:jc w:val="center"/>
              <w:rPr>
                <w:rFonts w:eastAsia="Times New Roman"/>
                <w:b/>
                <w:bCs/>
                <w:color w:val="000000"/>
                <w:sz w:val="22"/>
                <w:lang w:eastAsia="pl-PL"/>
              </w:rPr>
            </w:pPr>
            <w:r w:rsidRPr="008A2A09">
              <w:rPr>
                <w:rFonts w:eastAsia="Times New Roman"/>
                <w:b/>
                <w:bCs/>
                <w:color w:val="000000"/>
                <w:sz w:val="22"/>
                <w:lang w:eastAsia="pl-PL"/>
              </w:rPr>
              <w:t>X3</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3799D89" w14:textId="77777777" w:rsidR="008A2A09" w:rsidRPr="008A2A09" w:rsidRDefault="008A2A09" w:rsidP="008A2A09">
            <w:pPr>
              <w:spacing w:before="0" w:after="0" w:line="240" w:lineRule="auto"/>
              <w:jc w:val="center"/>
              <w:rPr>
                <w:rFonts w:eastAsia="Times New Roman"/>
                <w:b/>
                <w:bCs/>
                <w:color w:val="000000"/>
                <w:sz w:val="22"/>
                <w:lang w:eastAsia="pl-PL"/>
              </w:rPr>
            </w:pPr>
            <w:r w:rsidRPr="008A2A09">
              <w:rPr>
                <w:rFonts w:eastAsia="Times New Roman"/>
                <w:b/>
                <w:bCs/>
                <w:color w:val="000000"/>
                <w:sz w:val="22"/>
                <w:lang w:eastAsia="pl-PL"/>
              </w:rPr>
              <w:t>X4</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B9D78FF" w14:textId="77777777" w:rsidR="008A2A09" w:rsidRPr="008A2A09" w:rsidRDefault="008A2A09" w:rsidP="008A2A09">
            <w:pPr>
              <w:spacing w:before="0" w:after="0" w:line="240" w:lineRule="auto"/>
              <w:jc w:val="center"/>
              <w:rPr>
                <w:rFonts w:eastAsia="Times New Roman"/>
                <w:b/>
                <w:bCs/>
                <w:color w:val="000000"/>
                <w:sz w:val="22"/>
                <w:lang w:eastAsia="pl-PL"/>
              </w:rPr>
            </w:pPr>
            <w:r w:rsidRPr="008A2A09">
              <w:rPr>
                <w:rFonts w:eastAsia="Times New Roman"/>
                <w:b/>
                <w:bCs/>
                <w:color w:val="000000"/>
                <w:sz w:val="22"/>
                <w:lang w:eastAsia="pl-PL"/>
              </w:rPr>
              <w:t>X5</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3379B98" w14:textId="77777777" w:rsidR="008A2A09" w:rsidRPr="008A2A09" w:rsidRDefault="008A2A09" w:rsidP="008A2A09">
            <w:pPr>
              <w:spacing w:before="0" w:after="0" w:line="240" w:lineRule="auto"/>
              <w:jc w:val="center"/>
              <w:rPr>
                <w:rFonts w:eastAsia="Times New Roman"/>
                <w:b/>
                <w:bCs/>
                <w:color w:val="000000"/>
                <w:sz w:val="22"/>
                <w:lang w:eastAsia="pl-PL"/>
              </w:rPr>
            </w:pPr>
            <w:r w:rsidRPr="008A2A09">
              <w:rPr>
                <w:rFonts w:eastAsia="Times New Roman"/>
                <w:b/>
                <w:bCs/>
                <w:color w:val="000000"/>
                <w:sz w:val="22"/>
                <w:lang w:eastAsia="pl-PL"/>
              </w:rPr>
              <w:t>X6</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758B83D" w14:textId="77777777" w:rsidR="008A2A09" w:rsidRPr="008A2A09" w:rsidRDefault="008A2A09" w:rsidP="008A2A09">
            <w:pPr>
              <w:spacing w:before="0" w:after="0" w:line="240" w:lineRule="auto"/>
              <w:jc w:val="center"/>
              <w:rPr>
                <w:rFonts w:eastAsia="Times New Roman"/>
                <w:b/>
                <w:bCs/>
                <w:color w:val="000000"/>
                <w:sz w:val="22"/>
                <w:lang w:eastAsia="pl-PL"/>
              </w:rPr>
            </w:pPr>
            <w:r w:rsidRPr="008A2A09">
              <w:rPr>
                <w:rFonts w:eastAsia="Times New Roman"/>
                <w:b/>
                <w:bCs/>
                <w:color w:val="000000"/>
                <w:sz w:val="22"/>
                <w:lang w:eastAsia="pl-PL"/>
              </w:rPr>
              <w:t>X7</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1A0C178" w14:textId="77777777" w:rsidR="008A2A09" w:rsidRPr="008A2A09" w:rsidRDefault="008A2A09" w:rsidP="008A2A09">
            <w:pPr>
              <w:spacing w:before="0" w:after="0" w:line="240" w:lineRule="auto"/>
              <w:jc w:val="center"/>
              <w:rPr>
                <w:rFonts w:eastAsia="Times New Roman"/>
                <w:b/>
                <w:bCs/>
                <w:color w:val="000000"/>
                <w:sz w:val="22"/>
                <w:lang w:eastAsia="pl-PL"/>
              </w:rPr>
            </w:pPr>
            <w:r w:rsidRPr="008A2A09">
              <w:rPr>
                <w:rFonts w:eastAsia="Times New Roman"/>
                <w:b/>
                <w:bCs/>
                <w:color w:val="000000"/>
                <w:sz w:val="22"/>
                <w:lang w:eastAsia="pl-PL"/>
              </w:rPr>
              <w:t>X8</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F2B0A1A" w14:textId="77777777" w:rsidR="008A2A09" w:rsidRPr="008A2A09" w:rsidRDefault="008A2A09" w:rsidP="008A2A09">
            <w:pPr>
              <w:spacing w:before="0" w:after="0" w:line="240" w:lineRule="auto"/>
              <w:jc w:val="center"/>
              <w:rPr>
                <w:rFonts w:eastAsia="Times New Roman"/>
                <w:b/>
                <w:bCs/>
                <w:color w:val="000000"/>
                <w:sz w:val="22"/>
                <w:lang w:eastAsia="pl-PL"/>
              </w:rPr>
            </w:pPr>
            <w:r w:rsidRPr="008A2A09">
              <w:rPr>
                <w:rFonts w:eastAsia="Times New Roman"/>
                <w:b/>
                <w:bCs/>
                <w:color w:val="000000"/>
                <w:sz w:val="22"/>
                <w:lang w:eastAsia="pl-PL"/>
              </w:rPr>
              <w:t>X9</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12F5930" w14:textId="77777777" w:rsidR="008A2A09" w:rsidRPr="008A2A09" w:rsidRDefault="008A2A09" w:rsidP="008A2A09">
            <w:pPr>
              <w:spacing w:before="0" w:after="0" w:line="240" w:lineRule="auto"/>
              <w:jc w:val="center"/>
              <w:rPr>
                <w:rFonts w:eastAsia="Times New Roman"/>
                <w:b/>
                <w:bCs/>
                <w:color w:val="000000"/>
                <w:sz w:val="22"/>
                <w:lang w:eastAsia="pl-PL"/>
              </w:rPr>
            </w:pPr>
            <w:r w:rsidRPr="008A2A09">
              <w:rPr>
                <w:rFonts w:eastAsia="Times New Roman"/>
                <w:b/>
                <w:bCs/>
                <w:color w:val="000000"/>
                <w:sz w:val="22"/>
                <w:lang w:eastAsia="pl-PL"/>
              </w:rPr>
              <w:t>X10</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07D8D29" w14:textId="77777777" w:rsidR="008A2A09" w:rsidRPr="008A2A09" w:rsidRDefault="008A2A09" w:rsidP="008A2A09">
            <w:pPr>
              <w:spacing w:before="0" w:after="0" w:line="240" w:lineRule="auto"/>
              <w:jc w:val="center"/>
              <w:rPr>
                <w:rFonts w:eastAsia="Times New Roman"/>
                <w:b/>
                <w:bCs/>
                <w:color w:val="000000"/>
                <w:sz w:val="22"/>
                <w:lang w:eastAsia="pl-PL"/>
              </w:rPr>
            </w:pPr>
            <w:r w:rsidRPr="008A2A09">
              <w:rPr>
                <w:rFonts w:eastAsia="Times New Roman"/>
                <w:b/>
                <w:bCs/>
                <w:color w:val="000000"/>
                <w:sz w:val="22"/>
                <w:lang w:eastAsia="pl-PL"/>
              </w:rPr>
              <w:t>X11</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B9D2800" w14:textId="77777777" w:rsidR="008A2A09" w:rsidRPr="008A2A09" w:rsidRDefault="008A2A09" w:rsidP="008A2A09">
            <w:pPr>
              <w:spacing w:before="0" w:after="0" w:line="240" w:lineRule="auto"/>
              <w:jc w:val="center"/>
              <w:rPr>
                <w:rFonts w:eastAsia="Times New Roman"/>
                <w:b/>
                <w:bCs/>
                <w:color w:val="000000"/>
                <w:sz w:val="22"/>
                <w:lang w:eastAsia="pl-PL"/>
              </w:rPr>
            </w:pPr>
            <w:r w:rsidRPr="008A2A09">
              <w:rPr>
                <w:rFonts w:eastAsia="Times New Roman"/>
                <w:b/>
                <w:bCs/>
                <w:color w:val="000000"/>
                <w:sz w:val="22"/>
                <w:lang w:eastAsia="pl-PL"/>
              </w:rPr>
              <w:t>X12</w:t>
            </w:r>
          </w:p>
        </w:tc>
      </w:tr>
      <w:tr w:rsidR="008A2A09" w:rsidRPr="008A2A09" w14:paraId="4C3ABFE4" w14:textId="77777777" w:rsidTr="007D3210">
        <w:trPr>
          <w:trHeight w:val="454"/>
          <w:jc w:val="center"/>
        </w:trPr>
        <w:tc>
          <w:tcPr>
            <w:tcW w:w="73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1EC3E71" w14:textId="77777777" w:rsidR="008A2A09" w:rsidRPr="008A2A09" w:rsidRDefault="008A2A09" w:rsidP="008A2A09">
            <w:pPr>
              <w:spacing w:before="0" w:after="0" w:line="240" w:lineRule="auto"/>
              <w:jc w:val="center"/>
              <w:rPr>
                <w:rFonts w:eastAsia="Times New Roman"/>
                <w:b/>
                <w:bCs/>
                <w:color w:val="000000"/>
                <w:sz w:val="22"/>
                <w:lang w:eastAsia="pl-PL"/>
              </w:rPr>
            </w:pPr>
            <w:r w:rsidRPr="008A2A09">
              <w:rPr>
                <w:rFonts w:eastAsia="Times New Roman"/>
                <w:b/>
                <w:bCs/>
                <w:color w:val="000000"/>
                <w:sz w:val="22"/>
                <w:lang w:eastAsia="pl-PL"/>
              </w:rPr>
              <w:t>gr. I</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0F2467B2"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1,358</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02AAC7B2"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-0,777</w:t>
            </w:r>
          </w:p>
        </w:tc>
        <w:tc>
          <w:tcPr>
            <w:tcW w:w="737" w:type="dxa"/>
            <w:tcBorders>
              <w:top w:val="nil"/>
              <w:left w:val="nil"/>
              <w:bottom w:val="single" w:sz="4" w:space="0" w:color="auto"/>
              <w:right w:val="single" w:sz="4" w:space="0" w:color="auto"/>
            </w:tcBorders>
            <w:shd w:val="clear" w:color="auto" w:fill="auto"/>
            <w:noWrap/>
            <w:vAlign w:val="center"/>
            <w:hideMark/>
          </w:tcPr>
          <w:p w14:paraId="6CBBBBB2"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0,672</w:t>
            </w:r>
          </w:p>
        </w:tc>
        <w:tc>
          <w:tcPr>
            <w:tcW w:w="737" w:type="dxa"/>
            <w:tcBorders>
              <w:top w:val="nil"/>
              <w:left w:val="nil"/>
              <w:bottom w:val="single" w:sz="4" w:space="0" w:color="auto"/>
              <w:right w:val="single" w:sz="4" w:space="0" w:color="auto"/>
            </w:tcBorders>
            <w:shd w:val="clear" w:color="auto" w:fill="FF9A8B"/>
            <w:noWrap/>
            <w:vAlign w:val="center"/>
            <w:hideMark/>
          </w:tcPr>
          <w:p w14:paraId="791C992B"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0,858</w:t>
            </w:r>
          </w:p>
        </w:tc>
        <w:tc>
          <w:tcPr>
            <w:tcW w:w="737" w:type="dxa"/>
            <w:tcBorders>
              <w:top w:val="nil"/>
              <w:left w:val="nil"/>
              <w:bottom w:val="single" w:sz="4" w:space="0" w:color="auto"/>
              <w:right w:val="single" w:sz="4" w:space="0" w:color="auto"/>
            </w:tcBorders>
            <w:shd w:val="clear" w:color="auto" w:fill="FF9A8B"/>
            <w:noWrap/>
            <w:vAlign w:val="center"/>
            <w:hideMark/>
          </w:tcPr>
          <w:p w14:paraId="592D00FA"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-0,664</w:t>
            </w:r>
          </w:p>
        </w:tc>
        <w:tc>
          <w:tcPr>
            <w:tcW w:w="737" w:type="dxa"/>
            <w:tcBorders>
              <w:top w:val="nil"/>
              <w:left w:val="nil"/>
              <w:bottom w:val="single" w:sz="4" w:space="0" w:color="auto"/>
              <w:right w:val="single" w:sz="4" w:space="0" w:color="auto"/>
            </w:tcBorders>
            <w:shd w:val="clear" w:color="auto" w:fill="FF9A8B"/>
            <w:noWrap/>
            <w:vAlign w:val="center"/>
            <w:hideMark/>
          </w:tcPr>
          <w:p w14:paraId="2E8B687D"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1,402</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35344BF1"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0,960</w:t>
            </w:r>
          </w:p>
        </w:tc>
        <w:tc>
          <w:tcPr>
            <w:tcW w:w="737" w:type="dxa"/>
            <w:tcBorders>
              <w:top w:val="nil"/>
              <w:left w:val="nil"/>
              <w:bottom w:val="single" w:sz="4" w:space="0" w:color="auto"/>
              <w:right w:val="single" w:sz="4" w:space="0" w:color="auto"/>
            </w:tcBorders>
            <w:shd w:val="clear" w:color="auto" w:fill="auto"/>
            <w:noWrap/>
            <w:vAlign w:val="center"/>
            <w:hideMark/>
          </w:tcPr>
          <w:p w14:paraId="32522FCC"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-0,143</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16007762"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1,250</w:t>
            </w:r>
          </w:p>
        </w:tc>
        <w:tc>
          <w:tcPr>
            <w:tcW w:w="737" w:type="dxa"/>
            <w:tcBorders>
              <w:top w:val="nil"/>
              <w:left w:val="nil"/>
              <w:bottom w:val="single" w:sz="4" w:space="0" w:color="auto"/>
              <w:right w:val="single" w:sz="4" w:space="0" w:color="auto"/>
            </w:tcBorders>
            <w:shd w:val="clear" w:color="auto" w:fill="auto"/>
            <w:noWrap/>
            <w:vAlign w:val="center"/>
            <w:hideMark/>
          </w:tcPr>
          <w:p w14:paraId="2AF0AF03"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0,521</w:t>
            </w:r>
          </w:p>
        </w:tc>
        <w:tc>
          <w:tcPr>
            <w:tcW w:w="737" w:type="dxa"/>
            <w:tcBorders>
              <w:top w:val="nil"/>
              <w:left w:val="nil"/>
              <w:bottom w:val="single" w:sz="4" w:space="0" w:color="auto"/>
              <w:right w:val="single" w:sz="4" w:space="0" w:color="auto"/>
            </w:tcBorders>
            <w:shd w:val="clear" w:color="auto" w:fill="auto"/>
            <w:noWrap/>
            <w:vAlign w:val="center"/>
            <w:hideMark/>
          </w:tcPr>
          <w:p w14:paraId="6E76D9B5"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0,198</w:t>
            </w:r>
          </w:p>
        </w:tc>
        <w:tc>
          <w:tcPr>
            <w:tcW w:w="737" w:type="dxa"/>
            <w:tcBorders>
              <w:top w:val="nil"/>
              <w:left w:val="nil"/>
              <w:bottom w:val="single" w:sz="4" w:space="0" w:color="auto"/>
              <w:right w:val="single" w:sz="4" w:space="0" w:color="auto"/>
            </w:tcBorders>
            <w:shd w:val="clear" w:color="auto" w:fill="auto"/>
            <w:noWrap/>
            <w:vAlign w:val="center"/>
            <w:hideMark/>
          </w:tcPr>
          <w:p w14:paraId="608AE9DD"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0,504</w:t>
            </w:r>
          </w:p>
        </w:tc>
      </w:tr>
      <w:tr w:rsidR="008A2A09" w:rsidRPr="008A2A09" w14:paraId="1F5410CE" w14:textId="77777777" w:rsidTr="007D3210">
        <w:trPr>
          <w:trHeight w:val="454"/>
          <w:jc w:val="center"/>
        </w:trPr>
        <w:tc>
          <w:tcPr>
            <w:tcW w:w="73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4E06A4B" w14:textId="77777777" w:rsidR="008A2A09" w:rsidRPr="008A2A09" w:rsidRDefault="008A2A09" w:rsidP="008A2A09">
            <w:pPr>
              <w:spacing w:before="0" w:after="0" w:line="240" w:lineRule="auto"/>
              <w:jc w:val="center"/>
              <w:rPr>
                <w:rFonts w:eastAsia="Times New Roman"/>
                <w:b/>
                <w:bCs/>
                <w:color w:val="000000"/>
                <w:sz w:val="22"/>
                <w:lang w:eastAsia="pl-PL"/>
              </w:rPr>
            </w:pPr>
            <w:r w:rsidRPr="008A2A09">
              <w:rPr>
                <w:rFonts w:eastAsia="Times New Roman"/>
                <w:b/>
                <w:bCs/>
                <w:color w:val="000000"/>
                <w:sz w:val="22"/>
                <w:lang w:eastAsia="pl-PL"/>
              </w:rPr>
              <w:t>gr. II</w:t>
            </w:r>
          </w:p>
        </w:tc>
        <w:tc>
          <w:tcPr>
            <w:tcW w:w="737" w:type="dxa"/>
            <w:tcBorders>
              <w:top w:val="nil"/>
              <w:left w:val="nil"/>
              <w:bottom w:val="single" w:sz="4" w:space="0" w:color="auto"/>
              <w:right w:val="single" w:sz="4" w:space="0" w:color="auto"/>
            </w:tcBorders>
            <w:shd w:val="clear" w:color="auto" w:fill="auto"/>
            <w:noWrap/>
            <w:vAlign w:val="center"/>
            <w:hideMark/>
          </w:tcPr>
          <w:p w14:paraId="305A7845"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-0,435</w:t>
            </w:r>
          </w:p>
        </w:tc>
        <w:tc>
          <w:tcPr>
            <w:tcW w:w="737" w:type="dxa"/>
            <w:tcBorders>
              <w:top w:val="nil"/>
              <w:left w:val="nil"/>
              <w:bottom w:val="single" w:sz="4" w:space="0" w:color="auto"/>
              <w:right w:val="single" w:sz="4" w:space="0" w:color="auto"/>
            </w:tcBorders>
            <w:shd w:val="clear" w:color="auto" w:fill="auto"/>
            <w:noWrap/>
            <w:vAlign w:val="center"/>
            <w:hideMark/>
          </w:tcPr>
          <w:p w14:paraId="19C4AB50"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0,134</w:t>
            </w:r>
          </w:p>
        </w:tc>
        <w:tc>
          <w:tcPr>
            <w:tcW w:w="737" w:type="dxa"/>
            <w:tcBorders>
              <w:top w:val="nil"/>
              <w:left w:val="nil"/>
              <w:bottom w:val="single" w:sz="4" w:space="0" w:color="auto"/>
              <w:right w:val="single" w:sz="4" w:space="0" w:color="auto"/>
            </w:tcBorders>
            <w:shd w:val="clear" w:color="auto" w:fill="auto"/>
            <w:noWrap/>
            <w:vAlign w:val="center"/>
            <w:hideMark/>
          </w:tcPr>
          <w:p w14:paraId="28ECD10A"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0,149</w:t>
            </w:r>
          </w:p>
        </w:tc>
        <w:tc>
          <w:tcPr>
            <w:tcW w:w="737" w:type="dxa"/>
            <w:tcBorders>
              <w:top w:val="nil"/>
              <w:left w:val="nil"/>
              <w:bottom w:val="single" w:sz="4" w:space="0" w:color="auto"/>
              <w:right w:val="single" w:sz="4" w:space="0" w:color="auto"/>
            </w:tcBorders>
            <w:shd w:val="clear" w:color="auto" w:fill="auto"/>
            <w:noWrap/>
            <w:vAlign w:val="center"/>
            <w:hideMark/>
          </w:tcPr>
          <w:p w14:paraId="201C3038"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-0,251</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7472A809"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1,169</w:t>
            </w:r>
          </w:p>
        </w:tc>
        <w:tc>
          <w:tcPr>
            <w:tcW w:w="737" w:type="dxa"/>
            <w:tcBorders>
              <w:top w:val="nil"/>
              <w:left w:val="nil"/>
              <w:bottom w:val="single" w:sz="4" w:space="0" w:color="auto"/>
              <w:right w:val="single" w:sz="4" w:space="0" w:color="auto"/>
            </w:tcBorders>
            <w:shd w:val="clear" w:color="auto" w:fill="auto"/>
            <w:noWrap/>
            <w:vAlign w:val="center"/>
            <w:hideMark/>
          </w:tcPr>
          <w:p w14:paraId="6DA55D59"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0,016</w:t>
            </w:r>
          </w:p>
        </w:tc>
        <w:tc>
          <w:tcPr>
            <w:tcW w:w="737" w:type="dxa"/>
            <w:tcBorders>
              <w:top w:val="nil"/>
              <w:left w:val="nil"/>
              <w:bottom w:val="single" w:sz="4" w:space="0" w:color="auto"/>
              <w:right w:val="single" w:sz="4" w:space="0" w:color="auto"/>
            </w:tcBorders>
            <w:shd w:val="clear" w:color="auto" w:fill="auto"/>
            <w:noWrap/>
            <w:vAlign w:val="center"/>
            <w:hideMark/>
          </w:tcPr>
          <w:p w14:paraId="7BFB17BD"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0,312</w:t>
            </w:r>
          </w:p>
        </w:tc>
        <w:tc>
          <w:tcPr>
            <w:tcW w:w="737" w:type="dxa"/>
            <w:tcBorders>
              <w:top w:val="nil"/>
              <w:left w:val="nil"/>
              <w:bottom w:val="single" w:sz="4" w:space="0" w:color="auto"/>
              <w:right w:val="single" w:sz="4" w:space="0" w:color="auto"/>
            </w:tcBorders>
            <w:shd w:val="clear" w:color="auto" w:fill="auto"/>
            <w:noWrap/>
            <w:vAlign w:val="center"/>
            <w:hideMark/>
          </w:tcPr>
          <w:p w14:paraId="6ACAA9F7"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-0,676</w:t>
            </w:r>
          </w:p>
        </w:tc>
        <w:tc>
          <w:tcPr>
            <w:tcW w:w="737" w:type="dxa"/>
            <w:tcBorders>
              <w:top w:val="nil"/>
              <w:left w:val="nil"/>
              <w:bottom w:val="single" w:sz="4" w:space="0" w:color="auto"/>
              <w:right w:val="single" w:sz="4" w:space="0" w:color="auto"/>
            </w:tcBorders>
            <w:shd w:val="clear" w:color="auto" w:fill="auto"/>
            <w:noWrap/>
            <w:vAlign w:val="center"/>
            <w:hideMark/>
          </w:tcPr>
          <w:p w14:paraId="7BE74FC1"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0,088</w:t>
            </w:r>
          </w:p>
        </w:tc>
        <w:tc>
          <w:tcPr>
            <w:tcW w:w="737" w:type="dxa"/>
            <w:tcBorders>
              <w:top w:val="nil"/>
              <w:left w:val="nil"/>
              <w:bottom w:val="single" w:sz="4" w:space="0" w:color="auto"/>
              <w:right w:val="single" w:sz="4" w:space="0" w:color="auto"/>
            </w:tcBorders>
            <w:shd w:val="clear" w:color="auto" w:fill="auto"/>
            <w:noWrap/>
            <w:vAlign w:val="center"/>
            <w:hideMark/>
          </w:tcPr>
          <w:p w14:paraId="73EB9606"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-0,482</w:t>
            </w:r>
          </w:p>
        </w:tc>
        <w:tc>
          <w:tcPr>
            <w:tcW w:w="737" w:type="dxa"/>
            <w:tcBorders>
              <w:top w:val="nil"/>
              <w:left w:val="nil"/>
              <w:bottom w:val="single" w:sz="4" w:space="0" w:color="auto"/>
              <w:right w:val="single" w:sz="4" w:space="0" w:color="auto"/>
            </w:tcBorders>
            <w:shd w:val="clear" w:color="auto" w:fill="FF9A8B"/>
            <w:noWrap/>
            <w:vAlign w:val="center"/>
            <w:hideMark/>
          </w:tcPr>
          <w:p w14:paraId="2FE74836"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-0,577</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56CA05F9"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-0,539</w:t>
            </w:r>
          </w:p>
        </w:tc>
      </w:tr>
      <w:tr w:rsidR="008A2A09" w:rsidRPr="008A2A09" w14:paraId="0EFA9A43" w14:textId="77777777" w:rsidTr="007D3210">
        <w:trPr>
          <w:trHeight w:val="454"/>
          <w:jc w:val="center"/>
        </w:trPr>
        <w:tc>
          <w:tcPr>
            <w:tcW w:w="73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7155F29" w14:textId="77777777" w:rsidR="008A2A09" w:rsidRPr="008A2A09" w:rsidRDefault="008A2A09" w:rsidP="008A2A09">
            <w:pPr>
              <w:spacing w:before="0" w:after="0" w:line="240" w:lineRule="auto"/>
              <w:jc w:val="center"/>
              <w:rPr>
                <w:rFonts w:eastAsia="Times New Roman"/>
                <w:b/>
                <w:bCs/>
                <w:color w:val="000000"/>
                <w:sz w:val="22"/>
                <w:lang w:eastAsia="pl-PL"/>
              </w:rPr>
            </w:pPr>
            <w:r w:rsidRPr="008A2A09">
              <w:rPr>
                <w:rFonts w:eastAsia="Times New Roman"/>
                <w:b/>
                <w:bCs/>
                <w:color w:val="000000"/>
                <w:sz w:val="22"/>
                <w:lang w:eastAsia="pl-PL"/>
              </w:rPr>
              <w:t>gr. III</w:t>
            </w:r>
          </w:p>
        </w:tc>
        <w:tc>
          <w:tcPr>
            <w:tcW w:w="737" w:type="dxa"/>
            <w:tcBorders>
              <w:top w:val="nil"/>
              <w:left w:val="nil"/>
              <w:bottom w:val="single" w:sz="4" w:space="0" w:color="auto"/>
              <w:right w:val="single" w:sz="4" w:space="0" w:color="auto"/>
            </w:tcBorders>
            <w:shd w:val="clear" w:color="auto" w:fill="FF9A8B"/>
            <w:noWrap/>
            <w:vAlign w:val="center"/>
            <w:hideMark/>
          </w:tcPr>
          <w:p w14:paraId="09F0AE2B"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-1,049</w:t>
            </w:r>
          </w:p>
        </w:tc>
        <w:tc>
          <w:tcPr>
            <w:tcW w:w="737" w:type="dxa"/>
            <w:tcBorders>
              <w:top w:val="nil"/>
              <w:left w:val="nil"/>
              <w:bottom w:val="single" w:sz="4" w:space="0" w:color="auto"/>
              <w:right w:val="single" w:sz="4" w:space="0" w:color="auto"/>
            </w:tcBorders>
            <w:shd w:val="clear" w:color="auto" w:fill="FF9A8B"/>
            <w:noWrap/>
            <w:vAlign w:val="center"/>
            <w:hideMark/>
          </w:tcPr>
          <w:p w14:paraId="71566E47"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1,554</w:t>
            </w:r>
          </w:p>
        </w:tc>
        <w:tc>
          <w:tcPr>
            <w:tcW w:w="737" w:type="dxa"/>
            <w:tcBorders>
              <w:top w:val="nil"/>
              <w:left w:val="nil"/>
              <w:bottom w:val="single" w:sz="4" w:space="0" w:color="auto"/>
              <w:right w:val="single" w:sz="4" w:space="0" w:color="auto"/>
            </w:tcBorders>
            <w:shd w:val="clear" w:color="auto" w:fill="auto"/>
            <w:noWrap/>
            <w:vAlign w:val="center"/>
            <w:hideMark/>
          </w:tcPr>
          <w:p w14:paraId="1BD17EA6"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-0,781</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4EF46C83"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-1,094</w:t>
            </w:r>
          </w:p>
        </w:tc>
        <w:tc>
          <w:tcPr>
            <w:tcW w:w="737" w:type="dxa"/>
            <w:tcBorders>
              <w:top w:val="nil"/>
              <w:left w:val="nil"/>
              <w:bottom w:val="single" w:sz="4" w:space="0" w:color="auto"/>
              <w:right w:val="single" w:sz="4" w:space="0" w:color="auto"/>
            </w:tcBorders>
            <w:shd w:val="clear" w:color="auto" w:fill="auto"/>
            <w:noWrap/>
            <w:vAlign w:val="center"/>
            <w:hideMark/>
          </w:tcPr>
          <w:p w14:paraId="11F3BF00"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-0,549</w:t>
            </w:r>
          </w:p>
        </w:tc>
        <w:tc>
          <w:tcPr>
            <w:tcW w:w="737" w:type="dxa"/>
            <w:tcBorders>
              <w:top w:val="nil"/>
              <w:left w:val="nil"/>
              <w:bottom w:val="single" w:sz="4" w:space="0" w:color="auto"/>
              <w:right w:val="single" w:sz="4" w:space="0" w:color="auto"/>
            </w:tcBorders>
            <w:shd w:val="clear" w:color="auto" w:fill="auto"/>
            <w:noWrap/>
            <w:vAlign w:val="center"/>
            <w:hideMark/>
          </w:tcPr>
          <w:p w14:paraId="4EF31B92"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-0,563</w:t>
            </w:r>
          </w:p>
        </w:tc>
        <w:tc>
          <w:tcPr>
            <w:tcW w:w="737" w:type="dxa"/>
            <w:tcBorders>
              <w:top w:val="nil"/>
              <w:left w:val="nil"/>
              <w:bottom w:val="single" w:sz="4" w:space="0" w:color="auto"/>
              <w:right w:val="single" w:sz="4" w:space="0" w:color="auto"/>
            </w:tcBorders>
            <w:shd w:val="clear" w:color="auto" w:fill="auto"/>
            <w:noWrap/>
            <w:vAlign w:val="center"/>
            <w:hideMark/>
          </w:tcPr>
          <w:p w14:paraId="5F758F32"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-0,730</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3C03653B"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-0,812</w:t>
            </w:r>
          </w:p>
        </w:tc>
        <w:tc>
          <w:tcPr>
            <w:tcW w:w="737" w:type="dxa"/>
            <w:tcBorders>
              <w:top w:val="nil"/>
              <w:left w:val="nil"/>
              <w:bottom w:val="single" w:sz="4" w:space="0" w:color="auto"/>
              <w:right w:val="single" w:sz="4" w:space="0" w:color="auto"/>
            </w:tcBorders>
            <w:shd w:val="clear" w:color="auto" w:fill="auto"/>
            <w:noWrap/>
            <w:vAlign w:val="center"/>
            <w:hideMark/>
          </w:tcPr>
          <w:p w14:paraId="694F49C5"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-0,390</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21CDF365"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-1,670</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74FF2196"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2,939</w:t>
            </w:r>
          </w:p>
        </w:tc>
        <w:tc>
          <w:tcPr>
            <w:tcW w:w="737" w:type="dxa"/>
            <w:tcBorders>
              <w:top w:val="nil"/>
              <w:left w:val="nil"/>
              <w:bottom w:val="single" w:sz="4" w:space="0" w:color="auto"/>
              <w:right w:val="single" w:sz="4" w:space="0" w:color="auto"/>
            </w:tcBorders>
            <w:shd w:val="clear" w:color="auto" w:fill="auto"/>
            <w:noWrap/>
            <w:vAlign w:val="center"/>
            <w:hideMark/>
          </w:tcPr>
          <w:p w14:paraId="7AB864A9"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-0,255</w:t>
            </w:r>
          </w:p>
        </w:tc>
      </w:tr>
      <w:tr w:rsidR="008A2A09" w:rsidRPr="008A2A09" w14:paraId="36EA694A" w14:textId="77777777" w:rsidTr="007D3210">
        <w:trPr>
          <w:trHeight w:val="454"/>
          <w:jc w:val="center"/>
        </w:trPr>
        <w:tc>
          <w:tcPr>
            <w:tcW w:w="73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EFCC159" w14:textId="77777777" w:rsidR="008A2A09" w:rsidRPr="008A2A09" w:rsidRDefault="008A2A09" w:rsidP="008A2A09">
            <w:pPr>
              <w:spacing w:before="0" w:after="0" w:line="240" w:lineRule="auto"/>
              <w:jc w:val="center"/>
              <w:rPr>
                <w:rFonts w:eastAsia="Times New Roman"/>
                <w:b/>
                <w:bCs/>
                <w:color w:val="000000"/>
                <w:sz w:val="22"/>
                <w:lang w:eastAsia="pl-PL"/>
              </w:rPr>
            </w:pPr>
            <w:r w:rsidRPr="008A2A09">
              <w:rPr>
                <w:rFonts w:eastAsia="Times New Roman"/>
                <w:b/>
                <w:bCs/>
                <w:color w:val="000000"/>
                <w:sz w:val="22"/>
                <w:lang w:eastAsia="pl-PL"/>
              </w:rPr>
              <w:t>gr. IV</w:t>
            </w:r>
          </w:p>
        </w:tc>
        <w:tc>
          <w:tcPr>
            <w:tcW w:w="737" w:type="dxa"/>
            <w:tcBorders>
              <w:top w:val="nil"/>
              <w:left w:val="nil"/>
              <w:bottom w:val="single" w:sz="4" w:space="0" w:color="auto"/>
              <w:right w:val="single" w:sz="4" w:space="0" w:color="auto"/>
            </w:tcBorders>
            <w:shd w:val="clear" w:color="auto" w:fill="auto"/>
            <w:noWrap/>
            <w:vAlign w:val="center"/>
            <w:hideMark/>
          </w:tcPr>
          <w:p w14:paraId="01925857"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-0,652</w:t>
            </w:r>
          </w:p>
        </w:tc>
        <w:tc>
          <w:tcPr>
            <w:tcW w:w="737" w:type="dxa"/>
            <w:tcBorders>
              <w:top w:val="nil"/>
              <w:left w:val="nil"/>
              <w:bottom w:val="single" w:sz="4" w:space="0" w:color="auto"/>
              <w:right w:val="single" w:sz="4" w:space="0" w:color="auto"/>
            </w:tcBorders>
            <w:shd w:val="clear" w:color="auto" w:fill="auto"/>
            <w:noWrap/>
            <w:vAlign w:val="center"/>
            <w:hideMark/>
          </w:tcPr>
          <w:p w14:paraId="6653AF62"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0,482</w:t>
            </w:r>
          </w:p>
        </w:tc>
        <w:tc>
          <w:tcPr>
            <w:tcW w:w="737" w:type="dxa"/>
            <w:tcBorders>
              <w:top w:val="nil"/>
              <w:left w:val="nil"/>
              <w:bottom w:val="single" w:sz="4" w:space="0" w:color="auto"/>
              <w:right w:val="single" w:sz="4" w:space="0" w:color="auto"/>
            </w:tcBorders>
            <w:shd w:val="clear" w:color="auto" w:fill="FF9A8B"/>
            <w:noWrap/>
            <w:vAlign w:val="center"/>
            <w:hideMark/>
          </w:tcPr>
          <w:p w14:paraId="337C4222"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-0,991</w:t>
            </w:r>
          </w:p>
        </w:tc>
        <w:tc>
          <w:tcPr>
            <w:tcW w:w="737" w:type="dxa"/>
            <w:tcBorders>
              <w:top w:val="nil"/>
              <w:left w:val="nil"/>
              <w:bottom w:val="single" w:sz="4" w:space="0" w:color="auto"/>
              <w:right w:val="single" w:sz="4" w:space="0" w:color="auto"/>
            </w:tcBorders>
            <w:shd w:val="clear" w:color="auto" w:fill="auto"/>
            <w:noWrap/>
            <w:vAlign w:val="center"/>
            <w:hideMark/>
          </w:tcPr>
          <w:p w14:paraId="4101D723"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-0,598</w:t>
            </w:r>
          </w:p>
        </w:tc>
        <w:tc>
          <w:tcPr>
            <w:tcW w:w="737" w:type="dxa"/>
            <w:tcBorders>
              <w:top w:val="nil"/>
              <w:left w:val="nil"/>
              <w:bottom w:val="single" w:sz="4" w:space="0" w:color="auto"/>
              <w:right w:val="single" w:sz="4" w:space="0" w:color="auto"/>
            </w:tcBorders>
            <w:shd w:val="clear" w:color="auto" w:fill="auto"/>
            <w:noWrap/>
            <w:vAlign w:val="center"/>
            <w:hideMark/>
          </w:tcPr>
          <w:p w14:paraId="7EA729CF"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-0,535</w:t>
            </w:r>
          </w:p>
        </w:tc>
        <w:tc>
          <w:tcPr>
            <w:tcW w:w="737" w:type="dxa"/>
            <w:tcBorders>
              <w:top w:val="nil"/>
              <w:left w:val="nil"/>
              <w:bottom w:val="single" w:sz="4" w:space="0" w:color="auto"/>
              <w:right w:val="single" w:sz="4" w:space="0" w:color="auto"/>
            </w:tcBorders>
            <w:shd w:val="clear" w:color="auto" w:fill="auto"/>
            <w:noWrap/>
            <w:vAlign w:val="center"/>
            <w:hideMark/>
          </w:tcPr>
          <w:p w14:paraId="6DFBF111"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-0,784</w:t>
            </w:r>
          </w:p>
        </w:tc>
        <w:tc>
          <w:tcPr>
            <w:tcW w:w="737" w:type="dxa"/>
            <w:tcBorders>
              <w:top w:val="nil"/>
              <w:left w:val="nil"/>
              <w:bottom w:val="single" w:sz="4" w:space="0" w:color="auto"/>
              <w:right w:val="single" w:sz="4" w:space="0" w:color="auto"/>
            </w:tcBorders>
            <w:shd w:val="clear" w:color="auto" w:fill="FF9A8B"/>
            <w:noWrap/>
            <w:vAlign w:val="center"/>
            <w:hideMark/>
          </w:tcPr>
          <w:p w14:paraId="755C1794"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-0,784</w:t>
            </w:r>
          </w:p>
        </w:tc>
        <w:tc>
          <w:tcPr>
            <w:tcW w:w="737" w:type="dxa"/>
            <w:tcBorders>
              <w:top w:val="nil"/>
              <w:left w:val="nil"/>
              <w:bottom w:val="single" w:sz="4" w:space="0" w:color="auto"/>
              <w:right w:val="single" w:sz="4" w:space="0" w:color="auto"/>
            </w:tcBorders>
            <w:shd w:val="clear" w:color="auto" w:fill="auto"/>
            <w:noWrap/>
            <w:vAlign w:val="center"/>
            <w:hideMark/>
          </w:tcPr>
          <w:p w14:paraId="69017316"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-0,023</w:t>
            </w:r>
          </w:p>
        </w:tc>
        <w:tc>
          <w:tcPr>
            <w:tcW w:w="737" w:type="dxa"/>
            <w:tcBorders>
              <w:top w:val="nil"/>
              <w:left w:val="nil"/>
              <w:bottom w:val="single" w:sz="4" w:space="0" w:color="auto"/>
              <w:right w:val="single" w:sz="4" w:space="0" w:color="auto"/>
            </w:tcBorders>
            <w:shd w:val="clear" w:color="auto" w:fill="FF9A8B"/>
            <w:noWrap/>
            <w:vAlign w:val="center"/>
            <w:hideMark/>
          </w:tcPr>
          <w:p w14:paraId="77A9099A"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-0,715</w:t>
            </w:r>
          </w:p>
        </w:tc>
        <w:tc>
          <w:tcPr>
            <w:tcW w:w="737" w:type="dxa"/>
            <w:tcBorders>
              <w:top w:val="nil"/>
              <w:left w:val="nil"/>
              <w:bottom w:val="single" w:sz="4" w:space="0" w:color="auto"/>
              <w:right w:val="single" w:sz="4" w:space="0" w:color="auto"/>
            </w:tcBorders>
            <w:shd w:val="clear" w:color="auto" w:fill="auto"/>
            <w:noWrap/>
            <w:vAlign w:val="center"/>
            <w:hideMark/>
          </w:tcPr>
          <w:p w14:paraId="2AE24764"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-0,131</w:t>
            </w:r>
          </w:p>
        </w:tc>
        <w:tc>
          <w:tcPr>
            <w:tcW w:w="737" w:type="dxa"/>
            <w:tcBorders>
              <w:top w:val="nil"/>
              <w:left w:val="nil"/>
              <w:bottom w:val="single" w:sz="4" w:space="0" w:color="auto"/>
              <w:right w:val="single" w:sz="4" w:space="0" w:color="auto"/>
            </w:tcBorders>
            <w:shd w:val="clear" w:color="auto" w:fill="auto"/>
            <w:noWrap/>
            <w:vAlign w:val="center"/>
            <w:hideMark/>
          </w:tcPr>
          <w:p w14:paraId="45D99720"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-0,466</w:t>
            </w:r>
          </w:p>
        </w:tc>
        <w:tc>
          <w:tcPr>
            <w:tcW w:w="737" w:type="dxa"/>
            <w:tcBorders>
              <w:top w:val="nil"/>
              <w:left w:val="nil"/>
              <w:bottom w:val="single" w:sz="4" w:space="0" w:color="auto"/>
              <w:right w:val="single" w:sz="4" w:space="0" w:color="auto"/>
            </w:tcBorders>
            <w:shd w:val="clear" w:color="auto" w:fill="auto"/>
            <w:noWrap/>
            <w:vAlign w:val="center"/>
            <w:hideMark/>
          </w:tcPr>
          <w:p w14:paraId="4787919F"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-0,306</w:t>
            </w:r>
          </w:p>
        </w:tc>
      </w:tr>
      <w:tr w:rsidR="008A2A09" w:rsidRPr="008A2A09" w14:paraId="18AD67CB" w14:textId="77777777" w:rsidTr="007D3210">
        <w:trPr>
          <w:trHeight w:val="454"/>
          <w:jc w:val="center"/>
        </w:trPr>
        <w:tc>
          <w:tcPr>
            <w:tcW w:w="73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9D5FE45" w14:textId="77777777" w:rsidR="008A2A09" w:rsidRPr="008A2A09" w:rsidRDefault="008A2A09" w:rsidP="008A2A09">
            <w:pPr>
              <w:spacing w:before="0" w:after="0" w:line="240" w:lineRule="auto"/>
              <w:jc w:val="center"/>
              <w:rPr>
                <w:rFonts w:eastAsia="Times New Roman"/>
                <w:b/>
                <w:bCs/>
                <w:color w:val="000000"/>
                <w:sz w:val="22"/>
                <w:lang w:eastAsia="pl-PL"/>
              </w:rPr>
            </w:pPr>
            <w:r w:rsidRPr="008A2A09">
              <w:rPr>
                <w:rFonts w:eastAsia="Times New Roman"/>
                <w:b/>
                <w:bCs/>
                <w:color w:val="000000"/>
                <w:sz w:val="22"/>
                <w:lang w:eastAsia="pl-PL"/>
              </w:rPr>
              <w:t>gr. V</w:t>
            </w:r>
          </w:p>
        </w:tc>
        <w:tc>
          <w:tcPr>
            <w:tcW w:w="737" w:type="dxa"/>
            <w:tcBorders>
              <w:top w:val="nil"/>
              <w:left w:val="nil"/>
              <w:bottom w:val="single" w:sz="4" w:space="0" w:color="auto"/>
              <w:right w:val="single" w:sz="4" w:space="0" w:color="auto"/>
            </w:tcBorders>
            <w:shd w:val="clear" w:color="auto" w:fill="auto"/>
            <w:noWrap/>
            <w:vAlign w:val="center"/>
            <w:hideMark/>
          </w:tcPr>
          <w:p w14:paraId="0188745D"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0,307</w:t>
            </w:r>
          </w:p>
        </w:tc>
        <w:tc>
          <w:tcPr>
            <w:tcW w:w="737" w:type="dxa"/>
            <w:tcBorders>
              <w:top w:val="nil"/>
              <w:left w:val="nil"/>
              <w:bottom w:val="single" w:sz="4" w:space="0" w:color="auto"/>
              <w:right w:val="single" w:sz="4" w:space="0" w:color="auto"/>
            </w:tcBorders>
            <w:shd w:val="clear" w:color="auto" w:fill="auto"/>
            <w:noWrap/>
            <w:vAlign w:val="center"/>
            <w:hideMark/>
          </w:tcPr>
          <w:p w14:paraId="6AE4B859"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-0,697</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638120BF"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1,229</w:t>
            </w:r>
          </w:p>
        </w:tc>
        <w:tc>
          <w:tcPr>
            <w:tcW w:w="737" w:type="dxa"/>
            <w:tcBorders>
              <w:top w:val="nil"/>
              <w:left w:val="nil"/>
              <w:bottom w:val="single" w:sz="4" w:space="0" w:color="auto"/>
              <w:right w:val="single" w:sz="4" w:space="0" w:color="auto"/>
            </w:tcBorders>
            <w:shd w:val="clear" w:color="auto" w:fill="auto"/>
            <w:noWrap/>
            <w:vAlign w:val="center"/>
            <w:hideMark/>
          </w:tcPr>
          <w:p w14:paraId="6BD232B3"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0,828</w:t>
            </w:r>
          </w:p>
        </w:tc>
        <w:tc>
          <w:tcPr>
            <w:tcW w:w="737" w:type="dxa"/>
            <w:tcBorders>
              <w:top w:val="nil"/>
              <w:left w:val="nil"/>
              <w:bottom w:val="single" w:sz="4" w:space="0" w:color="auto"/>
              <w:right w:val="single" w:sz="4" w:space="0" w:color="auto"/>
            </w:tcBorders>
            <w:shd w:val="clear" w:color="auto" w:fill="auto"/>
            <w:noWrap/>
            <w:vAlign w:val="center"/>
            <w:hideMark/>
          </w:tcPr>
          <w:p w14:paraId="79EFEBC5"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0,602</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0434D03E"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-0,595</w:t>
            </w:r>
          </w:p>
        </w:tc>
        <w:tc>
          <w:tcPr>
            <w:tcW w:w="737" w:type="dxa"/>
            <w:tcBorders>
              <w:top w:val="nil"/>
              <w:left w:val="nil"/>
              <w:bottom w:val="single" w:sz="4" w:space="0" w:color="auto"/>
              <w:right w:val="single" w:sz="4" w:space="0" w:color="auto"/>
            </w:tcBorders>
            <w:shd w:val="clear" w:color="auto" w:fill="auto"/>
            <w:noWrap/>
            <w:vAlign w:val="center"/>
            <w:hideMark/>
          </w:tcPr>
          <w:p w14:paraId="79258EBF"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-0,220</w:t>
            </w:r>
          </w:p>
        </w:tc>
        <w:tc>
          <w:tcPr>
            <w:tcW w:w="737" w:type="dxa"/>
            <w:tcBorders>
              <w:top w:val="nil"/>
              <w:left w:val="nil"/>
              <w:bottom w:val="single" w:sz="4" w:space="0" w:color="auto"/>
              <w:right w:val="single" w:sz="4" w:space="0" w:color="auto"/>
            </w:tcBorders>
            <w:shd w:val="clear" w:color="auto" w:fill="FF9A8B"/>
            <w:noWrap/>
            <w:vAlign w:val="center"/>
            <w:hideMark/>
          </w:tcPr>
          <w:p w14:paraId="30E22661"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2,102</w:t>
            </w:r>
          </w:p>
        </w:tc>
        <w:tc>
          <w:tcPr>
            <w:tcW w:w="737" w:type="dxa"/>
            <w:tcBorders>
              <w:top w:val="nil"/>
              <w:left w:val="nil"/>
              <w:bottom w:val="single" w:sz="4" w:space="0" w:color="auto"/>
              <w:right w:val="single" w:sz="4" w:space="0" w:color="auto"/>
            </w:tcBorders>
            <w:shd w:val="clear" w:color="auto" w:fill="auto"/>
            <w:noWrap/>
            <w:vAlign w:val="center"/>
            <w:hideMark/>
          </w:tcPr>
          <w:p w14:paraId="6EE72DC7"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-0,694</w:t>
            </w:r>
          </w:p>
        </w:tc>
        <w:tc>
          <w:tcPr>
            <w:tcW w:w="737" w:type="dxa"/>
            <w:tcBorders>
              <w:top w:val="nil"/>
              <w:left w:val="nil"/>
              <w:bottom w:val="single" w:sz="4" w:space="0" w:color="auto"/>
              <w:right w:val="single" w:sz="4" w:space="0" w:color="auto"/>
            </w:tcBorders>
            <w:shd w:val="clear" w:color="auto" w:fill="FF9A8B"/>
            <w:noWrap/>
            <w:vAlign w:val="center"/>
            <w:hideMark/>
          </w:tcPr>
          <w:p w14:paraId="35D423A1"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1,084</w:t>
            </w:r>
          </w:p>
        </w:tc>
        <w:tc>
          <w:tcPr>
            <w:tcW w:w="737" w:type="dxa"/>
            <w:tcBorders>
              <w:top w:val="nil"/>
              <w:left w:val="nil"/>
              <w:bottom w:val="single" w:sz="4" w:space="0" w:color="auto"/>
              <w:right w:val="single" w:sz="4" w:space="0" w:color="auto"/>
            </w:tcBorders>
            <w:shd w:val="clear" w:color="auto" w:fill="auto"/>
            <w:noWrap/>
            <w:vAlign w:val="center"/>
            <w:hideMark/>
          </w:tcPr>
          <w:p w14:paraId="2667A664" w14:textId="77777777" w:rsidR="008A2A09" w:rsidRPr="008A2A09" w:rsidRDefault="008A2A09" w:rsidP="008A2A09">
            <w:pPr>
              <w:spacing w:before="0" w:after="0" w:line="240" w:lineRule="auto"/>
              <w:jc w:val="center"/>
              <w:rPr>
                <w:rFonts w:eastAsia="Times New Roman"/>
                <w:color w:val="000000"/>
                <w:sz w:val="22"/>
                <w:lang w:eastAsia="pl-PL"/>
              </w:rPr>
            </w:pPr>
            <w:r w:rsidRPr="008A2A09">
              <w:rPr>
                <w:rFonts w:eastAsia="Times New Roman"/>
                <w:color w:val="000000"/>
                <w:sz w:val="22"/>
                <w:lang w:eastAsia="pl-PL"/>
              </w:rPr>
              <w:t>0,455</w:t>
            </w:r>
          </w:p>
        </w:tc>
        <w:tc>
          <w:tcPr>
            <w:tcW w:w="737" w:type="dxa"/>
            <w:tcBorders>
              <w:top w:val="nil"/>
              <w:left w:val="nil"/>
              <w:bottom w:val="single" w:sz="4" w:space="0" w:color="auto"/>
              <w:right w:val="single" w:sz="4" w:space="0" w:color="auto"/>
            </w:tcBorders>
            <w:shd w:val="clear" w:color="auto" w:fill="FF9A8B"/>
            <w:noWrap/>
            <w:vAlign w:val="center"/>
            <w:hideMark/>
          </w:tcPr>
          <w:p w14:paraId="71670811" w14:textId="77777777" w:rsidR="008A2A09" w:rsidRPr="008A2A09" w:rsidRDefault="008A2A09" w:rsidP="0018183C">
            <w:pPr>
              <w:keepNext/>
              <w:spacing w:before="0" w:after="0" w:line="240" w:lineRule="auto"/>
              <w:jc w:val="center"/>
              <w:rPr>
                <w:rFonts w:eastAsia="Times New Roman"/>
                <w:color w:val="000000"/>
                <w:sz w:val="22"/>
                <w:lang w:eastAsia="pl-PL"/>
              </w:rPr>
            </w:pPr>
            <w:r w:rsidRPr="008A2A09">
              <w:rPr>
                <w:rFonts w:eastAsia="Times New Roman"/>
                <w:color w:val="000000"/>
                <w:sz w:val="22"/>
                <w:lang w:eastAsia="pl-PL"/>
              </w:rPr>
              <w:t>0,962</w:t>
            </w:r>
          </w:p>
        </w:tc>
      </w:tr>
    </w:tbl>
    <w:p w14:paraId="02F1BE41" w14:textId="1611AF45" w:rsidR="007D3210" w:rsidRDefault="0018183C" w:rsidP="0018183C">
      <w:pPr>
        <w:pStyle w:val="Legenda"/>
        <w:jc w:val="center"/>
      </w:pPr>
      <w:r>
        <w:t xml:space="preserve">Tabela </w:t>
      </w:r>
      <w:fldSimple w:instr=" SEQ Tabela \* ARABIC ">
        <w:r w:rsidR="00EF2DB4">
          <w:rPr>
            <w:noProof/>
          </w:rPr>
          <w:t>11</w:t>
        </w:r>
      </w:fldSimple>
      <w:r>
        <w:t xml:space="preserve">. </w:t>
      </w:r>
      <w:r w:rsidRPr="00B41B0B">
        <w:t xml:space="preserve">Średnie zmiennych w grupach otrzymanych w wyniku zastosowania metody k-średnich dla </w:t>
      </w:r>
      <w:r>
        <w:t>pięciu</w:t>
      </w:r>
      <w:r w:rsidRPr="00B41B0B">
        <w:t xml:space="preserve"> klastrów.</w:t>
      </w:r>
    </w:p>
    <w:p w14:paraId="642891C5" w14:textId="577ACFC5" w:rsidR="008A2A09" w:rsidRDefault="007D3210" w:rsidP="00D46410">
      <w:r>
        <w:tab/>
        <w:t xml:space="preserve">Wyniki </w:t>
      </w:r>
      <w:r w:rsidR="0018183C">
        <w:t>ukazują zdecydowanie ciekawszy podział, pozwalający wyróżnić województwa pod kątem szerszej grupy czynników.</w:t>
      </w:r>
      <w:r>
        <w:t xml:space="preserve"> </w:t>
      </w:r>
      <w:r w:rsidR="0018183C">
        <w:t>W</w:t>
      </w:r>
      <w:r>
        <w:t xml:space="preserve">ojewództwa grupy I (dolnośląskie, małopolskie, </w:t>
      </w:r>
      <w:r>
        <w:lastRenderedPageBreak/>
        <w:t>mazowieckie oraz pomorskie) charakteryzują się najwyższymi wynagrodzeniami i</w:t>
      </w:r>
      <w:r w:rsidR="0018183C">
        <w:t> </w:t>
      </w:r>
      <w:r>
        <w:t>jednocześnie najniższą stopą bezrobocia co świadczy o względnie dobrej sytuacji mieszkańców na rynku pracy. Z kolei pociągają za sobą wyższe koszty życia w tym najwyższe opłaty komunalne w kraju i najwyższe ceny za metr kwadratowy mieszkania.</w:t>
      </w:r>
    </w:p>
    <w:p w14:paraId="772FA861" w14:textId="036B950F" w:rsidR="007D3210" w:rsidRDefault="007D3210" w:rsidP="00D46410">
      <w:r>
        <w:tab/>
        <w:t>Kolejna grupa to województwo lubelskie podlaskie, wielkopolskie i</w:t>
      </w:r>
      <w:r w:rsidR="00D61063">
        <w:t> </w:t>
      </w:r>
      <w:r>
        <w:t xml:space="preserve">zachodniopomorskie. Mieszkańcy tych województw mogą się pochwalić największą liczbą aptek </w:t>
      </w:r>
      <w:r w:rsidR="008A6A2C">
        <w:t xml:space="preserve">i ponad przeciętną liczbą lekarzy, </w:t>
      </w:r>
      <w:r>
        <w:t>co może świadczyć o ogólnie bardzo dobrym dostępie do służby zdrowia. Ponadto na tych regionach odnotowano najmniej wypadków drogowych</w:t>
      </w:r>
      <w:r w:rsidR="00D61063">
        <w:t>. Z</w:t>
      </w:r>
      <w:r w:rsidR="008A6A2C">
        <w:t> </w:t>
      </w:r>
      <w:r w:rsidR="00D61063">
        <w:t>drugiej strony brakuje w tych województwach publicznych terenów zielonych, parków czy też lasów gminnych. W tym rankingu wypadają najgorzej na tle pozostałych województw.</w:t>
      </w:r>
    </w:p>
    <w:p w14:paraId="142F5021" w14:textId="0029EB30" w:rsidR="00D61063" w:rsidRDefault="00D61063" w:rsidP="00D46410">
      <w:r>
        <w:tab/>
        <w:t xml:space="preserve">Trzecią grupę stanowi wyłącznie województwo podkarpackie. Jest to ciekawy region, który z jednej strony boryka się z pewnymi trudnościami gospodarczymi (najniższe wynagrodzenie i najwyższa stopa bezrobocia), z kolei z drugiej oferuje najwięcej publicznej przestrzeni terenów zielonych. Ponadto na tym obszarze odnotowano </w:t>
      </w:r>
      <w:r w:rsidR="008A6A2C">
        <w:t xml:space="preserve">najniższe opłaty komunalne, </w:t>
      </w:r>
      <w:r>
        <w:t>najmniejszą emisję gazów oraz liczbę przestępstw.</w:t>
      </w:r>
    </w:p>
    <w:p w14:paraId="6B480717" w14:textId="565CB541" w:rsidR="008A6A2C" w:rsidRDefault="008A6A2C" w:rsidP="00D46410">
      <w:r>
        <w:tab/>
        <w:t>Na grupę czwartą składa się województwo lubuskie, opolskie, świętokrzyskie i warmińsko-mazurskie. To specyficzne zestawienie niestety w żadnej ze statystyk nie wypada najlepiej. Zdecydowanie jest to obszar z najgorszym dostępem do służby zdrowia, relatywnie niskimi wynagrodzeniami, niewielkim dostępem do szkolnictwa wyższego oraz słabo rozwijającą się gospodarką mieszkaniową.</w:t>
      </w:r>
    </w:p>
    <w:p w14:paraId="17229795" w14:textId="242FC0CD" w:rsidR="008A6A2C" w:rsidRDefault="008A6A2C" w:rsidP="00D46410">
      <w:r>
        <w:tab/>
        <w:t xml:space="preserve">Ostatnia grupa to województwo łódzkie i śląskie. </w:t>
      </w:r>
      <w:r w:rsidR="009A1AAE">
        <w:t>Charakteryzują się</w:t>
      </w:r>
      <w:r w:rsidR="009A1AAE" w:rsidRPr="009A1AAE">
        <w:t xml:space="preserve"> największą liczb</w:t>
      </w:r>
      <w:r w:rsidR="009A1AAE">
        <w:t>ą</w:t>
      </w:r>
      <w:r w:rsidR="009A1AAE" w:rsidRPr="009A1AAE">
        <w:t xml:space="preserve"> lekarzy oraz najniższ</w:t>
      </w:r>
      <w:r w:rsidR="009A1AAE">
        <w:t>ymi</w:t>
      </w:r>
      <w:r w:rsidR="009A1AAE" w:rsidRPr="009A1AAE">
        <w:t xml:space="preserve"> cen</w:t>
      </w:r>
      <w:r w:rsidR="009A1AAE">
        <w:t>ami</w:t>
      </w:r>
      <w:r w:rsidR="009A1AAE" w:rsidRPr="009A1AAE">
        <w:t xml:space="preserve"> mieszkań w Polsce. Duże aglomeracje, takie jak Łódź i</w:t>
      </w:r>
      <w:r w:rsidR="00533C46">
        <w:t> </w:t>
      </w:r>
      <w:r w:rsidR="009A1AAE" w:rsidRPr="009A1AAE">
        <w:t>Katowice, dysponują rozwiniętą infrastrukturą medyczną, co przyciąga specjalistów. Z</w:t>
      </w:r>
      <w:r w:rsidR="00533C46">
        <w:t> </w:t>
      </w:r>
      <w:r w:rsidR="009A1AAE" w:rsidRPr="009A1AAE">
        <w:t xml:space="preserve">drugiej strony, te regiony emitują najwięcej gazów, mają najwyższą liczbę przestępstw </w:t>
      </w:r>
      <w:r w:rsidR="00533C46">
        <w:t>oraz </w:t>
      </w:r>
      <w:r w:rsidR="009A1AAE" w:rsidRPr="009A1AAE">
        <w:t>wypadków drogowych, co jest efektem intensywnej industrializacji, gęstości zaludnienia</w:t>
      </w:r>
      <w:r w:rsidR="00533C46">
        <w:t xml:space="preserve">, a także </w:t>
      </w:r>
      <w:r w:rsidR="009A1AAE" w:rsidRPr="009A1AAE">
        <w:t>rozwoju transportu.</w:t>
      </w:r>
    </w:p>
    <w:p w14:paraId="10FC98E2" w14:textId="3AE9CC46" w:rsidR="0018183C" w:rsidRPr="00EF2DB4" w:rsidRDefault="0018183C" w:rsidP="0018183C">
      <w:pPr>
        <w:pStyle w:val="Nagwek2"/>
      </w:pPr>
      <w:hyperlink w:anchor="_Spis_treści" w:history="1">
        <w:bookmarkStart w:id="17" w:name="_Toc180602604"/>
        <w:r w:rsidRPr="00EF2DB4">
          <w:rPr>
            <w:rStyle w:val="Hipercze"/>
            <w:color w:val="000000" w:themeColor="text1"/>
            <w:u w:val="none"/>
          </w:rPr>
          <w:t>Grupowanie hierarchiczne</w:t>
        </w:r>
        <w:bookmarkEnd w:id="17"/>
      </w:hyperlink>
    </w:p>
    <w:p w14:paraId="7D0CEAC7" w14:textId="2429CC3E" w:rsidR="00C27B2F" w:rsidRPr="00D46410" w:rsidRDefault="00D61063" w:rsidP="00D46410">
      <w:r>
        <w:tab/>
      </w:r>
      <w:r w:rsidR="00777AB4">
        <w:t>Metoda</w:t>
      </w:r>
      <w:r w:rsidR="00777AB4" w:rsidRPr="00777AB4">
        <w:t xml:space="preserve"> </w:t>
      </w:r>
      <w:r w:rsidR="00777AB4">
        <w:t>Warda, w celu oszacowania odległości pomiędzy skupieniami, wykorzystuje analizę wariancji.</w:t>
      </w:r>
      <w:r w:rsidR="00777AB4" w:rsidRPr="00777AB4">
        <w:t xml:space="preserve"> </w:t>
      </w:r>
      <w:r w:rsidR="00777AB4">
        <w:t>W skrócie</w:t>
      </w:r>
      <w:r w:rsidR="00777AB4" w:rsidRPr="00777AB4">
        <w:t>, metoda ta zmierza do minimalizacji sumy kwadratów odchyleń dowolnych dwóch skupień, które mogą zostać uformowane na każdym etapie.</w:t>
      </w:r>
    </w:p>
    <w:p w14:paraId="77A897E2" w14:textId="77777777" w:rsidR="00777AB4" w:rsidRDefault="00777AB4" w:rsidP="00777AB4">
      <w:pPr>
        <w:keepNext/>
      </w:pPr>
      <w:r>
        <w:rPr>
          <w:noProof/>
          <w14:ligatures w14:val="standardContextual"/>
        </w:rPr>
        <w:drawing>
          <wp:inline distT="0" distB="0" distL="0" distR="0" wp14:anchorId="2EACC072" wp14:editId="3BE459FD">
            <wp:extent cx="5760720" cy="3169285"/>
            <wp:effectExtent l="0" t="0" r="5080" b="5715"/>
            <wp:docPr id="37028092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80927" name="Obraz 370280927"/>
                    <pic:cNvPicPr/>
                  </pic:nvPicPr>
                  <pic:blipFill>
                    <a:blip r:embed="rId14">
                      <a:extLst>
                        <a:ext uri="{28A0092B-C50C-407E-A947-70E740481C1C}">
                          <a14:useLocalDpi xmlns:a14="http://schemas.microsoft.com/office/drawing/2010/main" val="0"/>
                        </a:ext>
                      </a:extLst>
                    </a:blip>
                    <a:stretch>
                      <a:fillRect/>
                    </a:stretch>
                  </pic:blipFill>
                  <pic:spPr>
                    <a:xfrm>
                      <a:off x="0" y="0"/>
                      <a:ext cx="5760720" cy="3169285"/>
                    </a:xfrm>
                    <a:prstGeom prst="rect">
                      <a:avLst/>
                    </a:prstGeom>
                  </pic:spPr>
                </pic:pic>
              </a:graphicData>
            </a:graphic>
          </wp:inline>
        </w:drawing>
      </w:r>
    </w:p>
    <w:p w14:paraId="55EA5A2A" w14:textId="47BA2127" w:rsidR="00D46410" w:rsidRDefault="00777AB4" w:rsidP="00777AB4">
      <w:pPr>
        <w:pStyle w:val="Legenda"/>
        <w:jc w:val="center"/>
      </w:pPr>
      <w:r>
        <w:t xml:space="preserve">Rysunek </w:t>
      </w:r>
      <w:fldSimple w:instr=" SEQ Rysunek \* ARABIC ">
        <w:r w:rsidR="0072353B">
          <w:rPr>
            <w:noProof/>
          </w:rPr>
          <w:t>8</w:t>
        </w:r>
      </w:fldSimple>
      <w:r>
        <w:t>. Dendrogram dla dwóch klastrów</w:t>
      </w:r>
      <w:r w:rsidR="0072353B">
        <w:t xml:space="preserve"> uzyskanych metodą Warda.</w:t>
      </w:r>
    </w:p>
    <w:p w14:paraId="449A2390" w14:textId="77777777" w:rsidR="0072353B" w:rsidRDefault="0072353B" w:rsidP="0072353B">
      <w:pPr>
        <w:keepNext/>
      </w:pPr>
      <w:r>
        <w:rPr>
          <w:noProof/>
          <w14:ligatures w14:val="standardContextual"/>
        </w:rPr>
        <w:drawing>
          <wp:inline distT="0" distB="0" distL="0" distR="0" wp14:anchorId="149790DB" wp14:editId="7209BF25">
            <wp:extent cx="5760720" cy="3223260"/>
            <wp:effectExtent l="0" t="0" r="5080" b="2540"/>
            <wp:docPr id="2016835759" name="Obraz 3" descr="Obraz zawierający tekst, diagram, Równolegle,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35759" name="Obraz 3" descr="Obraz zawierający tekst, diagram, Równolegle, Plan&#10;&#10;Opis wygenerowany automatycznie"/>
                    <pic:cNvPicPr/>
                  </pic:nvPicPr>
                  <pic:blipFill>
                    <a:blip r:embed="rId15">
                      <a:extLst>
                        <a:ext uri="{28A0092B-C50C-407E-A947-70E740481C1C}">
                          <a14:useLocalDpi xmlns:a14="http://schemas.microsoft.com/office/drawing/2010/main" val="0"/>
                        </a:ext>
                      </a:extLst>
                    </a:blip>
                    <a:stretch>
                      <a:fillRect/>
                    </a:stretch>
                  </pic:blipFill>
                  <pic:spPr>
                    <a:xfrm>
                      <a:off x="0" y="0"/>
                      <a:ext cx="5760720" cy="3223260"/>
                    </a:xfrm>
                    <a:prstGeom prst="rect">
                      <a:avLst/>
                    </a:prstGeom>
                  </pic:spPr>
                </pic:pic>
              </a:graphicData>
            </a:graphic>
          </wp:inline>
        </w:drawing>
      </w:r>
    </w:p>
    <w:p w14:paraId="320C9EFF" w14:textId="293C7A73" w:rsidR="0072353B" w:rsidRPr="0072353B" w:rsidRDefault="0072353B" w:rsidP="0072353B">
      <w:pPr>
        <w:pStyle w:val="Legenda"/>
        <w:jc w:val="center"/>
      </w:pPr>
      <w:r>
        <w:t xml:space="preserve">Rysunek </w:t>
      </w:r>
      <w:fldSimple w:instr=" SEQ Rysunek \* ARABIC ">
        <w:r>
          <w:rPr>
            <w:noProof/>
          </w:rPr>
          <w:t>9</w:t>
        </w:r>
      </w:fldSimple>
      <w:r>
        <w:t>. Dendrogram dla pięciu klastrów uzyskanych metodą Warda.</w:t>
      </w:r>
      <w:r>
        <w:br w:type="page"/>
      </w:r>
    </w:p>
    <w:p w14:paraId="6844260C" w14:textId="12AE6360" w:rsidR="0072353B" w:rsidRDefault="0072353B" w:rsidP="0072353B">
      <w:r>
        <w:lastRenderedPageBreak/>
        <w:tab/>
        <w:t xml:space="preserve">Dendrogram dla dwóch klastrów nie wykazał zasadniczych różnic względem grupowania podziałowego. W zasadzie wyłącznie województwo zachodnio-pomorskie zmieniło grupę, jednak całościowo nie wpływa to istotnie na interpretację wyników i zależności występujących w grupach. </w:t>
      </w:r>
    </w:p>
    <w:p w14:paraId="3FA28E18" w14:textId="285CA7CA" w:rsidR="0072353B" w:rsidRDefault="0072353B" w:rsidP="0072353B">
      <w:r>
        <w:tab/>
        <w:t>Nieco inaczej wygląda sytuacja w przypadków podziału na pięć klastrów.</w:t>
      </w:r>
      <w:r w:rsidR="00723BD0">
        <w:t xml:space="preserve"> Patrząc na dendrogram od lewej strony, przypisuje grupom numery.</w:t>
      </w:r>
    </w:p>
    <w:tbl>
      <w:tblPr>
        <w:tblW w:w="9581" w:type="dxa"/>
        <w:jc w:val="center"/>
        <w:tblCellMar>
          <w:left w:w="70" w:type="dxa"/>
          <w:right w:w="70" w:type="dxa"/>
        </w:tblCellMar>
        <w:tblLook w:val="04A0" w:firstRow="1" w:lastRow="0" w:firstColumn="1" w:lastColumn="0" w:noHBand="0" w:noVBand="1"/>
      </w:tblPr>
      <w:tblGrid>
        <w:gridCol w:w="737"/>
        <w:gridCol w:w="737"/>
        <w:gridCol w:w="737"/>
        <w:gridCol w:w="737"/>
        <w:gridCol w:w="737"/>
        <w:gridCol w:w="737"/>
        <w:gridCol w:w="737"/>
        <w:gridCol w:w="737"/>
        <w:gridCol w:w="737"/>
        <w:gridCol w:w="737"/>
        <w:gridCol w:w="737"/>
        <w:gridCol w:w="737"/>
        <w:gridCol w:w="737"/>
      </w:tblGrid>
      <w:tr w:rsidR="00EF2DB4" w:rsidRPr="00EF2DB4" w14:paraId="72AA4E95" w14:textId="77777777" w:rsidTr="00EF2DB4">
        <w:trPr>
          <w:trHeight w:val="454"/>
          <w:jc w:val="center"/>
        </w:trPr>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2944641" w14:textId="7D57FFFB" w:rsidR="00EF2DB4" w:rsidRPr="00EF2DB4" w:rsidRDefault="00EF2DB4" w:rsidP="00EF2DB4">
            <w:pPr>
              <w:spacing w:before="0" w:after="0" w:line="240" w:lineRule="auto"/>
              <w:rPr>
                <w:rFonts w:eastAsia="Times New Roman"/>
                <w:b/>
                <w:bCs/>
                <w:color w:val="000000"/>
                <w:sz w:val="22"/>
                <w:lang w:eastAsia="pl-PL"/>
              </w:rPr>
            </w:pPr>
          </w:p>
          <w:p w14:paraId="7E39EE54" w14:textId="2DF4CE59" w:rsidR="00EF2DB4" w:rsidRPr="00EF2DB4" w:rsidRDefault="00EF2DB4" w:rsidP="00EF2DB4">
            <w:pPr>
              <w:spacing w:before="0" w:after="0" w:line="240" w:lineRule="auto"/>
              <w:jc w:val="center"/>
              <w:rPr>
                <w:rFonts w:eastAsia="Times New Roman"/>
                <w:b/>
                <w:bCs/>
                <w:color w:val="000000"/>
                <w:sz w:val="22"/>
                <w:lang w:eastAsia="pl-PL"/>
              </w:rPr>
            </w:pP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F790621" w14:textId="77777777" w:rsidR="00EF2DB4" w:rsidRPr="00EF2DB4" w:rsidRDefault="00EF2DB4" w:rsidP="00EF2DB4">
            <w:pPr>
              <w:spacing w:before="0" w:after="0" w:line="240" w:lineRule="auto"/>
              <w:jc w:val="center"/>
              <w:rPr>
                <w:rFonts w:eastAsia="Times New Roman"/>
                <w:b/>
                <w:bCs/>
                <w:color w:val="000000"/>
                <w:sz w:val="22"/>
                <w:lang w:eastAsia="pl-PL"/>
              </w:rPr>
            </w:pPr>
            <w:r w:rsidRPr="00EF2DB4">
              <w:rPr>
                <w:rFonts w:eastAsia="Times New Roman"/>
                <w:b/>
                <w:bCs/>
                <w:color w:val="000000"/>
                <w:sz w:val="22"/>
                <w:lang w:eastAsia="pl-PL"/>
              </w:rPr>
              <w:t>X1</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0ECCBF9" w14:textId="77777777" w:rsidR="00EF2DB4" w:rsidRPr="00EF2DB4" w:rsidRDefault="00EF2DB4" w:rsidP="00EF2DB4">
            <w:pPr>
              <w:spacing w:before="0" w:after="0" w:line="240" w:lineRule="auto"/>
              <w:jc w:val="center"/>
              <w:rPr>
                <w:rFonts w:eastAsia="Times New Roman"/>
                <w:b/>
                <w:bCs/>
                <w:color w:val="000000"/>
                <w:sz w:val="22"/>
                <w:lang w:eastAsia="pl-PL"/>
              </w:rPr>
            </w:pPr>
            <w:r w:rsidRPr="00EF2DB4">
              <w:rPr>
                <w:rFonts w:eastAsia="Times New Roman"/>
                <w:b/>
                <w:bCs/>
                <w:color w:val="000000"/>
                <w:sz w:val="22"/>
                <w:lang w:eastAsia="pl-PL"/>
              </w:rPr>
              <w:t>X2</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759DAD7" w14:textId="77777777" w:rsidR="00EF2DB4" w:rsidRPr="00EF2DB4" w:rsidRDefault="00EF2DB4" w:rsidP="00EF2DB4">
            <w:pPr>
              <w:spacing w:before="0" w:after="0" w:line="240" w:lineRule="auto"/>
              <w:jc w:val="center"/>
              <w:rPr>
                <w:rFonts w:eastAsia="Times New Roman"/>
                <w:b/>
                <w:bCs/>
                <w:color w:val="000000"/>
                <w:sz w:val="22"/>
                <w:lang w:eastAsia="pl-PL"/>
              </w:rPr>
            </w:pPr>
            <w:r w:rsidRPr="00EF2DB4">
              <w:rPr>
                <w:rFonts w:eastAsia="Times New Roman"/>
                <w:b/>
                <w:bCs/>
                <w:color w:val="000000"/>
                <w:sz w:val="22"/>
                <w:lang w:eastAsia="pl-PL"/>
              </w:rPr>
              <w:t>X3</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D2D133E" w14:textId="77777777" w:rsidR="00EF2DB4" w:rsidRPr="00EF2DB4" w:rsidRDefault="00EF2DB4" w:rsidP="00EF2DB4">
            <w:pPr>
              <w:spacing w:before="0" w:after="0" w:line="240" w:lineRule="auto"/>
              <w:jc w:val="center"/>
              <w:rPr>
                <w:rFonts w:eastAsia="Times New Roman"/>
                <w:b/>
                <w:bCs/>
                <w:color w:val="000000"/>
                <w:sz w:val="22"/>
                <w:lang w:eastAsia="pl-PL"/>
              </w:rPr>
            </w:pPr>
            <w:r w:rsidRPr="00EF2DB4">
              <w:rPr>
                <w:rFonts w:eastAsia="Times New Roman"/>
                <w:b/>
                <w:bCs/>
                <w:color w:val="000000"/>
                <w:sz w:val="22"/>
                <w:lang w:eastAsia="pl-PL"/>
              </w:rPr>
              <w:t>X4</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54800A5" w14:textId="77777777" w:rsidR="00EF2DB4" w:rsidRPr="00EF2DB4" w:rsidRDefault="00EF2DB4" w:rsidP="00EF2DB4">
            <w:pPr>
              <w:spacing w:before="0" w:after="0" w:line="240" w:lineRule="auto"/>
              <w:jc w:val="center"/>
              <w:rPr>
                <w:rFonts w:eastAsia="Times New Roman"/>
                <w:b/>
                <w:bCs/>
                <w:color w:val="000000"/>
                <w:sz w:val="22"/>
                <w:lang w:eastAsia="pl-PL"/>
              </w:rPr>
            </w:pPr>
            <w:r w:rsidRPr="00EF2DB4">
              <w:rPr>
                <w:rFonts w:eastAsia="Times New Roman"/>
                <w:b/>
                <w:bCs/>
                <w:color w:val="000000"/>
                <w:sz w:val="22"/>
                <w:lang w:eastAsia="pl-PL"/>
              </w:rPr>
              <w:t>X5</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64DB2F4" w14:textId="77777777" w:rsidR="00EF2DB4" w:rsidRPr="00EF2DB4" w:rsidRDefault="00EF2DB4" w:rsidP="00EF2DB4">
            <w:pPr>
              <w:spacing w:before="0" w:after="0" w:line="240" w:lineRule="auto"/>
              <w:jc w:val="center"/>
              <w:rPr>
                <w:rFonts w:eastAsia="Times New Roman"/>
                <w:b/>
                <w:bCs/>
                <w:color w:val="000000"/>
                <w:sz w:val="22"/>
                <w:lang w:eastAsia="pl-PL"/>
              </w:rPr>
            </w:pPr>
            <w:r w:rsidRPr="00EF2DB4">
              <w:rPr>
                <w:rFonts w:eastAsia="Times New Roman"/>
                <w:b/>
                <w:bCs/>
                <w:color w:val="000000"/>
                <w:sz w:val="22"/>
                <w:lang w:eastAsia="pl-PL"/>
              </w:rPr>
              <w:t>X6</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DD6FB87" w14:textId="77777777" w:rsidR="00EF2DB4" w:rsidRPr="00EF2DB4" w:rsidRDefault="00EF2DB4" w:rsidP="00EF2DB4">
            <w:pPr>
              <w:spacing w:before="0" w:after="0" w:line="240" w:lineRule="auto"/>
              <w:jc w:val="center"/>
              <w:rPr>
                <w:rFonts w:eastAsia="Times New Roman"/>
                <w:b/>
                <w:bCs/>
                <w:color w:val="000000"/>
                <w:sz w:val="22"/>
                <w:lang w:eastAsia="pl-PL"/>
              </w:rPr>
            </w:pPr>
            <w:r w:rsidRPr="00EF2DB4">
              <w:rPr>
                <w:rFonts w:eastAsia="Times New Roman"/>
                <w:b/>
                <w:bCs/>
                <w:color w:val="000000"/>
                <w:sz w:val="22"/>
                <w:lang w:eastAsia="pl-PL"/>
              </w:rPr>
              <w:t>X7</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B7C4F6B" w14:textId="77777777" w:rsidR="00EF2DB4" w:rsidRPr="00EF2DB4" w:rsidRDefault="00EF2DB4" w:rsidP="00EF2DB4">
            <w:pPr>
              <w:spacing w:before="0" w:after="0" w:line="240" w:lineRule="auto"/>
              <w:jc w:val="center"/>
              <w:rPr>
                <w:rFonts w:eastAsia="Times New Roman"/>
                <w:b/>
                <w:bCs/>
                <w:color w:val="000000"/>
                <w:sz w:val="22"/>
                <w:lang w:eastAsia="pl-PL"/>
              </w:rPr>
            </w:pPr>
            <w:r w:rsidRPr="00EF2DB4">
              <w:rPr>
                <w:rFonts w:eastAsia="Times New Roman"/>
                <w:b/>
                <w:bCs/>
                <w:color w:val="000000"/>
                <w:sz w:val="22"/>
                <w:lang w:eastAsia="pl-PL"/>
              </w:rPr>
              <w:t>X8</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AFFB2DB" w14:textId="77777777" w:rsidR="00EF2DB4" w:rsidRPr="00EF2DB4" w:rsidRDefault="00EF2DB4" w:rsidP="00EF2DB4">
            <w:pPr>
              <w:spacing w:before="0" w:after="0" w:line="240" w:lineRule="auto"/>
              <w:jc w:val="center"/>
              <w:rPr>
                <w:rFonts w:eastAsia="Times New Roman"/>
                <w:b/>
                <w:bCs/>
                <w:color w:val="000000"/>
                <w:sz w:val="22"/>
                <w:lang w:eastAsia="pl-PL"/>
              </w:rPr>
            </w:pPr>
            <w:r w:rsidRPr="00EF2DB4">
              <w:rPr>
                <w:rFonts w:eastAsia="Times New Roman"/>
                <w:b/>
                <w:bCs/>
                <w:color w:val="000000"/>
                <w:sz w:val="22"/>
                <w:lang w:eastAsia="pl-PL"/>
              </w:rPr>
              <w:t>X9</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E7D667B" w14:textId="77777777" w:rsidR="00EF2DB4" w:rsidRPr="00EF2DB4" w:rsidRDefault="00EF2DB4" w:rsidP="00EF2DB4">
            <w:pPr>
              <w:spacing w:before="0" w:after="0" w:line="240" w:lineRule="auto"/>
              <w:jc w:val="center"/>
              <w:rPr>
                <w:rFonts w:eastAsia="Times New Roman"/>
                <w:b/>
                <w:bCs/>
                <w:color w:val="000000"/>
                <w:sz w:val="22"/>
                <w:lang w:eastAsia="pl-PL"/>
              </w:rPr>
            </w:pPr>
            <w:r w:rsidRPr="00EF2DB4">
              <w:rPr>
                <w:rFonts w:eastAsia="Times New Roman"/>
                <w:b/>
                <w:bCs/>
                <w:color w:val="000000"/>
                <w:sz w:val="22"/>
                <w:lang w:eastAsia="pl-PL"/>
              </w:rPr>
              <w:t>X10</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BD15E50" w14:textId="77777777" w:rsidR="00EF2DB4" w:rsidRPr="00EF2DB4" w:rsidRDefault="00EF2DB4" w:rsidP="00EF2DB4">
            <w:pPr>
              <w:spacing w:before="0" w:after="0" w:line="240" w:lineRule="auto"/>
              <w:jc w:val="center"/>
              <w:rPr>
                <w:rFonts w:eastAsia="Times New Roman"/>
                <w:b/>
                <w:bCs/>
                <w:color w:val="000000"/>
                <w:sz w:val="22"/>
                <w:lang w:eastAsia="pl-PL"/>
              </w:rPr>
            </w:pPr>
            <w:r w:rsidRPr="00EF2DB4">
              <w:rPr>
                <w:rFonts w:eastAsia="Times New Roman"/>
                <w:b/>
                <w:bCs/>
                <w:color w:val="000000"/>
                <w:sz w:val="22"/>
                <w:lang w:eastAsia="pl-PL"/>
              </w:rPr>
              <w:t>X11</w:t>
            </w:r>
          </w:p>
        </w:tc>
        <w:tc>
          <w:tcPr>
            <w:tcW w:w="7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A1C16FB" w14:textId="77777777" w:rsidR="00EF2DB4" w:rsidRPr="00EF2DB4" w:rsidRDefault="00EF2DB4" w:rsidP="00EF2DB4">
            <w:pPr>
              <w:spacing w:before="0" w:after="0" w:line="240" w:lineRule="auto"/>
              <w:jc w:val="center"/>
              <w:rPr>
                <w:rFonts w:eastAsia="Times New Roman"/>
                <w:b/>
                <w:bCs/>
                <w:color w:val="000000"/>
                <w:sz w:val="22"/>
                <w:lang w:eastAsia="pl-PL"/>
              </w:rPr>
            </w:pPr>
            <w:r w:rsidRPr="00EF2DB4">
              <w:rPr>
                <w:rFonts w:eastAsia="Times New Roman"/>
                <w:b/>
                <w:bCs/>
                <w:color w:val="000000"/>
                <w:sz w:val="22"/>
                <w:lang w:eastAsia="pl-PL"/>
              </w:rPr>
              <w:t>X12</w:t>
            </w:r>
          </w:p>
        </w:tc>
      </w:tr>
      <w:tr w:rsidR="00EF2DB4" w:rsidRPr="00EF2DB4" w14:paraId="5840C755" w14:textId="77777777" w:rsidTr="00EF2DB4">
        <w:trPr>
          <w:trHeight w:val="454"/>
          <w:jc w:val="center"/>
        </w:trPr>
        <w:tc>
          <w:tcPr>
            <w:tcW w:w="73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A959B33" w14:textId="77777777" w:rsidR="00EF2DB4" w:rsidRPr="00EF2DB4" w:rsidRDefault="00EF2DB4" w:rsidP="00EF2DB4">
            <w:pPr>
              <w:spacing w:before="0" w:after="0" w:line="240" w:lineRule="auto"/>
              <w:jc w:val="center"/>
              <w:rPr>
                <w:rFonts w:eastAsia="Times New Roman"/>
                <w:b/>
                <w:bCs/>
                <w:color w:val="000000"/>
                <w:sz w:val="22"/>
                <w:lang w:eastAsia="pl-PL"/>
              </w:rPr>
            </w:pPr>
            <w:r w:rsidRPr="00EF2DB4">
              <w:rPr>
                <w:rFonts w:eastAsia="Times New Roman"/>
                <w:b/>
                <w:bCs/>
                <w:color w:val="000000"/>
                <w:sz w:val="22"/>
                <w:lang w:eastAsia="pl-PL"/>
              </w:rPr>
              <w:t>gr. I</w:t>
            </w:r>
          </w:p>
        </w:tc>
        <w:tc>
          <w:tcPr>
            <w:tcW w:w="737" w:type="dxa"/>
            <w:tcBorders>
              <w:top w:val="nil"/>
              <w:left w:val="nil"/>
              <w:bottom w:val="single" w:sz="4" w:space="0" w:color="auto"/>
              <w:right w:val="single" w:sz="4" w:space="0" w:color="auto"/>
            </w:tcBorders>
            <w:shd w:val="clear" w:color="auto" w:fill="auto"/>
            <w:noWrap/>
            <w:vAlign w:val="center"/>
            <w:hideMark/>
          </w:tcPr>
          <w:p w14:paraId="286FAAC0"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-0,514</w:t>
            </w:r>
          </w:p>
        </w:tc>
        <w:tc>
          <w:tcPr>
            <w:tcW w:w="737" w:type="dxa"/>
            <w:tcBorders>
              <w:top w:val="nil"/>
              <w:left w:val="nil"/>
              <w:bottom w:val="single" w:sz="4" w:space="0" w:color="auto"/>
              <w:right w:val="single" w:sz="4" w:space="0" w:color="auto"/>
            </w:tcBorders>
            <w:shd w:val="clear" w:color="auto" w:fill="auto"/>
            <w:noWrap/>
            <w:vAlign w:val="center"/>
            <w:hideMark/>
          </w:tcPr>
          <w:p w14:paraId="5EF65C91"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0,036</w:t>
            </w:r>
          </w:p>
        </w:tc>
        <w:tc>
          <w:tcPr>
            <w:tcW w:w="737" w:type="dxa"/>
            <w:tcBorders>
              <w:top w:val="nil"/>
              <w:left w:val="nil"/>
              <w:bottom w:val="single" w:sz="4" w:space="0" w:color="auto"/>
              <w:right w:val="single" w:sz="4" w:space="0" w:color="auto"/>
            </w:tcBorders>
            <w:shd w:val="clear" w:color="auto" w:fill="auto"/>
            <w:noWrap/>
            <w:vAlign w:val="center"/>
            <w:hideMark/>
          </w:tcPr>
          <w:p w14:paraId="2C4A1832"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0,318</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318EF0C2"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-0,796</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53B71DF7"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1,334</w:t>
            </w:r>
          </w:p>
        </w:tc>
        <w:tc>
          <w:tcPr>
            <w:tcW w:w="737" w:type="dxa"/>
            <w:tcBorders>
              <w:top w:val="nil"/>
              <w:left w:val="nil"/>
              <w:bottom w:val="single" w:sz="4" w:space="0" w:color="auto"/>
              <w:right w:val="single" w:sz="4" w:space="0" w:color="auto"/>
            </w:tcBorders>
            <w:shd w:val="clear" w:color="auto" w:fill="auto"/>
            <w:noWrap/>
            <w:vAlign w:val="center"/>
            <w:hideMark/>
          </w:tcPr>
          <w:p w14:paraId="33055E41"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-0,097</w:t>
            </w:r>
          </w:p>
        </w:tc>
        <w:tc>
          <w:tcPr>
            <w:tcW w:w="737" w:type="dxa"/>
            <w:tcBorders>
              <w:top w:val="nil"/>
              <w:left w:val="nil"/>
              <w:bottom w:val="single" w:sz="4" w:space="0" w:color="auto"/>
              <w:right w:val="single" w:sz="4" w:space="0" w:color="auto"/>
            </w:tcBorders>
            <w:shd w:val="clear" w:color="auto" w:fill="auto"/>
            <w:noWrap/>
            <w:vAlign w:val="center"/>
            <w:hideMark/>
          </w:tcPr>
          <w:p w14:paraId="6FFDAF10"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0,383</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7231F5A4"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-0,695</w:t>
            </w:r>
          </w:p>
        </w:tc>
        <w:tc>
          <w:tcPr>
            <w:tcW w:w="737" w:type="dxa"/>
            <w:tcBorders>
              <w:top w:val="nil"/>
              <w:left w:val="nil"/>
              <w:bottom w:val="single" w:sz="4" w:space="0" w:color="auto"/>
              <w:right w:val="single" w:sz="4" w:space="0" w:color="auto"/>
            </w:tcBorders>
            <w:shd w:val="clear" w:color="auto" w:fill="auto"/>
            <w:noWrap/>
            <w:vAlign w:val="center"/>
            <w:hideMark/>
          </w:tcPr>
          <w:p w14:paraId="01A985F3"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0,062</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5F846802"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-0,686</w:t>
            </w:r>
          </w:p>
        </w:tc>
        <w:tc>
          <w:tcPr>
            <w:tcW w:w="737" w:type="dxa"/>
            <w:tcBorders>
              <w:top w:val="nil"/>
              <w:left w:val="nil"/>
              <w:bottom w:val="single" w:sz="4" w:space="0" w:color="auto"/>
              <w:right w:val="single" w:sz="4" w:space="0" w:color="auto"/>
            </w:tcBorders>
            <w:shd w:val="clear" w:color="auto" w:fill="FF9A8B"/>
            <w:noWrap/>
            <w:vAlign w:val="center"/>
            <w:hideMark/>
          </w:tcPr>
          <w:p w14:paraId="7596FF6C"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-0,637</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3CD1D0B7"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-0,692</w:t>
            </w:r>
          </w:p>
        </w:tc>
      </w:tr>
      <w:tr w:rsidR="00EF2DB4" w:rsidRPr="00EF2DB4" w14:paraId="3DE2B5C0" w14:textId="77777777" w:rsidTr="00EF2DB4">
        <w:trPr>
          <w:trHeight w:val="454"/>
          <w:jc w:val="center"/>
        </w:trPr>
        <w:tc>
          <w:tcPr>
            <w:tcW w:w="73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82BF353" w14:textId="77777777" w:rsidR="00EF2DB4" w:rsidRPr="00EF2DB4" w:rsidRDefault="00EF2DB4" w:rsidP="00EF2DB4">
            <w:pPr>
              <w:spacing w:before="0" w:after="0" w:line="240" w:lineRule="auto"/>
              <w:jc w:val="center"/>
              <w:rPr>
                <w:rFonts w:eastAsia="Times New Roman"/>
                <w:b/>
                <w:bCs/>
                <w:color w:val="000000"/>
                <w:sz w:val="22"/>
                <w:lang w:eastAsia="pl-PL"/>
              </w:rPr>
            </w:pPr>
            <w:r w:rsidRPr="00EF2DB4">
              <w:rPr>
                <w:rFonts w:eastAsia="Times New Roman"/>
                <w:b/>
                <w:bCs/>
                <w:color w:val="000000"/>
                <w:sz w:val="22"/>
                <w:lang w:eastAsia="pl-PL"/>
              </w:rPr>
              <w:t>gr. II</w:t>
            </w:r>
          </w:p>
        </w:tc>
        <w:tc>
          <w:tcPr>
            <w:tcW w:w="737" w:type="dxa"/>
            <w:tcBorders>
              <w:top w:val="nil"/>
              <w:left w:val="nil"/>
              <w:bottom w:val="single" w:sz="4" w:space="0" w:color="auto"/>
              <w:right w:val="single" w:sz="4" w:space="0" w:color="auto"/>
            </w:tcBorders>
            <w:shd w:val="clear" w:color="auto" w:fill="FF9A8B"/>
            <w:noWrap/>
            <w:vAlign w:val="center"/>
            <w:hideMark/>
          </w:tcPr>
          <w:p w14:paraId="5922A31F"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-0,718</w:t>
            </w:r>
          </w:p>
        </w:tc>
        <w:tc>
          <w:tcPr>
            <w:tcW w:w="737" w:type="dxa"/>
            <w:tcBorders>
              <w:top w:val="nil"/>
              <w:left w:val="nil"/>
              <w:bottom w:val="single" w:sz="4" w:space="0" w:color="auto"/>
              <w:right w:val="single" w:sz="4" w:space="0" w:color="auto"/>
            </w:tcBorders>
            <w:shd w:val="clear" w:color="auto" w:fill="FF9A8B"/>
            <w:noWrap/>
            <w:vAlign w:val="center"/>
            <w:hideMark/>
          </w:tcPr>
          <w:p w14:paraId="20D8D2A7"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0,661</w:t>
            </w:r>
          </w:p>
        </w:tc>
        <w:tc>
          <w:tcPr>
            <w:tcW w:w="737" w:type="dxa"/>
            <w:tcBorders>
              <w:top w:val="nil"/>
              <w:left w:val="nil"/>
              <w:bottom w:val="single" w:sz="4" w:space="0" w:color="auto"/>
              <w:right w:val="single" w:sz="4" w:space="0" w:color="auto"/>
            </w:tcBorders>
            <w:shd w:val="clear" w:color="auto" w:fill="FF9A8B"/>
            <w:noWrap/>
            <w:vAlign w:val="center"/>
            <w:hideMark/>
          </w:tcPr>
          <w:p w14:paraId="391603D8"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-0,956</w:t>
            </w:r>
          </w:p>
        </w:tc>
        <w:tc>
          <w:tcPr>
            <w:tcW w:w="737" w:type="dxa"/>
            <w:tcBorders>
              <w:top w:val="nil"/>
              <w:left w:val="nil"/>
              <w:bottom w:val="single" w:sz="4" w:space="0" w:color="auto"/>
              <w:right w:val="single" w:sz="4" w:space="0" w:color="auto"/>
            </w:tcBorders>
            <w:shd w:val="clear" w:color="auto" w:fill="auto"/>
            <w:noWrap/>
            <w:vAlign w:val="center"/>
            <w:hideMark/>
          </w:tcPr>
          <w:p w14:paraId="1C9E51A2"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-0,680</w:t>
            </w:r>
          </w:p>
        </w:tc>
        <w:tc>
          <w:tcPr>
            <w:tcW w:w="737" w:type="dxa"/>
            <w:tcBorders>
              <w:top w:val="nil"/>
              <w:left w:val="nil"/>
              <w:bottom w:val="single" w:sz="4" w:space="0" w:color="auto"/>
              <w:right w:val="single" w:sz="4" w:space="0" w:color="auto"/>
            </w:tcBorders>
            <w:shd w:val="clear" w:color="auto" w:fill="auto"/>
            <w:noWrap/>
            <w:vAlign w:val="center"/>
            <w:hideMark/>
          </w:tcPr>
          <w:p w14:paraId="00AE775E"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-0,537</w:t>
            </w:r>
          </w:p>
        </w:tc>
        <w:tc>
          <w:tcPr>
            <w:tcW w:w="737" w:type="dxa"/>
            <w:tcBorders>
              <w:top w:val="nil"/>
              <w:left w:val="nil"/>
              <w:bottom w:val="single" w:sz="4" w:space="0" w:color="auto"/>
              <w:right w:val="single" w:sz="4" w:space="0" w:color="auto"/>
            </w:tcBorders>
            <w:shd w:val="clear" w:color="auto" w:fill="auto"/>
            <w:noWrap/>
            <w:vAlign w:val="center"/>
            <w:hideMark/>
          </w:tcPr>
          <w:p w14:paraId="4025F783"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-0,747</w:t>
            </w:r>
          </w:p>
        </w:tc>
        <w:tc>
          <w:tcPr>
            <w:tcW w:w="737" w:type="dxa"/>
            <w:tcBorders>
              <w:top w:val="nil"/>
              <w:left w:val="nil"/>
              <w:bottom w:val="single" w:sz="4" w:space="0" w:color="auto"/>
              <w:right w:val="single" w:sz="4" w:space="0" w:color="auto"/>
            </w:tcBorders>
            <w:shd w:val="clear" w:color="auto" w:fill="FF9A8B"/>
            <w:noWrap/>
            <w:vAlign w:val="center"/>
            <w:hideMark/>
          </w:tcPr>
          <w:p w14:paraId="0B95366F"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-0,775</w:t>
            </w:r>
          </w:p>
        </w:tc>
        <w:tc>
          <w:tcPr>
            <w:tcW w:w="737" w:type="dxa"/>
            <w:tcBorders>
              <w:top w:val="nil"/>
              <w:left w:val="nil"/>
              <w:bottom w:val="single" w:sz="4" w:space="0" w:color="auto"/>
              <w:right w:val="single" w:sz="4" w:space="0" w:color="auto"/>
            </w:tcBorders>
            <w:shd w:val="clear" w:color="auto" w:fill="auto"/>
            <w:noWrap/>
            <w:vAlign w:val="center"/>
            <w:hideMark/>
          </w:tcPr>
          <w:p w14:paraId="7655F718"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-0,155</w:t>
            </w:r>
          </w:p>
        </w:tc>
        <w:tc>
          <w:tcPr>
            <w:tcW w:w="737" w:type="dxa"/>
            <w:tcBorders>
              <w:top w:val="nil"/>
              <w:left w:val="nil"/>
              <w:bottom w:val="single" w:sz="4" w:space="0" w:color="auto"/>
              <w:right w:val="single" w:sz="4" w:space="0" w:color="auto"/>
            </w:tcBorders>
            <w:shd w:val="clear" w:color="auto" w:fill="auto"/>
            <w:noWrap/>
            <w:vAlign w:val="center"/>
            <w:hideMark/>
          </w:tcPr>
          <w:p w14:paraId="5AF54B74"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-0,661</w:t>
            </w:r>
          </w:p>
        </w:tc>
        <w:tc>
          <w:tcPr>
            <w:tcW w:w="737" w:type="dxa"/>
            <w:tcBorders>
              <w:top w:val="nil"/>
              <w:left w:val="nil"/>
              <w:bottom w:val="single" w:sz="4" w:space="0" w:color="auto"/>
              <w:right w:val="single" w:sz="4" w:space="0" w:color="auto"/>
            </w:tcBorders>
            <w:shd w:val="clear" w:color="auto" w:fill="auto"/>
            <w:noWrap/>
            <w:vAlign w:val="center"/>
            <w:hideMark/>
          </w:tcPr>
          <w:p w14:paraId="0F5C8506"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-0,388</w:t>
            </w:r>
          </w:p>
        </w:tc>
        <w:tc>
          <w:tcPr>
            <w:tcW w:w="737" w:type="dxa"/>
            <w:tcBorders>
              <w:top w:val="nil"/>
              <w:left w:val="nil"/>
              <w:bottom w:val="single" w:sz="4" w:space="0" w:color="auto"/>
              <w:right w:val="single" w:sz="4" w:space="0" w:color="auto"/>
            </w:tcBorders>
            <w:shd w:val="clear" w:color="auto" w:fill="auto"/>
            <w:noWrap/>
            <w:vAlign w:val="center"/>
            <w:hideMark/>
          </w:tcPr>
          <w:p w14:paraId="6B67EF86"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0,101</w:t>
            </w:r>
          </w:p>
        </w:tc>
        <w:tc>
          <w:tcPr>
            <w:tcW w:w="737" w:type="dxa"/>
            <w:tcBorders>
              <w:top w:val="nil"/>
              <w:left w:val="nil"/>
              <w:bottom w:val="single" w:sz="4" w:space="0" w:color="auto"/>
              <w:right w:val="single" w:sz="4" w:space="0" w:color="auto"/>
            </w:tcBorders>
            <w:shd w:val="clear" w:color="auto" w:fill="auto"/>
            <w:noWrap/>
            <w:vAlign w:val="center"/>
            <w:hideMark/>
          </w:tcPr>
          <w:p w14:paraId="0D5CD84D"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-0,298</w:t>
            </w:r>
          </w:p>
        </w:tc>
      </w:tr>
      <w:tr w:rsidR="00EF2DB4" w:rsidRPr="00EF2DB4" w14:paraId="4F9C4D23" w14:textId="77777777" w:rsidTr="00EF2DB4">
        <w:trPr>
          <w:trHeight w:val="454"/>
          <w:jc w:val="center"/>
        </w:trPr>
        <w:tc>
          <w:tcPr>
            <w:tcW w:w="73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D634DEF" w14:textId="77777777" w:rsidR="00EF2DB4" w:rsidRPr="00EF2DB4" w:rsidRDefault="00EF2DB4" w:rsidP="00EF2DB4">
            <w:pPr>
              <w:spacing w:before="0" w:after="0" w:line="240" w:lineRule="auto"/>
              <w:jc w:val="center"/>
              <w:rPr>
                <w:rFonts w:eastAsia="Times New Roman"/>
                <w:b/>
                <w:bCs/>
                <w:color w:val="000000"/>
                <w:sz w:val="22"/>
                <w:lang w:eastAsia="pl-PL"/>
              </w:rPr>
            </w:pPr>
            <w:r w:rsidRPr="00EF2DB4">
              <w:rPr>
                <w:rFonts w:eastAsia="Times New Roman"/>
                <w:b/>
                <w:bCs/>
                <w:color w:val="000000"/>
                <w:sz w:val="22"/>
                <w:lang w:eastAsia="pl-PL"/>
              </w:rPr>
              <w:t>gr. III</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25B192BB"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2,733</w:t>
            </w:r>
          </w:p>
        </w:tc>
        <w:tc>
          <w:tcPr>
            <w:tcW w:w="737" w:type="dxa"/>
            <w:tcBorders>
              <w:top w:val="nil"/>
              <w:left w:val="nil"/>
              <w:bottom w:val="single" w:sz="4" w:space="0" w:color="auto"/>
              <w:right w:val="single" w:sz="4" w:space="0" w:color="auto"/>
            </w:tcBorders>
            <w:shd w:val="clear" w:color="auto" w:fill="auto"/>
            <w:noWrap/>
            <w:vAlign w:val="center"/>
            <w:hideMark/>
          </w:tcPr>
          <w:p w14:paraId="2856DFA9"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-0,857</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27CF1410"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1,612</w:t>
            </w:r>
          </w:p>
        </w:tc>
        <w:tc>
          <w:tcPr>
            <w:tcW w:w="737" w:type="dxa"/>
            <w:tcBorders>
              <w:top w:val="nil"/>
              <w:left w:val="nil"/>
              <w:bottom w:val="single" w:sz="4" w:space="0" w:color="auto"/>
              <w:right w:val="single" w:sz="4" w:space="0" w:color="auto"/>
            </w:tcBorders>
            <w:shd w:val="clear" w:color="auto" w:fill="FF9A8B"/>
            <w:noWrap/>
            <w:vAlign w:val="center"/>
            <w:hideMark/>
          </w:tcPr>
          <w:p w14:paraId="4E417018"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1,826</w:t>
            </w:r>
          </w:p>
        </w:tc>
        <w:tc>
          <w:tcPr>
            <w:tcW w:w="737" w:type="dxa"/>
            <w:tcBorders>
              <w:top w:val="nil"/>
              <w:left w:val="nil"/>
              <w:bottom w:val="single" w:sz="4" w:space="0" w:color="auto"/>
              <w:right w:val="single" w:sz="4" w:space="0" w:color="auto"/>
            </w:tcBorders>
            <w:shd w:val="clear" w:color="auto" w:fill="FF9A8B"/>
            <w:noWrap/>
            <w:vAlign w:val="center"/>
            <w:hideMark/>
          </w:tcPr>
          <w:p w14:paraId="3F763118"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-0,931</w:t>
            </w:r>
          </w:p>
        </w:tc>
        <w:tc>
          <w:tcPr>
            <w:tcW w:w="737" w:type="dxa"/>
            <w:tcBorders>
              <w:top w:val="nil"/>
              <w:left w:val="nil"/>
              <w:bottom w:val="single" w:sz="4" w:space="0" w:color="auto"/>
              <w:right w:val="single" w:sz="4" w:space="0" w:color="auto"/>
            </w:tcBorders>
            <w:shd w:val="clear" w:color="auto" w:fill="FF9A8B"/>
            <w:noWrap/>
            <w:vAlign w:val="center"/>
            <w:hideMark/>
          </w:tcPr>
          <w:p w14:paraId="34464088"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2,226</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062680F2"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2,343</w:t>
            </w:r>
          </w:p>
        </w:tc>
        <w:tc>
          <w:tcPr>
            <w:tcW w:w="737" w:type="dxa"/>
            <w:tcBorders>
              <w:top w:val="nil"/>
              <w:left w:val="nil"/>
              <w:bottom w:val="single" w:sz="4" w:space="0" w:color="auto"/>
              <w:right w:val="single" w:sz="4" w:space="0" w:color="auto"/>
            </w:tcBorders>
            <w:shd w:val="clear" w:color="auto" w:fill="auto"/>
            <w:noWrap/>
            <w:vAlign w:val="center"/>
            <w:hideMark/>
          </w:tcPr>
          <w:p w14:paraId="0E2D67BC"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0,228</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7EF14407"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1,271</w:t>
            </w:r>
          </w:p>
        </w:tc>
        <w:tc>
          <w:tcPr>
            <w:tcW w:w="737" w:type="dxa"/>
            <w:tcBorders>
              <w:top w:val="nil"/>
              <w:left w:val="nil"/>
              <w:bottom w:val="single" w:sz="4" w:space="0" w:color="auto"/>
              <w:right w:val="single" w:sz="4" w:space="0" w:color="auto"/>
            </w:tcBorders>
            <w:shd w:val="clear" w:color="auto" w:fill="auto"/>
            <w:noWrap/>
            <w:vAlign w:val="center"/>
            <w:hideMark/>
          </w:tcPr>
          <w:p w14:paraId="08CBAB3F"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0,316</w:t>
            </w:r>
          </w:p>
        </w:tc>
        <w:tc>
          <w:tcPr>
            <w:tcW w:w="737" w:type="dxa"/>
            <w:tcBorders>
              <w:top w:val="nil"/>
              <w:left w:val="nil"/>
              <w:bottom w:val="single" w:sz="4" w:space="0" w:color="auto"/>
              <w:right w:val="single" w:sz="4" w:space="0" w:color="auto"/>
            </w:tcBorders>
            <w:shd w:val="clear" w:color="auto" w:fill="auto"/>
            <w:noWrap/>
            <w:vAlign w:val="center"/>
            <w:hideMark/>
          </w:tcPr>
          <w:p w14:paraId="0875362E"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-0,560</w:t>
            </w:r>
          </w:p>
        </w:tc>
        <w:tc>
          <w:tcPr>
            <w:tcW w:w="737" w:type="dxa"/>
            <w:tcBorders>
              <w:top w:val="nil"/>
              <w:left w:val="nil"/>
              <w:bottom w:val="single" w:sz="4" w:space="0" w:color="auto"/>
              <w:right w:val="single" w:sz="4" w:space="0" w:color="auto"/>
            </w:tcBorders>
            <w:shd w:val="clear" w:color="auto" w:fill="auto"/>
            <w:noWrap/>
            <w:vAlign w:val="center"/>
            <w:hideMark/>
          </w:tcPr>
          <w:p w14:paraId="13AC2F39"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-0,157</w:t>
            </w:r>
          </w:p>
        </w:tc>
      </w:tr>
      <w:tr w:rsidR="00EF2DB4" w:rsidRPr="00EF2DB4" w14:paraId="1262234F" w14:textId="77777777" w:rsidTr="00EF2DB4">
        <w:trPr>
          <w:trHeight w:val="454"/>
          <w:jc w:val="center"/>
        </w:trPr>
        <w:tc>
          <w:tcPr>
            <w:tcW w:w="73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A4810BB" w14:textId="77777777" w:rsidR="00EF2DB4" w:rsidRPr="00EF2DB4" w:rsidRDefault="00EF2DB4" w:rsidP="00EF2DB4">
            <w:pPr>
              <w:spacing w:before="0" w:after="0" w:line="240" w:lineRule="auto"/>
              <w:jc w:val="center"/>
              <w:rPr>
                <w:rFonts w:eastAsia="Times New Roman"/>
                <w:b/>
                <w:bCs/>
                <w:color w:val="000000"/>
                <w:sz w:val="22"/>
                <w:lang w:eastAsia="pl-PL"/>
              </w:rPr>
            </w:pPr>
            <w:r w:rsidRPr="00EF2DB4">
              <w:rPr>
                <w:rFonts w:eastAsia="Times New Roman"/>
                <w:b/>
                <w:bCs/>
                <w:color w:val="000000"/>
                <w:sz w:val="22"/>
                <w:lang w:eastAsia="pl-PL"/>
              </w:rPr>
              <w:t>gr. IV</w:t>
            </w:r>
          </w:p>
        </w:tc>
        <w:tc>
          <w:tcPr>
            <w:tcW w:w="737" w:type="dxa"/>
            <w:tcBorders>
              <w:top w:val="nil"/>
              <w:left w:val="nil"/>
              <w:bottom w:val="single" w:sz="4" w:space="0" w:color="auto"/>
              <w:right w:val="single" w:sz="4" w:space="0" w:color="auto"/>
            </w:tcBorders>
            <w:shd w:val="clear" w:color="auto" w:fill="auto"/>
            <w:noWrap/>
            <w:vAlign w:val="center"/>
            <w:hideMark/>
          </w:tcPr>
          <w:p w14:paraId="79B6A7AD"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0,741</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6F4B9E91"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-1,179</w:t>
            </w:r>
          </w:p>
        </w:tc>
        <w:tc>
          <w:tcPr>
            <w:tcW w:w="737" w:type="dxa"/>
            <w:tcBorders>
              <w:top w:val="nil"/>
              <w:left w:val="nil"/>
              <w:bottom w:val="single" w:sz="4" w:space="0" w:color="auto"/>
              <w:right w:val="single" w:sz="4" w:space="0" w:color="auto"/>
            </w:tcBorders>
            <w:shd w:val="clear" w:color="auto" w:fill="auto"/>
            <w:noWrap/>
            <w:vAlign w:val="center"/>
            <w:hideMark/>
          </w:tcPr>
          <w:p w14:paraId="430F1125"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1,116</w:t>
            </w:r>
          </w:p>
        </w:tc>
        <w:tc>
          <w:tcPr>
            <w:tcW w:w="737" w:type="dxa"/>
            <w:tcBorders>
              <w:top w:val="nil"/>
              <w:left w:val="nil"/>
              <w:bottom w:val="single" w:sz="4" w:space="0" w:color="auto"/>
              <w:right w:val="single" w:sz="4" w:space="0" w:color="auto"/>
            </w:tcBorders>
            <w:shd w:val="clear" w:color="auto" w:fill="auto"/>
            <w:noWrap/>
            <w:vAlign w:val="center"/>
            <w:hideMark/>
          </w:tcPr>
          <w:p w14:paraId="341184A5"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0,891</w:t>
            </w:r>
          </w:p>
        </w:tc>
        <w:tc>
          <w:tcPr>
            <w:tcW w:w="737" w:type="dxa"/>
            <w:tcBorders>
              <w:top w:val="nil"/>
              <w:left w:val="nil"/>
              <w:bottom w:val="single" w:sz="4" w:space="0" w:color="auto"/>
              <w:right w:val="single" w:sz="4" w:space="0" w:color="auto"/>
            </w:tcBorders>
            <w:shd w:val="clear" w:color="auto" w:fill="auto"/>
            <w:noWrap/>
            <w:vAlign w:val="center"/>
            <w:hideMark/>
          </w:tcPr>
          <w:p w14:paraId="1F1A7D5E"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-0,008</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5648474E"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-0,990</w:t>
            </w:r>
          </w:p>
        </w:tc>
        <w:tc>
          <w:tcPr>
            <w:tcW w:w="737" w:type="dxa"/>
            <w:tcBorders>
              <w:top w:val="nil"/>
              <w:left w:val="nil"/>
              <w:bottom w:val="single" w:sz="4" w:space="0" w:color="auto"/>
              <w:right w:val="single" w:sz="4" w:space="0" w:color="auto"/>
            </w:tcBorders>
            <w:shd w:val="clear" w:color="auto" w:fill="auto"/>
            <w:noWrap/>
            <w:vAlign w:val="center"/>
            <w:hideMark/>
          </w:tcPr>
          <w:p w14:paraId="2DE4521B"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-0,494</w:t>
            </w:r>
          </w:p>
        </w:tc>
        <w:tc>
          <w:tcPr>
            <w:tcW w:w="737" w:type="dxa"/>
            <w:tcBorders>
              <w:top w:val="nil"/>
              <w:left w:val="nil"/>
              <w:bottom w:val="single" w:sz="4" w:space="0" w:color="auto"/>
              <w:right w:val="single" w:sz="4" w:space="0" w:color="auto"/>
            </w:tcBorders>
            <w:shd w:val="clear" w:color="auto" w:fill="FF9A8B"/>
            <w:noWrap/>
            <w:vAlign w:val="center"/>
            <w:hideMark/>
          </w:tcPr>
          <w:p w14:paraId="2B2E9653"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2,349</w:t>
            </w:r>
          </w:p>
        </w:tc>
        <w:tc>
          <w:tcPr>
            <w:tcW w:w="737" w:type="dxa"/>
            <w:tcBorders>
              <w:top w:val="nil"/>
              <w:left w:val="nil"/>
              <w:bottom w:val="single" w:sz="4" w:space="0" w:color="auto"/>
              <w:right w:val="single" w:sz="4" w:space="0" w:color="auto"/>
            </w:tcBorders>
            <w:shd w:val="clear" w:color="auto" w:fill="FF9A8B"/>
            <w:noWrap/>
            <w:vAlign w:val="center"/>
            <w:hideMark/>
          </w:tcPr>
          <w:p w14:paraId="3549B0B1"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-1,127</w:t>
            </w:r>
          </w:p>
        </w:tc>
        <w:tc>
          <w:tcPr>
            <w:tcW w:w="737" w:type="dxa"/>
            <w:tcBorders>
              <w:top w:val="nil"/>
              <w:left w:val="nil"/>
              <w:bottom w:val="single" w:sz="4" w:space="0" w:color="auto"/>
              <w:right w:val="single" w:sz="4" w:space="0" w:color="auto"/>
            </w:tcBorders>
            <w:shd w:val="clear" w:color="auto" w:fill="FF9A8B"/>
            <w:noWrap/>
            <w:vAlign w:val="center"/>
            <w:hideMark/>
          </w:tcPr>
          <w:p w14:paraId="670C352A"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2,593</w:t>
            </w:r>
          </w:p>
        </w:tc>
        <w:tc>
          <w:tcPr>
            <w:tcW w:w="737" w:type="dxa"/>
            <w:tcBorders>
              <w:top w:val="nil"/>
              <w:left w:val="nil"/>
              <w:bottom w:val="single" w:sz="4" w:space="0" w:color="auto"/>
              <w:right w:val="single" w:sz="4" w:space="0" w:color="auto"/>
            </w:tcBorders>
            <w:shd w:val="clear" w:color="auto" w:fill="C1F0C7" w:themeFill="accent3" w:themeFillTint="33"/>
            <w:noWrap/>
            <w:vAlign w:val="center"/>
            <w:hideMark/>
          </w:tcPr>
          <w:p w14:paraId="5A60754E"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1,126</w:t>
            </w:r>
          </w:p>
        </w:tc>
        <w:tc>
          <w:tcPr>
            <w:tcW w:w="737" w:type="dxa"/>
            <w:tcBorders>
              <w:top w:val="nil"/>
              <w:left w:val="nil"/>
              <w:bottom w:val="single" w:sz="4" w:space="0" w:color="auto"/>
              <w:right w:val="single" w:sz="4" w:space="0" w:color="auto"/>
            </w:tcBorders>
            <w:shd w:val="clear" w:color="auto" w:fill="auto"/>
            <w:noWrap/>
            <w:vAlign w:val="center"/>
            <w:hideMark/>
          </w:tcPr>
          <w:p w14:paraId="41812480"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-0,620</w:t>
            </w:r>
          </w:p>
        </w:tc>
      </w:tr>
      <w:tr w:rsidR="00EF2DB4" w:rsidRPr="00EF2DB4" w14:paraId="0224DE0B" w14:textId="77777777" w:rsidTr="00EF2DB4">
        <w:trPr>
          <w:trHeight w:val="454"/>
          <w:jc w:val="center"/>
        </w:trPr>
        <w:tc>
          <w:tcPr>
            <w:tcW w:w="737"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9F15B40" w14:textId="77777777" w:rsidR="00EF2DB4" w:rsidRPr="00EF2DB4" w:rsidRDefault="00EF2DB4" w:rsidP="00EF2DB4">
            <w:pPr>
              <w:spacing w:before="0" w:after="0" w:line="240" w:lineRule="auto"/>
              <w:jc w:val="center"/>
              <w:rPr>
                <w:rFonts w:eastAsia="Times New Roman"/>
                <w:b/>
                <w:bCs/>
                <w:color w:val="000000"/>
                <w:sz w:val="22"/>
                <w:lang w:eastAsia="pl-PL"/>
              </w:rPr>
            </w:pPr>
            <w:r w:rsidRPr="00EF2DB4">
              <w:rPr>
                <w:rFonts w:eastAsia="Times New Roman"/>
                <w:b/>
                <w:bCs/>
                <w:color w:val="000000"/>
                <w:sz w:val="22"/>
                <w:lang w:eastAsia="pl-PL"/>
              </w:rPr>
              <w:t>gr. V</w:t>
            </w:r>
          </w:p>
        </w:tc>
        <w:tc>
          <w:tcPr>
            <w:tcW w:w="737" w:type="dxa"/>
            <w:tcBorders>
              <w:top w:val="nil"/>
              <w:left w:val="nil"/>
              <w:bottom w:val="single" w:sz="4" w:space="0" w:color="auto"/>
              <w:right w:val="single" w:sz="4" w:space="0" w:color="auto"/>
            </w:tcBorders>
            <w:shd w:val="clear" w:color="auto" w:fill="auto"/>
            <w:noWrap/>
            <w:vAlign w:val="center"/>
            <w:hideMark/>
          </w:tcPr>
          <w:p w14:paraId="1B468004"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0,475</w:t>
            </w:r>
          </w:p>
        </w:tc>
        <w:tc>
          <w:tcPr>
            <w:tcW w:w="737" w:type="dxa"/>
            <w:tcBorders>
              <w:top w:val="nil"/>
              <w:left w:val="nil"/>
              <w:bottom w:val="single" w:sz="4" w:space="0" w:color="auto"/>
              <w:right w:val="single" w:sz="4" w:space="0" w:color="auto"/>
            </w:tcBorders>
            <w:shd w:val="clear" w:color="auto" w:fill="auto"/>
            <w:noWrap/>
            <w:vAlign w:val="center"/>
            <w:hideMark/>
          </w:tcPr>
          <w:p w14:paraId="7AA9E427"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-0,407</w:t>
            </w:r>
          </w:p>
        </w:tc>
        <w:tc>
          <w:tcPr>
            <w:tcW w:w="737" w:type="dxa"/>
            <w:tcBorders>
              <w:top w:val="nil"/>
              <w:left w:val="nil"/>
              <w:bottom w:val="single" w:sz="4" w:space="0" w:color="auto"/>
              <w:right w:val="single" w:sz="4" w:space="0" w:color="auto"/>
            </w:tcBorders>
            <w:shd w:val="clear" w:color="auto" w:fill="auto"/>
            <w:noWrap/>
            <w:vAlign w:val="center"/>
            <w:hideMark/>
          </w:tcPr>
          <w:p w14:paraId="62A2B00A"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0,411</w:t>
            </w:r>
          </w:p>
        </w:tc>
        <w:tc>
          <w:tcPr>
            <w:tcW w:w="737" w:type="dxa"/>
            <w:tcBorders>
              <w:top w:val="nil"/>
              <w:left w:val="nil"/>
              <w:bottom w:val="single" w:sz="4" w:space="0" w:color="auto"/>
              <w:right w:val="single" w:sz="4" w:space="0" w:color="auto"/>
            </w:tcBorders>
            <w:shd w:val="clear" w:color="auto" w:fill="auto"/>
            <w:noWrap/>
            <w:vAlign w:val="center"/>
            <w:hideMark/>
          </w:tcPr>
          <w:p w14:paraId="164863D9"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0,750</w:t>
            </w:r>
          </w:p>
        </w:tc>
        <w:tc>
          <w:tcPr>
            <w:tcW w:w="737" w:type="dxa"/>
            <w:tcBorders>
              <w:top w:val="nil"/>
              <w:left w:val="nil"/>
              <w:bottom w:val="single" w:sz="4" w:space="0" w:color="auto"/>
              <w:right w:val="single" w:sz="4" w:space="0" w:color="auto"/>
            </w:tcBorders>
            <w:shd w:val="clear" w:color="auto" w:fill="auto"/>
            <w:noWrap/>
            <w:vAlign w:val="center"/>
            <w:hideMark/>
          </w:tcPr>
          <w:p w14:paraId="722B4B1A"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0,032</w:t>
            </w:r>
          </w:p>
        </w:tc>
        <w:tc>
          <w:tcPr>
            <w:tcW w:w="737" w:type="dxa"/>
            <w:tcBorders>
              <w:top w:val="nil"/>
              <w:left w:val="nil"/>
              <w:bottom w:val="single" w:sz="4" w:space="0" w:color="auto"/>
              <w:right w:val="single" w:sz="4" w:space="0" w:color="auto"/>
            </w:tcBorders>
            <w:shd w:val="clear" w:color="auto" w:fill="auto"/>
            <w:noWrap/>
            <w:vAlign w:val="center"/>
            <w:hideMark/>
          </w:tcPr>
          <w:p w14:paraId="01ED2B65"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0,708</w:t>
            </w:r>
          </w:p>
        </w:tc>
        <w:tc>
          <w:tcPr>
            <w:tcW w:w="737" w:type="dxa"/>
            <w:tcBorders>
              <w:top w:val="nil"/>
              <w:left w:val="nil"/>
              <w:bottom w:val="single" w:sz="4" w:space="0" w:color="auto"/>
              <w:right w:val="single" w:sz="4" w:space="0" w:color="auto"/>
            </w:tcBorders>
            <w:shd w:val="clear" w:color="auto" w:fill="auto"/>
            <w:noWrap/>
            <w:vAlign w:val="center"/>
            <w:hideMark/>
          </w:tcPr>
          <w:p w14:paraId="02A67A6B"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0,330</w:t>
            </w:r>
          </w:p>
        </w:tc>
        <w:tc>
          <w:tcPr>
            <w:tcW w:w="737" w:type="dxa"/>
            <w:tcBorders>
              <w:top w:val="nil"/>
              <w:left w:val="nil"/>
              <w:bottom w:val="single" w:sz="4" w:space="0" w:color="auto"/>
              <w:right w:val="single" w:sz="4" w:space="0" w:color="auto"/>
            </w:tcBorders>
            <w:shd w:val="clear" w:color="auto" w:fill="auto"/>
            <w:noWrap/>
            <w:vAlign w:val="center"/>
            <w:hideMark/>
          </w:tcPr>
          <w:p w14:paraId="47B2FB3E"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0,087</w:t>
            </w:r>
          </w:p>
        </w:tc>
        <w:tc>
          <w:tcPr>
            <w:tcW w:w="737" w:type="dxa"/>
            <w:tcBorders>
              <w:top w:val="nil"/>
              <w:left w:val="nil"/>
              <w:bottom w:val="single" w:sz="4" w:space="0" w:color="auto"/>
              <w:right w:val="single" w:sz="4" w:space="0" w:color="auto"/>
            </w:tcBorders>
            <w:shd w:val="clear" w:color="auto" w:fill="auto"/>
            <w:noWrap/>
            <w:vAlign w:val="center"/>
            <w:hideMark/>
          </w:tcPr>
          <w:p w14:paraId="385D55FB"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0,727</w:t>
            </w:r>
          </w:p>
        </w:tc>
        <w:tc>
          <w:tcPr>
            <w:tcW w:w="737" w:type="dxa"/>
            <w:tcBorders>
              <w:top w:val="nil"/>
              <w:left w:val="nil"/>
              <w:bottom w:val="single" w:sz="4" w:space="0" w:color="auto"/>
              <w:right w:val="single" w:sz="4" w:space="0" w:color="auto"/>
            </w:tcBorders>
            <w:shd w:val="clear" w:color="auto" w:fill="auto"/>
            <w:noWrap/>
            <w:vAlign w:val="center"/>
            <w:hideMark/>
          </w:tcPr>
          <w:p w14:paraId="6FB855EC"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0,295</w:t>
            </w:r>
          </w:p>
        </w:tc>
        <w:tc>
          <w:tcPr>
            <w:tcW w:w="737" w:type="dxa"/>
            <w:tcBorders>
              <w:top w:val="nil"/>
              <w:left w:val="nil"/>
              <w:bottom w:val="single" w:sz="4" w:space="0" w:color="auto"/>
              <w:right w:val="single" w:sz="4" w:space="0" w:color="auto"/>
            </w:tcBorders>
            <w:shd w:val="clear" w:color="auto" w:fill="auto"/>
            <w:noWrap/>
            <w:vAlign w:val="center"/>
            <w:hideMark/>
          </w:tcPr>
          <w:p w14:paraId="0DC5337A" w14:textId="77777777" w:rsidR="00EF2DB4" w:rsidRPr="00EF2DB4" w:rsidRDefault="00EF2DB4" w:rsidP="00EF2DB4">
            <w:pPr>
              <w:spacing w:before="0" w:after="0" w:line="240" w:lineRule="auto"/>
              <w:jc w:val="center"/>
              <w:rPr>
                <w:rFonts w:eastAsia="Times New Roman"/>
                <w:color w:val="000000"/>
                <w:sz w:val="22"/>
                <w:lang w:eastAsia="pl-PL"/>
              </w:rPr>
            </w:pPr>
            <w:r w:rsidRPr="00EF2DB4">
              <w:rPr>
                <w:rFonts w:eastAsia="Times New Roman"/>
                <w:color w:val="000000"/>
                <w:sz w:val="22"/>
                <w:lang w:eastAsia="pl-PL"/>
              </w:rPr>
              <w:t>0,147</w:t>
            </w:r>
          </w:p>
        </w:tc>
        <w:tc>
          <w:tcPr>
            <w:tcW w:w="737" w:type="dxa"/>
            <w:tcBorders>
              <w:top w:val="nil"/>
              <w:left w:val="nil"/>
              <w:bottom w:val="single" w:sz="4" w:space="0" w:color="auto"/>
              <w:right w:val="single" w:sz="4" w:space="0" w:color="auto"/>
            </w:tcBorders>
            <w:shd w:val="clear" w:color="auto" w:fill="FF9A8B"/>
            <w:noWrap/>
            <w:vAlign w:val="center"/>
            <w:hideMark/>
          </w:tcPr>
          <w:p w14:paraId="615482A5" w14:textId="77777777" w:rsidR="00EF2DB4" w:rsidRPr="00EF2DB4" w:rsidRDefault="00EF2DB4" w:rsidP="00EF2DB4">
            <w:pPr>
              <w:keepNext/>
              <w:spacing w:before="0" w:after="0" w:line="240" w:lineRule="auto"/>
              <w:jc w:val="center"/>
              <w:rPr>
                <w:rFonts w:eastAsia="Times New Roman"/>
                <w:color w:val="000000"/>
                <w:sz w:val="22"/>
                <w:lang w:eastAsia="pl-PL"/>
              </w:rPr>
            </w:pPr>
            <w:r w:rsidRPr="00EF2DB4">
              <w:rPr>
                <w:rFonts w:eastAsia="Times New Roman"/>
                <w:color w:val="000000"/>
                <w:sz w:val="22"/>
                <w:lang w:eastAsia="pl-PL"/>
              </w:rPr>
              <w:t>0,928</w:t>
            </w:r>
          </w:p>
        </w:tc>
      </w:tr>
    </w:tbl>
    <w:p w14:paraId="309341A2" w14:textId="1C49AB1C" w:rsidR="00EF2DB4" w:rsidRDefault="00EF2DB4" w:rsidP="00EF2DB4">
      <w:pPr>
        <w:pStyle w:val="Legenda"/>
        <w:jc w:val="center"/>
      </w:pPr>
      <w:r>
        <w:t xml:space="preserve">Tabela </w:t>
      </w:r>
      <w:fldSimple w:instr=" SEQ Tabela \* ARABIC ">
        <w:r>
          <w:rPr>
            <w:noProof/>
          </w:rPr>
          <w:t>12</w:t>
        </w:r>
      </w:fldSimple>
      <w:r>
        <w:t xml:space="preserve">. </w:t>
      </w:r>
      <w:r w:rsidRPr="00D37AC4">
        <w:t xml:space="preserve">Średnie zmiennych w grupach otrzymanych w wyniku zastosowania metody </w:t>
      </w:r>
      <w:r>
        <w:t>Warda</w:t>
      </w:r>
      <w:r w:rsidRPr="00D37AC4">
        <w:t xml:space="preserve"> dla pięciu klastrów.</w:t>
      </w:r>
    </w:p>
    <w:p w14:paraId="249E94F7" w14:textId="5E76AF41" w:rsidR="00EF2DB4" w:rsidRDefault="00EF2DB4" w:rsidP="00EF2DB4">
      <w:r>
        <w:tab/>
      </w:r>
      <w:r w:rsidR="00EB53A3" w:rsidRPr="00EB53A3">
        <w:t xml:space="preserve">W </w:t>
      </w:r>
      <w:r w:rsidR="00EB53A3">
        <w:t>pierwszej</w:t>
      </w:r>
      <w:r w:rsidR="00EB53A3" w:rsidRPr="00EB53A3">
        <w:t xml:space="preserve"> grupie średnie wynagrodzenie brutto jest poniżej przeciętnej, a poziom bezrobocia jest zbliżony do średniego. Województwa te cechują się relatywnie dobrym dostępem do aptek i uczelni wyższych</w:t>
      </w:r>
      <w:r w:rsidR="00EB53A3">
        <w:t xml:space="preserve">. Ponadto mogą się pochwalić najniższymi opłatami komunalnymi. </w:t>
      </w:r>
      <w:r w:rsidR="00EB53A3" w:rsidRPr="00EB53A3">
        <w:t>Wskaźniki emisji gazó</w:t>
      </w:r>
      <w:r w:rsidR="00EB53A3">
        <w:t>w, a także</w:t>
      </w:r>
      <w:r w:rsidR="00EB53A3" w:rsidRPr="00EB53A3">
        <w:t xml:space="preserve"> liczby </w:t>
      </w:r>
      <w:r w:rsidR="00EB53A3">
        <w:t xml:space="preserve">przestępstw i </w:t>
      </w:r>
      <w:r w:rsidR="00EB53A3" w:rsidRPr="00EB53A3">
        <w:t xml:space="preserve">wypadków drogowych są </w:t>
      </w:r>
      <w:r w:rsidR="00EB53A3">
        <w:t>najniższe</w:t>
      </w:r>
      <w:r w:rsidR="00EB53A3" w:rsidRPr="00EB53A3">
        <w:t>, co może świadczyć o spokojniejszym</w:t>
      </w:r>
      <w:r w:rsidR="00EB53A3">
        <w:t>, bezpiecznym</w:t>
      </w:r>
      <w:r w:rsidR="00EB53A3" w:rsidRPr="00EB53A3">
        <w:t xml:space="preserve"> charakterze regionów.</w:t>
      </w:r>
    </w:p>
    <w:p w14:paraId="2999224B" w14:textId="367C0B06" w:rsidR="00EB53A3" w:rsidRDefault="00EB53A3" w:rsidP="00EF2DB4">
      <w:r>
        <w:tab/>
        <w:t xml:space="preserve">Idąc dalej, grupa druga to województwa, które charakteryzują najniższe wynagrodzenia, wysoka stopa bezrobocia i słaby dostęp do służby zdrowia i szkolnictwa wyższego. Z drugiej strony posiada niskie wartości dotyczące liczby przestępstw </w:t>
      </w:r>
      <w:r w:rsidR="000D45C3">
        <w:t xml:space="preserve">czy emisji gazów. </w:t>
      </w:r>
    </w:p>
    <w:p w14:paraId="061AB21E" w14:textId="4A1B2C0A" w:rsidR="000D45C3" w:rsidRDefault="000D45C3" w:rsidP="00EF2DB4">
      <w:r>
        <w:tab/>
        <w:t>Trzecią grupę stanowi wyłącznie województwo mazowieckie. Jak już wielokrotnie wspomniano, województwo wyróżnia się najwyższymi zarobkami czy też szerokim dostępem do szkolnictwa i służby zdrowia. Z drugiej strony, koszty związane z zamieszkaniem, a następnie utrzymanie są nieporównywalnie wysokie.</w:t>
      </w:r>
    </w:p>
    <w:p w14:paraId="24CBFDA4" w14:textId="77777777" w:rsidR="00D27D21" w:rsidRDefault="000D45C3" w:rsidP="00D27D21">
      <w:r>
        <w:tab/>
      </w:r>
      <w:r w:rsidR="00D27D21" w:rsidRPr="00D27D21">
        <w:t>Czwarta grupa to województwo śląskie, które wyróżnia się najniższą stopą bezrobocia oraz najniższymi cenami mieszkań. Mimo to, w tym regionie gospodarka mieszkaniowa jest słabo rozwinięta. Dodatkowo, odnotowano tu najwyższy poziom zanieczyszczenia emisją gazów oraz najwyższy wskaźnik przestępczości.</w:t>
      </w:r>
    </w:p>
    <w:p w14:paraId="3C8D3372" w14:textId="38FA06FC" w:rsidR="00D27D21" w:rsidRDefault="00D27D21" w:rsidP="00D27D21">
      <w:r>
        <w:lastRenderedPageBreak/>
        <w:tab/>
        <w:t>Wyniki ostatniej grupy są najbardziej zastanawiające. Zostały bowiem zestawione województwo małopolskie, pomorskie i dolnośląskie na równi z województwem łódzkim i</w:t>
      </w:r>
      <w:r w:rsidR="00D5312B">
        <w:t> </w:t>
      </w:r>
      <w:r>
        <w:t>zachodniopomorskim. W rezultacie odnotowano jedne z gorszych wynagrodzeń, przeciętny dostęp do służby zdrowia oraz jedną z wyższych stóp bezrobocia.</w:t>
      </w:r>
    </w:p>
    <w:p w14:paraId="09A57A5F" w14:textId="6C361746" w:rsidR="00D27D21" w:rsidRPr="00D27D21" w:rsidRDefault="00D27D21" w:rsidP="00D27D21">
      <w:pPr>
        <w:pStyle w:val="Nagwek2"/>
        <w:rPr>
          <w:szCs w:val="22"/>
        </w:rPr>
      </w:pPr>
      <w:hyperlink w:anchor="_Spis_treści" w:history="1">
        <w:bookmarkStart w:id="18" w:name="_Toc180602605"/>
        <w:r w:rsidRPr="00D27D21">
          <w:rPr>
            <w:rStyle w:val="Hipercze"/>
            <w:color w:val="000000" w:themeColor="text1"/>
            <w:u w:val="none"/>
          </w:rPr>
          <w:t>Podsumowanie wyników</w:t>
        </w:r>
        <w:bookmarkEnd w:id="18"/>
      </w:hyperlink>
    </w:p>
    <w:p w14:paraId="4D31AB36" w14:textId="77777777" w:rsidR="00D5312B" w:rsidRPr="00D5312B" w:rsidRDefault="00D27D21" w:rsidP="00D5312B">
      <w:r>
        <w:tab/>
      </w:r>
      <w:r w:rsidR="00D5312B" w:rsidRPr="00D5312B">
        <w:t>Wyniki przeprowadzonej analizy skupień budzą pewne wątpliwości. Z jednej strony podział na dwa klastry prowadzi do niemal identycznych rezultatów w obu metodach. Z drugiej strony, podział na pięć klastrów wydaje się być bardziej precyzyjny, ukazując znaczące zróżnicowanie w zakresie analizowanych zmiennych.</w:t>
      </w:r>
    </w:p>
    <w:p w14:paraId="05821DF2" w14:textId="065E1D6A" w:rsidR="00D5312B" w:rsidRPr="00D5312B" w:rsidRDefault="00D5312B" w:rsidP="00D5312B">
      <w:pPr>
        <w:ind w:firstLine="708"/>
      </w:pPr>
      <w:r w:rsidRPr="00D5312B">
        <w:t>Grupowanie podziałowe ujawnia grupy ze względu na różne czynniki. Połączenie województw w tym przypadku wydaje się uzasadnione i koresponduje z wynikami wcześniejszego porządkowania liniowego. Wyraźnie widać podział w zależności od wynagrodzenia, dostępu do służby zdrowia, czy</w:t>
      </w:r>
      <w:r>
        <w:t xml:space="preserve"> też </w:t>
      </w:r>
      <w:r w:rsidRPr="00D5312B">
        <w:t>liczby obszarów zielonych.</w:t>
      </w:r>
    </w:p>
    <w:p w14:paraId="6BC392E5" w14:textId="15E41315" w:rsidR="00D5312B" w:rsidRPr="00D5312B" w:rsidRDefault="00D5312B" w:rsidP="00D5312B">
      <w:pPr>
        <w:ind w:firstLine="708"/>
      </w:pPr>
      <w:r w:rsidRPr="00D5312B">
        <w:t>Z kolei grupowanie hierarchiczne przynosi zupełnie inne efekty. Z jednej strony wyróżnia się silnie województwo mazowieckie, ze stolicą Warszaw</w:t>
      </w:r>
      <w:r>
        <w:t>ą</w:t>
      </w:r>
      <w:r w:rsidRPr="00D5312B">
        <w:t xml:space="preserve"> – centrum rozwoju na rynku pracy, pełnym uczelni wyższych oraz z szerokim dostępem do służby zdrowia. Oddzielną grupę stanowi województwo śląskie, co również znajduje uzasadnienie w kilku istotnych wskaźnikach. Natomiast zestawienie województw </w:t>
      </w:r>
      <w:r>
        <w:t>z obiektami takimi jak</w:t>
      </w:r>
      <w:r w:rsidRPr="00D5312B">
        <w:t xml:space="preserve"> Kraków, Wrocław czy Trójmiasto z województwem łódzkim i zachodniopomorskim wydaje się bezsensowne</w:t>
      </w:r>
      <w:r>
        <w:t>. Mają zupełnie różne wartości zmiennych, a w</w:t>
      </w:r>
      <w:r w:rsidRPr="00D5312B">
        <w:t xml:space="preserve"> porządkowaniu liniowym </w:t>
      </w:r>
      <w:r>
        <w:t xml:space="preserve">niejednokrotnie </w:t>
      </w:r>
      <w:r w:rsidRPr="00D5312B">
        <w:t>znalazły się na dwóch skrajnych końcach rankingu.</w:t>
      </w:r>
    </w:p>
    <w:p w14:paraId="78A24C0E" w14:textId="525E7420" w:rsidR="00D5312B" w:rsidRDefault="00D5312B" w:rsidP="00D5312B">
      <w:pPr>
        <w:ind w:firstLine="708"/>
      </w:pPr>
      <w:r w:rsidRPr="00D5312B">
        <w:t>Podsumowując, analiza skupień ujawnia istotne różnice w klasyfikacji województw, jednak nie powinna ona być jedynym kryterium oceny. Aby skutecznie zidentyfikować województwa o najwyższej jakości życia, warto spojrzeć szerzej na inne wyniki badań, takie jak wcześniejsze porządkowanie liniowe.</w:t>
      </w:r>
    </w:p>
    <w:p w14:paraId="0C99E378" w14:textId="77777777" w:rsidR="00D5312B" w:rsidRDefault="00D5312B">
      <w:pPr>
        <w:spacing w:before="0" w:after="160" w:line="278" w:lineRule="auto"/>
        <w:jc w:val="left"/>
      </w:pPr>
      <w:r>
        <w:br w:type="page"/>
      </w:r>
    </w:p>
    <w:p w14:paraId="4B27D68B" w14:textId="77540DE6" w:rsidR="00227311" w:rsidRDefault="00D5312B" w:rsidP="00D5312B">
      <w:pPr>
        <w:pStyle w:val="Nagwek1"/>
      </w:pPr>
      <w:hyperlink w:anchor="_Spis_treści" w:history="1">
        <w:bookmarkStart w:id="19" w:name="_Toc180602606"/>
        <w:r w:rsidRPr="00D5312B">
          <w:rPr>
            <w:rStyle w:val="Hipercze"/>
            <w:color w:val="000000" w:themeColor="text1"/>
            <w:u w:val="none"/>
          </w:rPr>
          <w:t>Zakończenie</w:t>
        </w:r>
        <w:bookmarkEnd w:id="19"/>
      </w:hyperlink>
    </w:p>
    <w:p w14:paraId="0E49937D" w14:textId="77777777" w:rsidR="00621019" w:rsidRPr="00621019" w:rsidRDefault="00621019" w:rsidP="00621019">
      <w:pPr>
        <w:ind w:firstLine="708"/>
      </w:pPr>
      <w:r w:rsidRPr="00621019">
        <w:t>Powyższa analiza prowadzi do wielu wniosków, a w zależności od zastosowanej metody, można uzyskać całkowicie różne rezultaty. Starając się zebrać wyniki uzyskane na początku poprzez zestawienie różnych statystyk opisowych oraz bazując na metodach porządkowania liniowego i analizy skupień, można sformułować istotne konkluzje.</w:t>
      </w:r>
    </w:p>
    <w:p w14:paraId="37ABDE34" w14:textId="77777777" w:rsidR="00621019" w:rsidRPr="00621019" w:rsidRDefault="00621019" w:rsidP="00621019">
      <w:pPr>
        <w:ind w:firstLine="708"/>
      </w:pPr>
      <w:r w:rsidRPr="00621019">
        <w:t>Przede wszystkim, mówiąc o poziomie i jakości życia, warto wyróżnić kilka województw, które cechują się największymi perspektywami w zakresie zatrudnienia i rynku pracy. Należą do nich województwa mazowieckie, dolnośląskie, pomorskie i małopolskie. Regiony te charakteryzują się najwyższymi zarobkami przy jednocześnie niskiej stopie bezrobocia. Oferują one szeroki dostęp do służby zdrowia oraz edukacji wyższej. Należy jednak pamiętać o pewnych niedogodnościach. Wysoko zurbanizowane obszary wiążą się z wyższymi kosztami życia, co sprawia, że relokacja do takich regionów oraz utrzymanie się w nich stają się znacznie trudniejsze.</w:t>
      </w:r>
    </w:p>
    <w:p w14:paraId="577848C8" w14:textId="21BA56EC" w:rsidR="00621019" w:rsidRPr="00621019" w:rsidRDefault="00621019" w:rsidP="00621019">
      <w:pPr>
        <w:ind w:firstLine="708"/>
      </w:pPr>
      <w:r w:rsidRPr="00621019">
        <w:t>Zupełnie inną grupę stanowią województwa świętokrzyskie i warmińsko-mazurskie, które w porządkowaniu liniowym znalazły się na końcu rankingu, a w analizie skupień osiągnęły jedne z najgorszych wyników. Problemy te obejmują</w:t>
      </w:r>
      <w:r>
        <w:t xml:space="preserve"> względnie bardzo</w:t>
      </w:r>
      <w:r w:rsidRPr="00621019">
        <w:t xml:space="preserve"> niskie wynagrodzenia, wysoką stopę bezrobocia oraz przeciętny dostęp do usług publicznych i</w:t>
      </w:r>
      <w:r w:rsidR="0067087C">
        <w:t> </w:t>
      </w:r>
      <w:r w:rsidRPr="00621019">
        <w:t>szkolnictwa wyższego.</w:t>
      </w:r>
    </w:p>
    <w:p w14:paraId="3C8CFCF8" w14:textId="459A38A6" w:rsidR="00621019" w:rsidRPr="00621019" w:rsidRDefault="00621019" w:rsidP="00621019">
      <w:pPr>
        <w:ind w:firstLine="708"/>
      </w:pPr>
      <w:r w:rsidRPr="00621019">
        <w:t>Pozostałe województwa wykazują zróżnicowane wyniki. Na przykład, województwa śląskie i wielkopolskie odznaczają się najniższymi stopami bezrobocia. Z kolei województwo podkarpackie wyróżnia się największą liczbą terenów zielonych. Inne regiony mogą poszczycić się zdecydowanie niższymi kosztami życia w porównaniu do obszarów z największymi miastami, co wiąże się jednak z problemami takimi jak gorszy dostęp do usług publicznych oraz ograniczone możliwości rozwoju na rynku pracy.</w:t>
      </w:r>
    </w:p>
    <w:p w14:paraId="31F18AD7" w14:textId="25A67772" w:rsidR="00621019" w:rsidRPr="00D5312B" w:rsidRDefault="00621019" w:rsidP="0067087C">
      <w:pPr>
        <w:ind w:firstLine="708"/>
      </w:pPr>
      <w:r w:rsidRPr="00621019">
        <w:t>Podsumowując, chociaż wyniki analizy pokazują przewagę regionów wysoko zurbanizowanych, podkreślają również potrzebę bardziej zrównoważonego rozwoju. Kluczowe jest skierowanie dodatkowego wsparcia do mniej rozwiniętych województw. Wyrównanie różnic między regionami może przyczynić się do ogólnego wzrostu jakości życia w całym kraju oraz bardziej sprawiedliwego rozwoju społeczno-gospodarczego.</w:t>
      </w:r>
    </w:p>
    <w:sectPr w:rsidR="00621019" w:rsidRPr="00D5312B" w:rsidSect="004D6E04">
      <w:footerReference w:type="even"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9F7D4" w14:textId="77777777" w:rsidR="00553E67" w:rsidRDefault="00553E67" w:rsidP="004D6E04">
      <w:pPr>
        <w:spacing w:before="0" w:after="0" w:line="240" w:lineRule="auto"/>
      </w:pPr>
      <w:r>
        <w:separator/>
      </w:r>
    </w:p>
  </w:endnote>
  <w:endnote w:type="continuationSeparator" w:id="0">
    <w:p w14:paraId="73E607B1" w14:textId="77777777" w:rsidR="00553E67" w:rsidRDefault="00553E67" w:rsidP="004D6E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strony"/>
      </w:rPr>
      <w:id w:val="-238942222"/>
      <w:docPartObj>
        <w:docPartGallery w:val="Page Numbers (Bottom of Page)"/>
        <w:docPartUnique/>
      </w:docPartObj>
    </w:sdtPr>
    <w:sdtContent>
      <w:p w14:paraId="7AE24383" w14:textId="5256F1ED" w:rsidR="004D6E04" w:rsidRDefault="004D6E04" w:rsidP="00345FB1">
        <w:pPr>
          <w:pStyle w:val="Stopka"/>
          <w:framePr w:wrap="none" w:vAnchor="text" w:hAnchor="margin" w:xAlign="center" w:y="1"/>
          <w:rPr>
            <w:rStyle w:val="Numerstrony"/>
          </w:rPr>
        </w:pPr>
        <w:r>
          <w:rPr>
            <w:rStyle w:val="Numerstrony"/>
          </w:rPr>
          <w:fldChar w:fldCharType="begin"/>
        </w:r>
        <w:r>
          <w:rPr>
            <w:rStyle w:val="Numerstrony"/>
          </w:rPr>
          <w:instrText xml:space="preserve"> PAGE </w:instrText>
        </w:r>
        <w:r>
          <w:rPr>
            <w:rStyle w:val="Numerstrony"/>
          </w:rPr>
          <w:fldChar w:fldCharType="end"/>
        </w:r>
      </w:p>
    </w:sdtContent>
  </w:sdt>
  <w:p w14:paraId="19CD7A87" w14:textId="77777777" w:rsidR="004D6E04" w:rsidRDefault="004D6E0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strony"/>
      </w:rPr>
      <w:id w:val="-1379620920"/>
      <w:docPartObj>
        <w:docPartGallery w:val="Page Numbers (Bottom of Page)"/>
        <w:docPartUnique/>
      </w:docPartObj>
    </w:sdtPr>
    <w:sdtContent>
      <w:p w14:paraId="660E00A9" w14:textId="10DB2199" w:rsidR="004D6E04" w:rsidRDefault="004D6E04" w:rsidP="00345FB1">
        <w:pPr>
          <w:pStyle w:val="Stopka"/>
          <w:framePr w:wrap="none" w:vAnchor="text" w:hAnchor="margin" w:xAlign="center" w:y="1"/>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2</w:t>
        </w:r>
        <w:r>
          <w:rPr>
            <w:rStyle w:val="Numerstrony"/>
          </w:rPr>
          <w:fldChar w:fldCharType="end"/>
        </w:r>
      </w:p>
    </w:sdtContent>
  </w:sdt>
  <w:p w14:paraId="35C1C777" w14:textId="77777777" w:rsidR="004D6E04" w:rsidRDefault="004D6E0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18192" w14:textId="77777777" w:rsidR="00553E67" w:rsidRDefault="00553E67" w:rsidP="004D6E04">
      <w:pPr>
        <w:spacing w:before="0" w:after="0" w:line="240" w:lineRule="auto"/>
      </w:pPr>
      <w:r>
        <w:separator/>
      </w:r>
    </w:p>
  </w:footnote>
  <w:footnote w:type="continuationSeparator" w:id="0">
    <w:p w14:paraId="7705667A" w14:textId="77777777" w:rsidR="00553E67" w:rsidRDefault="00553E67" w:rsidP="004D6E0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04"/>
    <w:rsid w:val="000A75C7"/>
    <w:rsid w:val="000D45C3"/>
    <w:rsid w:val="000E0831"/>
    <w:rsid w:val="0018183C"/>
    <w:rsid w:val="001A0D36"/>
    <w:rsid w:val="001B52EE"/>
    <w:rsid w:val="001F53A9"/>
    <w:rsid w:val="00220CB6"/>
    <w:rsid w:val="00227311"/>
    <w:rsid w:val="00242482"/>
    <w:rsid w:val="00295282"/>
    <w:rsid w:val="002D1AE9"/>
    <w:rsid w:val="002F60E3"/>
    <w:rsid w:val="00303D1D"/>
    <w:rsid w:val="00314D36"/>
    <w:rsid w:val="0031723E"/>
    <w:rsid w:val="00325478"/>
    <w:rsid w:val="00345FB1"/>
    <w:rsid w:val="003816C8"/>
    <w:rsid w:val="003F0DDD"/>
    <w:rsid w:val="004135BD"/>
    <w:rsid w:val="00417583"/>
    <w:rsid w:val="0044482E"/>
    <w:rsid w:val="004D6E04"/>
    <w:rsid w:val="004E2286"/>
    <w:rsid w:val="004F6F94"/>
    <w:rsid w:val="00505FE8"/>
    <w:rsid w:val="00524AC8"/>
    <w:rsid w:val="00533C46"/>
    <w:rsid w:val="00535066"/>
    <w:rsid w:val="00551A30"/>
    <w:rsid w:val="00553E67"/>
    <w:rsid w:val="00591799"/>
    <w:rsid w:val="005B4D15"/>
    <w:rsid w:val="005F143C"/>
    <w:rsid w:val="005F5B2E"/>
    <w:rsid w:val="00602929"/>
    <w:rsid w:val="00621019"/>
    <w:rsid w:val="00626FC1"/>
    <w:rsid w:val="00632878"/>
    <w:rsid w:val="00656CF3"/>
    <w:rsid w:val="0067087C"/>
    <w:rsid w:val="00684CC6"/>
    <w:rsid w:val="006D0D4C"/>
    <w:rsid w:val="00711618"/>
    <w:rsid w:val="00716540"/>
    <w:rsid w:val="0072353B"/>
    <w:rsid w:val="00723BD0"/>
    <w:rsid w:val="00733748"/>
    <w:rsid w:val="00760124"/>
    <w:rsid w:val="0077093B"/>
    <w:rsid w:val="0077633E"/>
    <w:rsid w:val="00777AB4"/>
    <w:rsid w:val="007D0832"/>
    <w:rsid w:val="007D2B6A"/>
    <w:rsid w:val="007D3210"/>
    <w:rsid w:val="00807A47"/>
    <w:rsid w:val="0082137B"/>
    <w:rsid w:val="00840E87"/>
    <w:rsid w:val="00853A26"/>
    <w:rsid w:val="008A2A09"/>
    <w:rsid w:val="008A6A2C"/>
    <w:rsid w:val="008C25A1"/>
    <w:rsid w:val="008D2850"/>
    <w:rsid w:val="008D445D"/>
    <w:rsid w:val="00902DBD"/>
    <w:rsid w:val="00920683"/>
    <w:rsid w:val="00951D28"/>
    <w:rsid w:val="00995C48"/>
    <w:rsid w:val="009A1AAE"/>
    <w:rsid w:val="009C5035"/>
    <w:rsid w:val="009C745E"/>
    <w:rsid w:val="009E178D"/>
    <w:rsid w:val="009E4692"/>
    <w:rsid w:val="009E5CA5"/>
    <w:rsid w:val="00A0328E"/>
    <w:rsid w:val="00A10B6E"/>
    <w:rsid w:val="00AB3E11"/>
    <w:rsid w:val="00AF75BC"/>
    <w:rsid w:val="00B40696"/>
    <w:rsid w:val="00BA7F82"/>
    <w:rsid w:val="00BD3D99"/>
    <w:rsid w:val="00C27B2F"/>
    <w:rsid w:val="00C35D3E"/>
    <w:rsid w:val="00C94149"/>
    <w:rsid w:val="00CB7340"/>
    <w:rsid w:val="00CE4670"/>
    <w:rsid w:val="00CE70B5"/>
    <w:rsid w:val="00D27D21"/>
    <w:rsid w:val="00D46410"/>
    <w:rsid w:val="00D5312B"/>
    <w:rsid w:val="00D53420"/>
    <w:rsid w:val="00D61063"/>
    <w:rsid w:val="00D906A4"/>
    <w:rsid w:val="00D95EE0"/>
    <w:rsid w:val="00DB00DE"/>
    <w:rsid w:val="00E10C27"/>
    <w:rsid w:val="00E56A5E"/>
    <w:rsid w:val="00E80BA4"/>
    <w:rsid w:val="00EB53A3"/>
    <w:rsid w:val="00EF2DB4"/>
    <w:rsid w:val="00F03E6C"/>
    <w:rsid w:val="00FA0AC6"/>
    <w:rsid w:val="00FA303B"/>
    <w:rsid w:val="00FE14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8E2A"/>
  <w15:chartTrackingRefBased/>
  <w15:docId w15:val="{4838AABD-0B09-C94F-9283-3741E4D3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D6E04"/>
    <w:pPr>
      <w:spacing w:before="120" w:after="320" w:line="360" w:lineRule="auto"/>
      <w:jc w:val="both"/>
    </w:pPr>
    <w:rPr>
      <w:rFonts w:ascii="Times New Roman" w:eastAsia="Calibri" w:hAnsi="Times New Roman" w:cs="Times New Roman"/>
      <w:kern w:val="0"/>
      <w:szCs w:val="22"/>
      <w14:ligatures w14:val="none"/>
    </w:rPr>
  </w:style>
  <w:style w:type="paragraph" w:styleId="Nagwek1">
    <w:name w:val="heading 1"/>
    <w:basedOn w:val="Normalny"/>
    <w:next w:val="Normalny"/>
    <w:link w:val="Nagwek1Znak"/>
    <w:uiPriority w:val="9"/>
    <w:qFormat/>
    <w:rsid w:val="004D6E04"/>
    <w:pPr>
      <w:keepNext/>
      <w:keepLines/>
      <w:spacing w:before="360" w:after="80"/>
      <w:outlineLvl w:val="0"/>
    </w:pPr>
    <w:rPr>
      <w:rFonts w:eastAsiaTheme="majorEastAsia" w:cstheme="majorBidi"/>
      <w:b/>
      <w:color w:val="000000" w:themeColor="text1"/>
      <w:kern w:val="2"/>
      <w:sz w:val="40"/>
      <w:szCs w:val="40"/>
      <w14:ligatures w14:val="standardContextual"/>
    </w:rPr>
  </w:style>
  <w:style w:type="paragraph" w:styleId="Nagwek2">
    <w:name w:val="heading 2"/>
    <w:basedOn w:val="Normalny"/>
    <w:next w:val="Normalny"/>
    <w:link w:val="Nagwek2Znak"/>
    <w:uiPriority w:val="9"/>
    <w:unhideWhenUsed/>
    <w:qFormat/>
    <w:rsid w:val="004D6E04"/>
    <w:pPr>
      <w:keepNext/>
      <w:keepLines/>
      <w:spacing w:before="160" w:after="80"/>
      <w:outlineLvl w:val="1"/>
    </w:pPr>
    <w:rPr>
      <w:rFonts w:eastAsiaTheme="majorEastAsia" w:cstheme="majorBidi"/>
      <w:b/>
      <w:color w:val="000000" w:themeColor="text1"/>
      <w:kern w:val="2"/>
      <w:sz w:val="32"/>
      <w:szCs w:val="32"/>
      <w14:ligatures w14:val="standardContextual"/>
    </w:rPr>
  </w:style>
  <w:style w:type="paragraph" w:styleId="Nagwek3">
    <w:name w:val="heading 3"/>
    <w:basedOn w:val="Normalny"/>
    <w:next w:val="Normalny"/>
    <w:link w:val="Nagwek3Znak"/>
    <w:uiPriority w:val="9"/>
    <w:semiHidden/>
    <w:unhideWhenUsed/>
    <w:qFormat/>
    <w:rsid w:val="004D6E04"/>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4D6E04"/>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4D6E04"/>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4D6E04"/>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D6E04"/>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D6E04"/>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D6E04"/>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D6E04"/>
    <w:rPr>
      <w:rFonts w:ascii="Times New Roman" w:eastAsiaTheme="majorEastAsia" w:hAnsi="Times New Roman" w:cstheme="majorBidi"/>
      <w:b/>
      <w:color w:val="000000" w:themeColor="text1"/>
      <w:sz w:val="40"/>
      <w:szCs w:val="40"/>
    </w:rPr>
  </w:style>
  <w:style w:type="character" w:customStyle="1" w:styleId="Nagwek2Znak">
    <w:name w:val="Nagłówek 2 Znak"/>
    <w:basedOn w:val="Domylnaczcionkaakapitu"/>
    <w:link w:val="Nagwek2"/>
    <w:uiPriority w:val="9"/>
    <w:rsid w:val="004D6E04"/>
    <w:rPr>
      <w:rFonts w:ascii="Times New Roman" w:eastAsiaTheme="majorEastAsia" w:hAnsi="Times New Roman" w:cstheme="majorBidi"/>
      <w:b/>
      <w:color w:val="000000" w:themeColor="text1"/>
      <w:sz w:val="32"/>
      <w:szCs w:val="32"/>
    </w:rPr>
  </w:style>
  <w:style w:type="character" w:customStyle="1" w:styleId="Nagwek3Znak">
    <w:name w:val="Nagłówek 3 Znak"/>
    <w:basedOn w:val="Domylnaczcionkaakapitu"/>
    <w:link w:val="Nagwek3"/>
    <w:uiPriority w:val="9"/>
    <w:semiHidden/>
    <w:rsid w:val="004D6E04"/>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4D6E04"/>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4D6E04"/>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4D6E0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D6E0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D6E0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D6E04"/>
    <w:rPr>
      <w:rFonts w:eastAsiaTheme="majorEastAsia" w:cstheme="majorBidi"/>
      <w:color w:val="272727" w:themeColor="text1" w:themeTint="D8"/>
    </w:rPr>
  </w:style>
  <w:style w:type="paragraph" w:styleId="Tytu">
    <w:name w:val="Title"/>
    <w:basedOn w:val="Normalny"/>
    <w:next w:val="Normalny"/>
    <w:link w:val="TytuZnak"/>
    <w:uiPriority w:val="10"/>
    <w:qFormat/>
    <w:rsid w:val="004D6E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D6E0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D6E04"/>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4D6E0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D6E04"/>
    <w:pPr>
      <w:spacing w:before="160"/>
      <w:jc w:val="center"/>
    </w:pPr>
    <w:rPr>
      <w:i/>
      <w:iCs/>
      <w:color w:val="404040" w:themeColor="text1" w:themeTint="BF"/>
    </w:rPr>
  </w:style>
  <w:style w:type="character" w:customStyle="1" w:styleId="CytatZnak">
    <w:name w:val="Cytat Znak"/>
    <w:basedOn w:val="Domylnaczcionkaakapitu"/>
    <w:link w:val="Cytat"/>
    <w:uiPriority w:val="29"/>
    <w:rsid w:val="004D6E04"/>
    <w:rPr>
      <w:i/>
      <w:iCs/>
      <w:color w:val="404040" w:themeColor="text1" w:themeTint="BF"/>
    </w:rPr>
  </w:style>
  <w:style w:type="paragraph" w:styleId="Akapitzlist">
    <w:name w:val="List Paragraph"/>
    <w:basedOn w:val="Normalny"/>
    <w:uiPriority w:val="34"/>
    <w:qFormat/>
    <w:rsid w:val="004D6E04"/>
    <w:pPr>
      <w:ind w:left="720"/>
      <w:contextualSpacing/>
    </w:pPr>
  </w:style>
  <w:style w:type="character" w:styleId="Wyrnienieintensywne">
    <w:name w:val="Intense Emphasis"/>
    <w:basedOn w:val="Domylnaczcionkaakapitu"/>
    <w:uiPriority w:val="21"/>
    <w:qFormat/>
    <w:rsid w:val="004D6E04"/>
    <w:rPr>
      <w:i/>
      <w:iCs/>
      <w:color w:val="0F4761" w:themeColor="accent1" w:themeShade="BF"/>
    </w:rPr>
  </w:style>
  <w:style w:type="paragraph" w:styleId="Cytatintensywny">
    <w:name w:val="Intense Quote"/>
    <w:basedOn w:val="Normalny"/>
    <w:next w:val="Normalny"/>
    <w:link w:val="CytatintensywnyZnak"/>
    <w:uiPriority w:val="30"/>
    <w:qFormat/>
    <w:rsid w:val="004D6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4D6E04"/>
    <w:rPr>
      <w:i/>
      <w:iCs/>
      <w:color w:val="0F4761" w:themeColor="accent1" w:themeShade="BF"/>
    </w:rPr>
  </w:style>
  <w:style w:type="character" w:styleId="Odwoanieintensywne">
    <w:name w:val="Intense Reference"/>
    <w:basedOn w:val="Domylnaczcionkaakapitu"/>
    <w:uiPriority w:val="32"/>
    <w:qFormat/>
    <w:rsid w:val="004D6E04"/>
    <w:rPr>
      <w:b/>
      <w:bCs/>
      <w:smallCaps/>
      <w:color w:val="0F4761" w:themeColor="accent1" w:themeShade="BF"/>
      <w:spacing w:val="5"/>
    </w:rPr>
  </w:style>
  <w:style w:type="paragraph" w:styleId="Spistreci2">
    <w:name w:val="toc 2"/>
    <w:basedOn w:val="Normalny"/>
    <w:next w:val="Normalny"/>
    <w:autoRedefine/>
    <w:uiPriority w:val="39"/>
    <w:unhideWhenUsed/>
    <w:rsid w:val="004D6E04"/>
    <w:pPr>
      <w:spacing w:before="0" w:after="0"/>
      <w:ind w:left="240"/>
      <w:jc w:val="left"/>
    </w:pPr>
    <w:rPr>
      <w:szCs w:val="24"/>
    </w:rPr>
  </w:style>
  <w:style w:type="paragraph" w:styleId="Spistreci1">
    <w:name w:val="toc 1"/>
    <w:basedOn w:val="Normalny"/>
    <w:next w:val="Normalny"/>
    <w:autoRedefine/>
    <w:uiPriority w:val="39"/>
    <w:unhideWhenUsed/>
    <w:rsid w:val="004D6E04"/>
    <w:pPr>
      <w:spacing w:before="0" w:after="0"/>
      <w:jc w:val="left"/>
    </w:pPr>
    <w:rPr>
      <w:szCs w:val="24"/>
    </w:rPr>
  </w:style>
  <w:style w:type="paragraph" w:styleId="Spistreci3">
    <w:name w:val="toc 3"/>
    <w:basedOn w:val="Normalny"/>
    <w:next w:val="Normalny"/>
    <w:autoRedefine/>
    <w:uiPriority w:val="39"/>
    <w:unhideWhenUsed/>
    <w:rsid w:val="004D6E04"/>
    <w:pPr>
      <w:spacing w:before="0" w:after="0"/>
      <w:ind w:left="480"/>
      <w:jc w:val="left"/>
    </w:pPr>
    <w:rPr>
      <w:rFonts w:asciiTheme="minorHAnsi" w:hAnsiTheme="minorHAnsi"/>
      <w:sz w:val="0"/>
      <w:szCs w:val="0"/>
    </w:rPr>
  </w:style>
  <w:style w:type="paragraph" w:styleId="Spistreci4">
    <w:name w:val="toc 4"/>
    <w:basedOn w:val="Normalny"/>
    <w:next w:val="Normalny"/>
    <w:autoRedefine/>
    <w:uiPriority w:val="39"/>
    <w:unhideWhenUsed/>
    <w:rsid w:val="004D6E04"/>
    <w:pPr>
      <w:spacing w:before="0" w:after="0"/>
      <w:ind w:left="720"/>
      <w:jc w:val="left"/>
    </w:pPr>
    <w:rPr>
      <w:rFonts w:asciiTheme="minorHAnsi" w:hAnsiTheme="minorHAnsi"/>
      <w:sz w:val="0"/>
      <w:szCs w:val="0"/>
    </w:rPr>
  </w:style>
  <w:style w:type="paragraph" w:styleId="Spistreci5">
    <w:name w:val="toc 5"/>
    <w:basedOn w:val="Normalny"/>
    <w:next w:val="Normalny"/>
    <w:autoRedefine/>
    <w:uiPriority w:val="39"/>
    <w:unhideWhenUsed/>
    <w:rsid w:val="004D6E04"/>
    <w:pPr>
      <w:spacing w:before="0" w:after="0"/>
      <w:ind w:left="960"/>
      <w:jc w:val="left"/>
    </w:pPr>
    <w:rPr>
      <w:rFonts w:asciiTheme="minorHAnsi" w:hAnsiTheme="minorHAnsi"/>
      <w:sz w:val="0"/>
      <w:szCs w:val="0"/>
    </w:rPr>
  </w:style>
  <w:style w:type="paragraph" w:styleId="Spistreci6">
    <w:name w:val="toc 6"/>
    <w:basedOn w:val="Normalny"/>
    <w:next w:val="Normalny"/>
    <w:autoRedefine/>
    <w:uiPriority w:val="39"/>
    <w:unhideWhenUsed/>
    <w:rsid w:val="004D6E04"/>
    <w:pPr>
      <w:spacing w:before="0" w:after="0"/>
      <w:ind w:left="1200"/>
      <w:jc w:val="left"/>
    </w:pPr>
    <w:rPr>
      <w:rFonts w:asciiTheme="minorHAnsi" w:hAnsiTheme="minorHAnsi"/>
      <w:sz w:val="0"/>
      <w:szCs w:val="0"/>
    </w:rPr>
  </w:style>
  <w:style w:type="paragraph" w:styleId="Spistreci7">
    <w:name w:val="toc 7"/>
    <w:basedOn w:val="Normalny"/>
    <w:next w:val="Normalny"/>
    <w:autoRedefine/>
    <w:uiPriority w:val="39"/>
    <w:unhideWhenUsed/>
    <w:rsid w:val="004D6E04"/>
    <w:pPr>
      <w:spacing w:before="0" w:after="0"/>
      <w:ind w:left="1440"/>
      <w:jc w:val="left"/>
    </w:pPr>
    <w:rPr>
      <w:rFonts w:asciiTheme="minorHAnsi" w:hAnsiTheme="minorHAnsi"/>
      <w:sz w:val="0"/>
      <w:szCs w:val="0"/>
    </w:rPr>
  </w:style>
  <w:style w:type="paragraph" w:styleId="Spistreci8">
    <w:name w:val="toc 8"/>
    <w:basedOn w:val="Normalny"/>
    <w:next w:val="Normalny"/>
    <w:autoRedefine/>
    <w:uiPriority w:val="39"/>
    <w:unhideWhenUsed/>
    <w:rsid w:val="004D6E04"/>
    <w:pPr>
      <w:spacing w:before="0" w:after="0"/>
      <w:ind w:left="1680"/>
      <w:jc w:val="left"/>
    </w:pPr>
    <w:rPr>
      <w:rFonts w:asciiTheme="minorHAnsi" w:hAnsiTheme="minorHAnsi"/>
      <w:sz w:val="0"/>
      <w:szCs w:val="0"/>
    </w:rPr>
  </w:style>
  <w:style w:type="paragraph" w:styleId="Spistreci9">
    <w:name w:val="toc 9"/>
    <w:basedOn w:val="Normalny"/>
    <w:next w:val="Normalny"/>
    <w:autoRedefine/>
    <w:uiPriority w:val="39"/>
    <w:unhideWhenUsed/>
    <w:rsid w:val="004D6E04"/>
    <w:pPr>
      <w:spacing w:before="0" w:after="0"/>
      <w:ind w:left="1920"/>
      <w:jc w:val="left"/>
    </w:pPr>
    <w:rPr>
      <w:rFonts w:asciiTheme="minorHAnsi" w:hAnsiTheme="minorHAnsi"/>
      <w:sz w:val="0"/>
      <w:szCs w:val="0"/>
    </w:rPr>
  </w:style>
  <w:style w:type="character" w:styleId="Hipercze">
    <w:name w:val="Hyperlink"/>
    <w:basedOn w:val="Domylnaczcionkaakapitu"/>
    <w:uiPriority w:val="99"/>
    <w:unhideWhenUsed/>
    <w:rsid w:val="004D6E04"/>
    <w:rPr>
      <w:color w:val="467886" w:themeColor="hyperlink"/>
      <w:u w:val="single"/>
    </w:rPr>
  </w:style>
  <w:style w:type="paragraph" w:styleId="Stopka">
    <w:name w:val="footer"/>
    <w:basedOn w:val="Normalny"/>
    <w:link w:val="StopkaZnak"/>
    <w:uiPriority w:val="99"/>
    <w:unhideWhenUsed/>
    <w:rsid w:val="004D6E04"/>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4D6E04"/>
    <w:rPr>
      <w:rFonts w:ascii="Times New Roman" w:eastAsia="Calibri" w:hAnsi="Times New Roman" w:cs="Times New Roman"/>
      <w:kern w:val="0"/>
      <w:szCs w:val="22"/>
      <w14:ligatures w14:val="none"/>
    </w:rPr>
  </w:style>
  <w:style w:type="character" w:styleId="Numerstrony">
    <w:name w:val="page number"/>
    <w:basedOn w:val="Domylnaczcionkaakapitu"/>
    <w:uiPriority w:val="99"/>
    <w:semiHidden/>
    <w:unhideWhenUsed/>
    <w:rsid w:val="004D6E04"/>
  </w:style>
  <w:style w:type="table" w:styleId="Tabela-Siatka">
    <w:name w:val="Table Grid"/>
    <w:basedOn w:val="Standardowy"/>
    <w:uiPriority w:val="39"/>
    <w:rsid w:val="009E4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0E0831"/>
    <w:rPr>
      <w:color w:val="666666"/>
    </w:rPr>
  </w:style>
  <w:style w:type="character" w:styleId="Nierozpoznanawzmianka">
    <w:name w:val="Unresolved Mention"/>
    <w:basedOn w:val="Domylnaczcionkaakapitu"/>
    <w:uiPriority w:val="99"/>
    <w:semiHidden/>
    <w:unhideWhenUsed/>
    <w:rsid w:val="00D95EE0"/>
    <w:rPr>
      <w:color w:val="605E5C"/>
      <w:shd w:val="clear" w:color="auto" w:fill="E1DFDD"/>
    </w:rPr>
  </w:style>
  <w:style w:type="character" w:styleId="UyteHipercze">
    <w:name w:val="FollowedHyperlink"/>
    <w:basedOn w:val="Domylnaczcionkaakapitu"/>
    <w:uiPriority w:val="99"/>
    <w:semiHidden/>
    <w:unhideWhenUsed/>
    <w:rsid w:val="00D95EE0"/>
    <w:rPr>
      <w:color w:val="96607D" w:themeColor="followedHyperlink"/>
      <w:u w:val="single"/>
    </w:rPr>
  </w:style>
  <w:style w:type="paragraph" w:styleId="NormalnyWeb">
    <w:name w:val="Normal (Web)"/>
    <w:basedOn w:val="Normalny"/>
    <w:uiPriority w:val="99"/>
    <w:semiHidden/>
    <w:unhideWhenUsed/>
    <w:rsid w:val="00E10C27"/>
    <w:rPr>
      <w:szCs w:val="24"/>
    </w:rPr>
  </w:style>
  <w:style w:type="paragraph" w:styleId="Legenda">
    <w:name w:val="caption"/>
    <w:basedOn w:val="Normalny"/>
    <w:next w:val="Normalny"/>
    <w:uiPriority w:val="35"/>
    <w:unhideWhenUsed/>
    <w:qFormat/>
    <w:rsid w:val="00E10C27"/>
    <w:pPr>
      <w:spacing w:before="0" w:after="200" w:line="240" w:lineRule="auto"/>
    </w:pPr>
    <w:rPr>
      <w:i/>
      <w:iCs/>
      <w:color w:val="0E2841" w:themeColor="text2"/>
      <w:sz w:val="18"/>
      <w:szCs w:val="18"/>
    </w:rPr>
  </w:style>
  <w:style w:type="table" w:styleId="Tabelasiatki4">
    <w:name w:val="Grid Table 4"/>
    <w:basedOn w:val="Standardowy"/>
    <w:uiPriority w:val="49"/>
    <w:rsid w:val="00345F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9959">
      <w:bodyDiv w:val="1"/>
      <w:marLeft w:val="0"/>
      <w:marRight w:val="0"/>
      <w:marTop w:val="0"/>
      <w:marBottom w:val="0"/>
      <w:divBdr>
        <w:top w:val="none" w:sz="0" w:space="0" w:color="auto"/>
        <w:left w:val="none" w:sz="0" w:space="0" w:color="auto"/>
        <w:bottom w:val="none" w:sz="0" w:space="0" w:color="auto"/>
        <w:right w:val="none" w:sz="0" w:space="0" w:color="auto"/>
      </w:divBdr>
    </w:div>
    <w:div w:id="39985065">
      <w:bodyDiv w:val="1"/>
      <w:marLeft w:val="0"/>
      <w:marRight w:val="0"/>
      <w:marTop w:val="0"/>
      <w:marBottom w:val="0"/>
      <w:divBdr>
        <w:top w:val="none" w:sz="0" w:space="0" w:color="auto"/>
        <w:left w:val="none" w:sz="0" w:space="0" w:color="auto"/>
        <w:bottom w:val="none" w:sz="0" w:space="0" w:color="auto"/>
        <w:right w:val="none" w:sz="0" w:space="0" w:color="auto"/>
      </w:divBdr>
    </w:div>
    <w:div w:id="48039693">
      <w:bodyDiv w:val="1"/>
      <w:marLeft w:val="0"/>
      <w:marRight w:val="0"/>
      <w:marTop w:val="0"/>
      <w:marBottom w:val="0"/>
      <w:divBdr>
        <w:top w:val="none" w:sz="0" w:space="0" w:color="auto"/>
        <w:left w:val="none" w:sz="0" w:space="0" w:color="auto"/>
        <w:bottom w:val="none" w:sz="0" w:space="0" w:color="auto"/>
        <w:right w:val="none" w:sz="0" w:space="0" w:color="auto"/>
      </w:divBdr>
    </w:div>
    <w:div w:id="70198097">
      <w:bodyDiv w:val="1"/>
      <w:marLeft w:val="0"/>
      <w:marRight w:val="0"/>
      <w:marTop w:val="0"/>
      <w:marBottom w:val="0"/>
      <w:divBdr>
        <w:top w:val="none" w:sz="0" w:space="0" w:color="auto"/>
        <w:left w:val="none" w:sz="0" w:space="0" w:color="auto"/>
        <w:bottom w:val="none" w:sz="0" w:space="0" w:color="auto"/>
        <w:right w:val="none" w:sz="0" w:space="0" w:color="auto"/>
      </w:divBdr>
    </w:div>
    <w:div w:id="162160374">
      <w:bodyDiv w:val="1"/>
      <w:marLeft w:val="0"/>
      <w:marRight w:val="0"/>
      <w:marTop w:val="0"/>
      <w:marBottom w:val="0"/>
      <w:divBdr>
        <w:top w:val="none" w:sz="0" w:space="0" w:color="auto"/>
        <w:left w:val="none" w:sz="0" w:space="0" w:color="auto"/>
        <w:bottom w:val="none" w:sz="0" w:space="0" w:color="auto"/>
        <w:right w:val="none" w:sz="0" w:space="0" w:color="auto"/>
      </w:divBdr>
    </w:div>
    <w:div w:id="164789792">
      <w:bodyDiv w:val="1"/>
      <w:marLeft w:val="0"/>
      <w:marRight w:val="0"/>
      <w:marTop w:val="0"/>
      <w:marBottom w:val="0"/>
      <w:divBdr>
        <w:top w:val="none" w:sz="0" w:space="0" w:color="auto"/>
        <w:left w:val="none" w:sz="0" w:space="0" w:color="auto"/>
        <w:bottom w:val="none" w:sz="0" w:space="0" w:color="auto"/>
        <w:right w:val="none" w:sz="0" w:space="0" w:color="auto"/>
      </w:divBdr>
      <w:divsChild>
        <w:div w:id="1775325427">
          <w:marLeft w:val="0"/>
          <w:marRight w:val="0"/>
          <w:marTop w:val="0"/>
          <w:marBottom w:val="0"/>
          <w:divBdr>
            <w:top w:val="none" w:sz="0" w:space="0" w:color="auto"/>
            <w:left w:val="none" w:sz="0" w:space="0" w:color="auto"/>
            <w:bottom w:val="none" w:sz="0" w:space="0" w:color="auto"/>
            <w:right w:val="none" w:sz="0" w:space="0" w:color="auto"/>
          </w:divBdr>
          <w:divsChild>
            <w:div w:id="1664627571">
              <w:marLeft w:val="0"/>
              <w:marRight w:val="0"/>
              <w:marTop w:val="0"/>
              <w:marBottom w:val="0"/>
              <w:divBdr>
                <w:top w:val="none" w:sz="0" w:space="0" w:color="auto"/>
                <w:left w:val="none" w:sz="0" w:space="0" w:color="auto"/>
                <w:bottom w:val="none" w:sz="0" w:space="0" w:color="auto"/>
                <w:right w:val="none" w:sz="0" w:space="0" w:color="auto"/>
              </w:divBdr>
              <w:divsChild>
                <w:div w:id="1834486113">
                  <w:marLeft w:val="0"/>
                  <w:marRight w:val="0"/>
                  <w:marTop w:val="0"/>
                  <w:marBottom w:val="0"/>
                  <w:divBdr>
                    <w:top w:val="none" w:sz="0" w:space="0" w:color="auto"/>
                    <w:left w:val="none" w:sz="0" w:space="0" w:color="auto"/>
                    <w:bottom w:val="none" w:sz="0" w:space="0" w:color="auto"/>
                    <w:right w:val="none" w:sz="0" w:space="0" w:color="auto"/>
                  </w:divBdr>
                  <w:divsChild>
                    <w:div w:id="35697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35978">
      <w:bodyDiv w:val="1"/>
      <w:marLeft w:val="0"/>
      <w:marRight w:val="0"/>
      <w:marTop w:val="0"/>
      <w:marBottom w:val="0"/>
      <w:divBdr>
        <w:top w:val="none" w:sz="0" w:space="0" w:color="auto"/>
        <w:left w:val="none" w:sz="0" w:space="0" w:color="auto"/>
        <w:bottom w:val="none" w:sz="0" w:space="0" w:color="auto"/>
        <w:right w:val="none" w:sz="0" w:space="0" w:color="auto"/>
      </w:divBdr>
    </w:div>
    <w:div w:id="251816650">
      <w:bodyDiv w:val="1"/>
      <w:marLeft w:val="0"/>
      <w:marRight w:val="0"/>
      <w:marTop w:val="0"/>
      <w:marBottom w:val="0"/>
      <w:divBdr>
        <w:top w:val="none" w:sz="0" w:space="0" w:color="auto"/>
        <w:left w:val="none" w:sz="0" w:space="0" w:color="auto"/>
        <w:bottom w:val="none" w:sz="0" w:space="0" w:color="auto"/>
        <w:right w:val="none" w:sz="0" w:space="0" w:color="auto"/>
      </w:divBdr>
    </w:div>
    <w:div w:id="253560863">
      <w:bodyDiv w:val="1"/>
      <w:marLeft w:val="0"/>
      <w:marRight w:val="0"/>
      <w:marTop w:val="0"/>
      <w:marBottom w:val="0"/>
      <w:divBdr>
        <w:top w:val="none" w:sz="0" w:space="0" w:color="auto"/>
        <w:left w:val="none" w:sz="0" w:space="0" w:color="auto"/>
        <w:bottom w:val="none" w:sz="0" w:space="0" w:color="auto"/>
        <w:right w:val="none" w:sz="0" w:space="0" w:color="auto"/>
      </w:divBdr>
    </w:div>
    <w:div w:id="343367774">
      <w:bodyDiv w:val="1"/>
      <w:marLeft w:val="0"/>
      <w:marRight w:val="0"/>
      <w:marTop w:val="0"/>
      <w:marBottom w:val="0"/>
      <w:divBdr>
        <w:top w:val="none" w:sz="0" w:space="0" w:color="auto"/>
        <w:left w:val="none" w:sz="0" w:space="0" w:color="auto"/>
        <w:bottom w:val="none" w:sz="0" w:space="0" w:color="auto"/>
        <w:right w:val="none" w:sz="0" w:space="0" w:color="auto"/>
      </w:divBdr>
    </w:div>
    <w:div w:id="361824455">
      <w:bodyDiv w:val="1"/>
      <w:marLeft w:val="0"/>
      <w:marRight w:val="0"/>
      <w:marTop w:val="0"/>
      <w:marBottom w:val="0"/>
      <w:divBdr>
        <w:top w:val="none" w:sz="0" w:space="0" w:color="auto"/>
        <w:left w:val="none" w:sz="0" w:space="0" w:color="auto"/>
        <w:bottom w:val="none" w:sz="0" w:space="0" w:color="auto"/>
        <w:right w:val="none" w:sz="0" w:space="0" w:color="auto"/>
      </w:divBdr>
    </w:div>
    <w:div w:id="378820987">
      <w:bodyDiv w:val="1"/>
      <w:marLeft w:val="0"/>
      <w:marRight w:val="0"/>
      <w:marTop w:val="0"/>
      <w:marBottom w:val="0"/>
      <w:divBdr>
        <w:top w:val="none" w:sz="0" w:space="0" w:color="auto"/>
        <w:left w:val="none" w:sz="0" w:space="0" w:color="auto"/>
        <w:bottom w:val="none" w:sz="0" w:space="0" w:color="auto"/>
        <w:right w:val="none" w:sz="0" w:space="0" w:color="auto"/>
      </w:divBdr>
    </w:div>
    <w:div w:id="380448405">
      <w:bodyDiv w:val="1"/>
      <w:marLeft w:val="0"/>
      <w:marRight w:val="0"/>
      <w:marTop w:val="0"/>
      <w:marBottom w:val="0"/>
      <w:divBdr>
        <w:top w:val="none" w:sz="0" w:space="0" w:color="auto"/>
        <w:left w:val="none" w:sz="0" w:space="0" w:color="auto"/>
        <w:bottom w:val="none" w:sz="0" w:space="0" w:color="auto"/>
        <w:right w:val="none" w:sz="0" w:space="0" w:color="auto"/>
      </w:divBdr>
    </w:div>
    <w:div w:id="501824996">
      <w:bodyDiv w:val="1"/>
      <w:marLeft w:val="0"/>
      <w:marRight w:val="0"/>
      <w:marTop w:val="0"/>
      <w:marBottom w:val="0"/>
      <w:divBdr>
        <w:top w:val="none" w:sz="0" w:space="0" w:color="auto"/>
        <w:left w:val="none" w:sz="0" w:space="0" w:color="auto"/>
        <w:bottom w:val="none" w:sz="0" w:space="0" w:color="auto"/>
        <w:right w:val="none" w:sz="0" w:space="0" w:color="auto"/>
      </w:divBdr>
    </w:div>
    <w:div w:id="695666362">
      <w:bodyDiv w:val="1"/>
      <w:marLeft w:val="0"/>
      <w:marRight w:val="0"/>
      <w:marTop w:val="0"/>
      <w:marBottom w:val="0"/>
      <w:divBdr>
        <w:top w:val="none" w:sz="0" w:space="0" w:color="auto"/>
        <w:left w:val="none" w:sz="0" w:space="0" w:color="auto"/>
        <w:bottom w:val="none" w:sz="0" w:space="0" w:color="auto"/>
        <w:right w:val="none" w:sz="0" w:space="0" w:color="auto"/>
      </w:divBdr>
    </w:div>
    <w:div w:id="864056163">
      <w:bodyDiv w:val="1"/>
      <w:marLeft w:val="0"/>
      <w:marRight w:val="0"/>
      <w:marTop w:val="0"/>
      <w:marBottom w:val="0"/>
      <w:divBdr>
        <w:top w:val="none" w:sz="0" w:space="0" w:color="auto"/>
        <w:left w:val="none" w:sz="0" w:space="0" w:color="auto"/>
        <w:bottom w:val="none" w:sz="0" w:space="0" w:color="auto"/>
        <w:right w:val="none" w:sz="0" w:space="0" w:color="auto"/>
      </w:divBdr>
    </w:div>
    <w:div w:id="871695277">
      <w:bodyDiv w:val="1"/>
      <w:marLeft w:val="0"/>
      <w:marRight w:val="0"/>
      <w:marTop w:val="0"/>
      <w:marBottom w:val="0"/>
      <w:divBdr>
        <w:top w:val="none" w:sz="0" w:space="0" w:color="auto"/>
        <w:left w:val="none" w:sz="0" w:space="0" w:color="auto"/>
        <w:bottom w:val="none" w:sz="0" w:space="0" w:color="auto"/>
        <w:right w:val="none" w:sz="0" w:space="0" w:color="auto"/>
      </w:divBdr>
    </w:div>
    <w:div w:id="930237686">
      <w:bodyDiv w:val="1"/>
      <w:marLeft w:val="0"/>
      <w:marRight w:val="0"/>
      <w:marTop w:val="0"/>
      <w:marBottom w:val="0"/>
      <w:divBdr>
        <w:top w:val="none" w:sz="0" w:space="0" w:color="auto"/>
        <w:left w:val="none" w:sz="0" w:space="0" w:color="auto"/>
        <w:bottom w:val="none" w:sz="0" w:space="0" w:color="auto"/>
        <w:right w:val="none" w:sz="0" w:space="0" w:color="auto"/>
      </w:divBdr>
    </w:div>
    <w:div w:id="958025468">
      <w:bodyDiv w:val="1"/>
      <w:marLeft w:val="0"/>
      <w:marRight w:val="0"/>
      <w:marTop w:val="0"/>
      <w:marBottom w:val="0"/>
      <w:divBdr>
        <w:top w:val="none" w:sz="0" w:space="0" w:color="auto"/>
        <w:left w:val="none" w:sz="0" w:space="0" w:color="auto"/>
        <w:bottom w:val="none" w:sz="0" w:space="0" w:color="auto"/>
        <w:right w:val="none" w:sz="0" w:space="0" w:color="auto"/>
      </w:divBdr>
    </w:div>
    <w:div w:id="1015616061">
      <w:bodyDiv w:val="1"/>
      <w:marLeft w:val="0"/>
      <w:marRight w:val="0"/>
      <w:marTop w:val="0"/>
      <w:marBottom w:val="0"/>
      <w:divBdr>
        <w:top w:val="none" w:sz="0" w:space="0" w:color="auto"/>
        <w:left w:val="none" w:sz="0" w:space="0" w:color="auto"/>
        <w:bottom w:val="none" w:sz="0" w:space="0" w:color="auto"/>
        <w:right w:val="none" w:sz="0" w:space="0" w:color="auto"/>
      </w:divBdr>
    </w:div>
    <w:div w:id="1147285662">
      <w:bodyDiv w:val="1"/>
      <w:marLeft w:val="0"/>
      <w:marRight w:val="0"/>
      <w:marTop w:val="0"/>
      <w:marBottom w:val="0"/>
      <w:divBdr>
        <w:top w:val="none" w:sz="0" w:space="0" w:color="auto"/>
        <w:left w:val="none" w:sz="0" w:space="0" w:color="auto"/>
        <w:bottom w:val="none" w:sz="0" w:space="0" w:color="auto"/>
        <w:right w:val="none" w:sz="0" w:space="0" w:color="auto"/>
      </w:divBdr>
    </w:div>
    <w:div w:id="1178155768">
      <w:bodyDiv w:val="1"/>
      <w:marLeft w:val="0"/>
      <w:marRight w:val="0"/>
      <w:marTop w:val="0"/>
      <w:marBottom w:val="0"/>
      <w:divBdr>
        <w:top w:val="none" w:sz="0" w:space="0" w:color="auto"/>
        <w:left w:val="none" w:sz="0" w:space="0" w:color="auto"/>
        <w:bottom w:val="none" w:sz="0" w:space="0" w:color="auto"/>
        <w:right w:val="none" w:sz="0" w:space="0" w:color="auto"/>
      </w:divBdr>
    </w:div>
    <w:div w:id="1202865548">
      <w:bodyDiv w:val="1"/>
      <w:marLeft w:val="0"/>
      <w:marRight w:val="0"/>
      <w:marTop w:val="0"/>
      <w:marBottom w:val="0"/>
      <w:divBdr>
        <w:top w:val="none" w:sz="0" w:space="0" w:color="auto"/>
        <w:left w:val="none" w:sz="0" w:space="0" w:color="auto"/>
        <w:bottom w:val="none" w:sz="0" w:space="0" w:color="auto"/>
        <w:right w:val="none" w:sz="0" w:space="0" w:color="auto"/>
      </w:divBdr>
    </w:div>
    <w:div w:id="1220483697">
      <w:bodyDiv w:val="1"/>
      <w:marLeft w:val="0"/>
      <w:marRight w:val="0"/>
      <w:marTop w:val="0"/>
      <w:marBottom w:val="0"/>
      <w:divBdr>
        <w:top w:val="none" w:sz="0" w:space="0" w:color="auto"/>
        <w:left w:val="none" w:sz="0" w:space="0" w:color="auto"/>
        <w:bottom w:val="none" w:sz="0" w:space="0" w:color="auto"/>
        <w:right w:val="none" w:sz="0" w:space="0" w:color="auto"/>
      </w:divBdr>
    </w:div>
    <w:div w:id="1234268784">
      <w:bodyDiv w:val="1"/>
      <w:marLeft w:val="0"/>
      <w:marRight w:val="0"/>
      <w:marTop w:val="0"/>
      <w:marBottom w:val="0"/>
      <w:divBdr>
        <w:top w:val="none" w:sz="0" w:space="0" w:color="auto"/>
        <w:left w:val="none" w:sz="0" w:space="0" w:color="auto"/>
        <w:bottom w:val="none" w:sz="0" w:space="0" w:color="auto"/>
        <w:right w:val="none" w:sz="0" w:space="0" w:color="auto"/>
      </w:divBdr>
    </w:div>
    <w:div w:id="1260023994">
      <w:bodyDiv w:val="1"/>
      <w:marLeft w:val="0"/>
      <w:marRight w:val="0"/>
      <w:marTop w:val="0"/>
      <w:marBottom w:val="0"/>
      <w:divBdr>
        <w:top w:val="none" w:sz="0" w:space="0" w:color="auto"/>
        <w:left w:val="none" w:sz="0" w:space="0" w:color="auto"/>
        <w:bottom w:val="none" w:sz="0" w:space="0" w:color="auto"/>
        <w:right w:val="none" w:sz="0" w:space="0" w:color="auto"/>
      </w:divBdr>
    </w:div>
    <w:div w:id="1283732610">
      <w:bodyDiv w:val="1"/>
      <w:marLeft w:val="0"/>
      <w:marRight w:val="0"/>
      <w:marTop w:val="0"/>
      <w:marBottom w:val="0"/>
      <w:divBdr>
        <w:top w:val="none" w:sz="0" w:space="0" w:color="auto"/>
        <w:left w:val="none" w:sz="0" w:space="0" w:color="auto"/>
        <w:bottom w:val="none" w:sz="0" w:space="0" w:color="auto"/>
        <w:right w:val="none" w:sz="0" w:space="0" w:color="auto"/>
      </w:divBdr>
      <w:divsChild>
        <w:div w:id="1853258516">
          <w:marLeft w:val="0"/>
          <w:marRight w:val="0"/>
          <w:marTop w:val="0"/>
          <w:marBottom w:val="0"/>
          <w:divBdr>
            <w:top w:val="none" w:sz="0" w:space="0" w:color="auto"/>
            <w:left w:val="none" w:sz="0" w:space="0" w:color="auto"/>
            <w:bottom w:val="none" w:sz="0" w:space="0" w:color="auto"/>
            <w:right w:val="none" w:sz="0" w:space="0" w:color="auto"/>
          </w:divBdr>
          <w:divsChild>
            <w:div w:id="2088721524">
              <w:marLeft w:val="0"/>
              <w:marRight w:val="0"/>
              <w:marTop w:val="0"/>
              <w:marBottom w:val="0"/>
              <w:divBdr>
                <w:top w:val="none" w:sz="0" w:space="0" w:color="auto"/>
                <w:left w:val="none" w:sz="0" w:space="0" w:color="auto"/>
                <w:bottom w:val="none" w:sz="0" w:space="0" w:color="auto"/>
                <w:right w:val="none" w:sz="0" w:space="0" w:color="auto"/>
              </w:divBdr>
              <w:divsChild>
                <w:div w:id="1598902437">
                  <w:marLeft w:val="0"/>
                  <w:marRight w:val="0"/>
                  <w:marTop w:val="0"/>
                  <w:marBottom w:val="0"/>
                  <w:divBdr>
                    <w:top w:val="none" w:sz="0" w:space="0" w:color="auto"/>
                    <w:left w:val="none" w:sz="0" w:space="0" w:color="auto"/>
                    <w:bottom w:val="none" w:sz="0" w:space="0" w:color="auto"/>
                    <w:right w:val="none" w:sz="0" w:space="0" w:color="auto"/>
                  </w:divBdr>
                  <w:divsChild>
                    <w:div w:id="4568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19821">
      <w:bodyDiv w:val="1"/>
      <w:marLeft w:val="0"/>
      <w:marRight w:val="0"/>
      <w:marTop w:val="0"/>
      <w:marBottom w:val="0"/>
      <w:divBdr>
        <w:top w:val="none" w:sz="0" w:space="0" w:color="auto"/>
        <w:left w:val="none" w:sz="0" w:space="0" w:color="auto"/>
        <w:bottom w:val="none" w:sz="0" w:space="0" w:color="auto"/>
        <w:right w:val="none" w:sz="0" w:space="0" w:color="auto"/>
      </w:divBdr>
    </w:div>
    <w:div w:id="1421178937">
      <w:bodyDiv w:val="1"/>
      <w:marLeft w:val="0"/>
      <w:marRight w:val="0"/>
      <w:marTop w:val="0"/>
      <w:marBottom w:val="0"/>
      <w:divBdr>
        <w:top w:val="none" w:sz="0" w:space="0" w:color="auto"/>
        <w:left w:val="none" w:sz="0" w:space="0" w:color="auto"/>
        <w:bottom w:val="none" w:sz="0" w:space="0" w:color="auto"/>
        <w:right w:val="none" w:sz="0" w:space="0" w:color="auto"/>
      </w:divBdr>
    </w:div>
    <w:div w:id="1553343133">
      <w:bodyDiv w:val="1"/>
      <w:marLeft w:val="0"/>
      <w:marRight w:val="0"/>
      <w:marTop w:val="0"/>
      <w:marBottom w:val="0"/>
      <w:divBdr>
        <w:top w:val="none" w:sz="0" w:space="0" w:color="auto"/>
        <w:left w:val="none" w:sz="0" w:space="0" w:color="auto"/>
        <w:bottom w:val="none" w:sz="0" w:space="0" w:color="auto"/>
        <w:right w:val="none" w:sz="0" w:space="0" w:color="auto"/>
      </w:divBdr>
    </w:div>
    <w:div w:id="1560483273">
      <w:bodyDiv w:val="1"/>
      <w:marLeft w:val="0"/>
      <w:marRight w:val="0"/>
      <w:marTop w:val="0"/>
      <w:marBottom w:val="0"/>
      <w:divBdr>
        <w:top w:val="none" w:sz="0" w:space="0" w:color="auto"/>
        <w:left w:val="none" w:sz="0" w:space="0" w:color="auto"/>
        <w:bottom w:val="none" w:sz="0" w:space="0" w:color="auto"/>
        <w:right w:val="none" w:sz="0" w:space="0" w:color="auto"/>
      </w:divBdr>
    </w:div>
    <w:div w:id="1705524392">
      <w:bodyDiv w:val="1"/>
      <w:marLeft w:val="0"/>
      <w:marRight w:val="0"/>
      <w:marTop w:val="0"/>
      <w:marBottom w:val="0"/>
      <w:divBdr>
        <w:top w:val="none" w:sz="0" w:space="0" w:color="auto"/>
        <w:left w:val="none" w:sz="0" w:space="0" w:color="auto"/>
        <w:bottom w:val="none" w:sz="0" w:space="0" w:color="auto"/>
        <w:right w:val="none" w:sz="0" w:space="0" w:color="auto"/>
      </w:divBdr>
    </w:div>
    <w:div w:id="1761902338">
      <w:bodyDiv w:val="1"/>
      <w:marLeft w:val="0"/>
      <w:marRight w:val="0"/>
      <w:marTop w:val="0"/>
      <w:marBottom w:val="0"/>
      <w:divBdr>
        <w:top w:val="none" w:sz="0" w:space="0" w:color="auto"/>
        <w:left w:val="none" w:sz="0" w:space="0" w:color="auto"/>
        <w:bottom w:val="none" w:sz="0" w:space="0" w:color="auto"/>
        <w:right w:val="none" w:sz="0" w:space="0" w:color="auto"/>
      </w:divBdr>
    </w:div>
    <w:div w:id="1810660235">
      <w:bodyDiv w:val="1"/>
      <w:marLeft w:val="0"/>
      <w:marRight w:val="0"/>
      <w:marTop w:val="0"/>
      <w:marBottom w:val="0"/>
      <w:divBdr>
        <w:top w:val="none" w:sz="0" w:space="0" w:color="auto"/>
        <w:left w:val="none" w:sz="0" w:space="0" w:color="auto"/>
        <w:bottom w:val="none" w:sz="0" w:space="0" w:color="auto"/>
        <w:right w:val="none" w:sz="0" w:space="0" w:color="auto"/>
      </w:divBdr>
    </w:div>
    <w:div w:id="1914002364">
      <w:bodyDiv w:val="1"/>
      <w:marLeft w:val="0"/>
      <w:marRight w:val="0"/>
      <w:marTop w:val="0"/>
      <w:marBottom w:val="0"/>
      <w:divBdr>
        <w:top w:val="none" w:sz="0" w:space="0" w:color="auto"/>
        <w:left w:val="none" w:sz="0" w:space="0" w:color="auto"/>
        <w:bottom w:val="none" w:sz="0" w:space="0" w:color="auto"/>
        <w:right w:val="none" w:sz="0" w:space="0" w:color="auto"/>
      </w:divBdr>
    </w:div>
    <w:div w:id="1923875716">
      <w:bodyDiv w:val="1"/>
      <w:marLeft w:val="0"/>
      <w:marRight w:val="0"/>
      <w:marTop w:val="0"/>
      <w:marBottom w:val="0"/>
      <w:divBdr>
        <w:top w:val="none" w:sz="0" w:space="0" w:color="auto"/>
        <w:left w:val="none" w:sz="0" w:space="0" w:color="auto"/>
        <w:bottom w:val="none" w:sz="0" w:space="0" w:color="auto"/>
        <w:right w:val="none" w:sz="0" w:space="0" w:color="auto"/>
      </w:divBdr>
    </w:div>
    <w:div w:id="1931961639">
      <w:bodyDiv w:val="1"/>
      <w:marLeft w:val="0"/>
      <w:marRight w:val="0"/>
      <w:marTop w:val="0"/>
      <w:marBottom w:val="0"/>
      <w:divBdr>
        <w:top w:val="none" w:sz="0" w:space="0" w:color="auto"/>
        <w:left w:val="none" w:sz="0" w:space="0" w:color="auto"/>
        <w:bottom w:val="none" w:sz="0" w:space="0" w:color="auto"/>
        <w:right w:val="none" w:sz="0" w:space="0" w:color="auto"/>
      </w:divBdr>
    </w:div>
    <w:div w:id="1938324778">
      <w:bodyDiv w:val="1"/>
      <w:marLeft w:val="0"/>
      <w:marRight w:val="0"/>
      <w:marTop w:val="0"/>
      <w:marBottom w:val="0"/>
      <w:divBdr>
        <w:top w:val="none" w:sz="0" w:space="0" w:color="auto"/>
        <w:left w:val="none" w:sz="0" w:space="0" w:color="auto"/>
        <w:bottom w:val="none" w:sz="0" w:space="0" w:color="auto"/>
        <w:right w:val="none" w:sz="0" w:space="0" w:color="auto"/>
      </w:divBdr>
    </w:div>
    <w:div w:id="2050454295">
      <w:bodyDiv w:val="1"/>
      <w:marLeft w:val="0"/>
      <w:marRight w:val="0"/>
      <w:marTop w:val="0"/>
      <w:marBottom w:val="0"/>
      <w:divBdr>
        <w:top w:val="none" w:sz="0" w:space="0" w:color="auto"/>
        <w:left w:val="none" w:sz="0" w:space="0" w:color="auto"/>
        <w:bottom w:val="none" w:sz="0" w:space="0" w:color="auto"/>
        <w:right w:val="none" w:sz="0" w:space="0" w:color="auto"/>
      </w:divBdr>
    </w:div>
    <w:div w:id="205399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25</Pages>
  <Words>5441</Words>
  <Characters>32652</Characters>
  <Application>Microsoft Office Word</Application>
  <DocSecurity>0</DocSecurity>
  <Lines>272</Lines>
  <Paragraphs>76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18</cp:revision>
  <dcterms:created xsi:type="dcterms:W3CDTF">2024-10-19T08:46:00Z</dcterms:created>
  <dcterms:modified xsi:type="dcterms:W3CDTF">2024-10-23T17:11:00Z</dcterms:modified>
</cp:coreProperties>
</file>