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ACTIVIDAD 05</w:t>
      </w:r>
    </w:p>
    <w:p>
      <w:pPr>
        <w:spacing w:before="0" w:after="80"/>
      </w:pPr>
      <w:r>
        <w:rPr>
          <w:rFonts w:ascii="Calibri" w:hAnsi="Calibri"/>
          <w:b/>
          <w:color w:val="000000"/>
          <w:sz w:val="43"/>
        </w:rPr>
        <w:t>Visitas a dos bibliotecas barriales</w:t>
      </w:r>
    </w:p>
    <w:p>
      <w:pPr>
        <w:spacing w:before="0" w:after="160"/>
      </w:pPr>
      <w:r>
        <w:rPr>
          <w:rFonts w:ascii="Calibri" w:hAnsi="Calibri"/>
          <w:i/>
          <w:color w:val="606770"/>
          <w:sz w:val="23"/>
        </w:rPr>
        <w:t>Informe descriptivo sobre una intervención y un factor concurrente</w:t>
      </w:r>
    </w:p>
    <w:p>
      <w:pPr>
        <w:spacing w:before="0" w:after="40"/>
      </w:pPr>
      <w:r>
        <w:rPr>
          <w:rFonts w:ascii="Calibri" w:hAnsi="Calibri"/>
          <w:b/>
          <w:color w:val="202A35"/>
          <w:sz w:val="19"/>
        </w:rPr>
        <w:t xml:space="preserve">Disciplina: </w:t>
      </w:r>
      <w:r>
        <w:rPr>
          <w:rFonts w:ascii="Calibri" w:hAnsi="Calibri"/>
          <w:color w:val="202A35"/>
          <w:sz w:val="19"/>
        </w:rPr>
        <w:t>Análisis de datos</w:t>
      </w:r>
      <w:r>
        <w:rPr>
          <w:rFonts w:ascii="Calibri" w:hAnsi="Calibri"/>
          <w:color w:val="606770"/>
          <w:sz w:val="19"/>
        </w:rPr>
        <w:t xml:space="preserve">   |   </w:t>
      </w:r>
      <w:r>
        <w:rPr>
          <w:rFonts w:ascii="Calibri" w:hAnsi="Calibri"/>
          <w:b/>
          <w:color w:val="202A35"/>
          <w:sz w:val="19"/>
        </w:rPr>
        <w:t xml:space="preserve">Dificultad del paquete: </w:t>
      </w:r>
      <w:r>
        <w:rPr>
          <w:rFonts w:ascii="Calibri" w:hAnsi="Calibri"/>
          <w:color w:val="202A35"/>
          <w:sz w:val="19"/>
        </w:rPr>
        <w:t>intermedia</w:t>
      </w:r>
    </w:p>
    <w:p>
      <w:pPr>
        <w:pStyle w:val="Heading1"/>
      </w:pPr>
      <w:r>
        <w:t>Pregunta de gestión</w:t>
      </w:r>
    </w:p>
    <w:p>
      <w:r>
        <w:t>La dirección quiere saber qué cambió después de ampliar el horario de la sucursal Centro y qué puede afirmarse con estos cuatro meses. Usa únicamente la tabla y las notas del registro.</w:t>
      </w:r>
    </w:p>
    <w:p>
      <w:pPr>
        <w:pStyle w:val="Heading2"/>
      </w:pPr>
      <w:r>
        <w:t>Registro mensual</w:t>
      </w:r>
    </w:p>
    <w:tbl>
      <w:tblPr>
        <w:tblStyle w:val="TableGrid"/>
        <w:tblW w:type="dxa" w:w="9360"/>
        <w:jc w:val="left"/>
        <w:tblLayout w:type="fixed"/>
        <w:tblLook w:firstColumn="1" w:firstRow="1" w:lastColumn="0" w:lastRow="0" w:noHBand="0" w:noVBand="1" w:val="04A0"/>
        <w:tblInd w:w="120" w:type="dxa"/>
      </w:tblPr>
      <w:tblGrid>
        <w:gridCol w:w="1300"/>
        <w:gridCol w:w="1800"/>
        <w:gridCol w:w="1600"/>
        <w:gridCol w:w="1800"/>
        <w:gridCol w:w="2860"/>
      </w:tblGrid>
      <w:tr>
        <w:trPr>
          <w:tblHeader w:val="true"/>
        </w:trPr>
        <w:tc>
          <w:tcPr>
            <w:tcW w:type="dxa" w:w="1300"/>
            <w:tcMar>
              <w:top w:w="80" w:type="dxa"/>
              <w:start w:w="120" w:type="dxa"/>
              <w:bottom w:w="80" w:type="dxa"/>
              <w:end w:w="120" w:type="dxa"/>
            </w:tcMar>
            <w:shd w:fill="F2F4F7"/>
            <w:vAlign w:val="center"/>
          </w:tcPr>
          <w:p>
            <w:pPr>
              <w:spacing w:after="40"/>
            </w:pPr>
            <w:r>
              <w:rPr>
                <w:rFonts w:ascii="Calibri" w:hAnsi="Calibri"/>
                <w:b/>
                <w:color w:val="202A35"/>
                <w:sz w:val="19"/>
              </w:rPr>
              <w:t>Mes</w:t>
            </w:r>
          </w:p>
        </w:tc>
        <w:tc>
          <w:tcPr>
            <w:tcW w:type="dxa" w:w="1800"/>
            <w:tcMar>
              <w:top w:w="80" w:type="dxa"/>
              <w:start w:w="120" w:type="dxa"/>
              <w:bottom w:w="80" w:type="dxa"/>
              <w:end w:w="120" w:type="dxa"/>
            </w:tcMar>
            <w:shd w:fill="F2F4F7"/>
            <w:vAlign w:val="center"/>
          </w:tcPr>
          <w:p>
            <w:pPr>
              <w:spacing w:after="40"/>
            </w:pPr>
            <w:r>
              <w:rPr>
                <w:rFonts w:ascii="Calibri" w:hAnsi="Calibri"/>
                <w:b/>
                <w:color w:val="202A35"/>
                <w:sz w:val="19"/>
              </w:rPr>
              <w:t>Sucursal</w:t>
            </w:r>
          </w:p>
        </w:tc>
        <w:tc>
          <w:tcPr>
            <w:tcW w:type="dxa" w:w="1600"/>
            <w:tcMar>
              <w:top w:w="80" w:type="dxa"/>
              <w:start w:w="120" w:type="dxa"/>
              <w:bottom w:w="80" w:type="dxa"/>
              <w:end w:w="120" w:type="dxa"/>
            </w:tcMar>
            <w:shd w:fill="F2F4F7"/>
            <w:vAlign w:val="center"/>
          </w:tcPr>
          <w:p>
            <w:pPr>
              <w:spacing w:after="40"/>
            </w:pPr>
            <w:r>
              <w:rPr>
                <w:rFonts w:ascii="Calibri" w:hAnsi="Calibri"/>
                <w:b/>
                <w:color w:val="202A35"/>
                <w:sz w:val="19"/>
              </w:rPr>
              <w:t>Visitas</w:t>
            </w:r>
          </w:p>
        </w:tc>
        <w:tc>
          <w:tcPr>
            <w:tcW w:type="dxa" w:w="1800"/>
            <w:tcMar>
              <w:top w:w="80" w:type="dxa"/>
              <w:start w:w="120" w:type="dxa"/>
              <w:bottom w:w="80" w:type="dxa"/>
              <w:end w:w="120" w:type="dxa"/>
            </w:tcMar>
            <w:shd w:fill="F2F4F7"/>
            <w:vAlign w:val="center"/>
          </w:tcPr>
          <w:p>
            <w:pPr>
              <w:spacing w:after="40"/>
            </w:pPr>
            <w:r>
              <w:rPr>
                <w:rFonts w:ascii="Calibri" w:hAnsi="Calibri"/>
                <w:b/>
                <w:color w:val="202A35"/>
                <w:sz w:val="19"/>
              </w:rPr>
              <w:t>Días abierta</w:t>
            </w:r>
          </w:p>
        </w:tc>
        <w:tc>
          <w:tcPr>
            <w:tcW w:type="dxa" w:w="2860"/>
            <w:tcMar>
              <w:top w:w="80" w:type="dxa"/>
              <w:start w:w="120" w:type="dxa"/>
              <w:bottom w:w="80" w:type="dxa"/>
              <w:end w:w="120" w:type="dxa"/>
            </w:tcMar>
            <w:shd w:fill="F2F4F7"/>
            <w:vAlign w:val="center"/>
          </w:tcPr>
          <w:p>
            <w:pPr>
              <w:spacing w:after="40"/>
            </w:pPr>
            <w:r>
              <w:rPr>
                <w:rFonts w:ascii="Calibri" w:hAnsi="Calibri"/>
                <w:b/>
                <w:color w:val="202A35"/>
                <w:sz w:val="19"/>
              </w:rPr>
              <w:t>Horario extendido</w:t>
            </w:r>
          </w:p>
        </w:tc>
      </w:tr>
      <w:tr>
        <w:tc>
          <w:tcPr>
            <w:tcW w:type="dxa" w:w="1300"/>
            <w:vAlign w:val="center"/>
          </w:tcPr>
          <w:p>
            <w:pPr>
              <w:spacing w:after="20" w:line="252" w:lineRule="auto"/>
            </w:pPr>
            <w:r>
              <w:rPr>
                <w:rFonts w:ascii="Calibri" w:hAnsi="Calibri"/>
                <w:color w:val="202A35"/>
                <w:sz w:val="18"/>
              </w:rPr>
              <w:t>enero</w:t>
            </w:r>
          </w:p>
        </w:tc>
        <w:tc>
          <w:tcPr>
            <w:tcW w:type="dxa" w:w="1800"/>
            <w:vAlign w:val="center"/>
          </w:tcPr>
          <w:p>
            <w:pPr>
              <w:spacing w:after="20" w:line="252" w:lineRule="auto"/>
            </w:pPr>
            <w:r>
              <w:rPr>
                <w:rFonts w:ascii="Calibri" w:hAnsi="Calibri"/>
                <w:color w:val="202A35"/>
                <w:sz w:val="18"/>
              </w:rPr>
              <w:t>Centro</w:t>
            </w:r>
          </w:p>
        </w:tc>
        <w:tc>
          <w:tcPr>
            <w:tcW w:type="dxa" w:w="1600"/>
            <w:vAlign w:val="center"/>
          </w:tcPr>
          <w:p>
            <w:pPr>
              <w:spacing w:after="20" w:line="252" w:lineRule="auto"/>
            </w:pPr>
            <w:r>
              <w:rPr>
                <w:rFonts w:ascii="Calibri" w:hAnsi="Calibri"/>
                <w:color w:val="202A35"/>
                <w:sz w:val="18"/>
              </w:rPr>
              <w:t>880</w:t>
            </w:r>
          </w:p>
        </w:tc>
        <w:tc>
          <w:tcPr>
            <w:tcW w:type="dxa" w:w="1800"/>
            <w:vAlign w:val="center"/>
          </w:tcPr>
          <w:p>
            <w:pPr>
              <w:spacing w:after="20" w:line="252" w:lineRule="auto"/>
            </w:pPr>
            <w:r>
              <w:rPr>
                <w:rFonts w:ascii="Calibri" w:hAnsi="Calibri"/>
                <w:color w:val="202A35"/>
                <w:sz w:val="18"/>
              </w:rPr>
              <w:t>22</w:t>
            </w:r>
          </w:p>
        </w:tc>
        <w:tc>
          <w:tcPr>
            <w:tcW w:type="dxa" w:w="2860"/>
            <w:vAlign w:val="center"/>
          </w:tcPr>
          <w:p>
            <w:pPr>
              <w:spacing w:after="20" w:line="252" w:lineRule="auto"/>
            </w:pPr>
            <w:r>
              <w:rPr>
                <w:rFonts w:ascii="Calibri" w:hAnsi="Calibri"/>
                <w:color w:val="202A35"/>
                <w:sz w:val="18"/>
              </w:rPr>
              <w:t>no</w:t>
            </w:r>
          </w:p>
        </w:tc>
      </w:tr>
      <w:tr>
        <w:tc>
          <w:tcPr>
            <w:tcW w:type="dxa" w:w="1300"/>
            <w:vAlign w:val="center"/>
          </w:tcPr>
          <w:p>
            <w:pPr>
              <w:spacing w:after="20" w:line="252" w:lineRule="auto"/>
            </w:pPr>
            <w:r>
              <w:rPr>
                <w:rFonts w:ascii="Calibri" w:hAnsi="Calibri"/>
                <w:color w:val="202A35"/>
                <w:sz w:val="18"/>
              </w:rPr>
              <w:t>febrero</w:t>
            </w:r>
          </w:p>
        </w:tc>
        <w:tc>
          <w:tcPr>
            <w:tcW w:type="dxa" w:w="1800"/>
            <w:vAlign w:val="center"/>
          </w:tcPr>
          <w:p>
            <w:pPr>
              <w:spacing w:after="20" w:line="252" w:lineRule="auto"/>
            </w:pPr>
            <w:r>
              <w:rPr>
                <w:rFonts w:ascii="Calibri" w:hAnsi="Calibri"/>
                <w:color w:val="202A35"/>
                <w:sz w:val="18"/>
              </w:rPr>
              <w:t>Centro</w:t>
            </w:r>
          </w:p>
        </w:tc>
        <w:tc>
          <w:tcPr>
            <w:tcW w:type="dxa" w:w="1600"/>
            <w:vAlign w:val="center"/>
          </w:tcPr>
          <w:p>
            <w:pPr>
              <w:spacing w:after="20" w:line="252" w:lineRule="auto"/>
            </w:pPr>
            <w:r>
              <w:rPr>
                <w:rFonts w:ascii="Calibri" w:hAnsi="Calibri"/>
                <w:color w:val="202A35"/>
                <w:sz w:val="18"/>
              </w:rPr>
              <w:t>800</w:t>
            </w:r>
          </w:p>
        </w:tc>
        <w:tc>
          <w:tcPr>
            <w:tcW w:type="dxa" w:w="1800"/>
            <w:vAlign w:val="center"/>
          </w:tcPr>
          <w:p>
            <w:pPr>
              <w:spacing w:after="20" w:line="252" w:lineRule="auto"/>
            </w:pPr>
            <w:r>
              <w:rPr>
                <w:rFonts w:ascii="Calibri" w:hAnsi="Calibri"/>
                <w:color w:val="202A35"/>
                <w:sz w:val="18"/>
              </w:rPr>
              <w:t>20</w:t>
            </w:r>
          </w:p>
        </w:tc>
        <w:tc>
          <w:tcPr>
            <w:tcW w:type="dxa" w:w="2860"/>
            <w:vAlign w:val="center"/>
          </w:tcPr>
          <w:p>
            <w:pPr>
              <w:spacing w:after="20" w:line="252" w:lineRule="auto"/>
            </w:pPr>
            <w:r>
              <w:rPr>
                <w:rFonts w:ascii="Calibri" w:hAnsi="Calibri"/>
                <w:color w:val="202A35"/>
                <w:sz w:val="18"/>
              </w:rPr>
              <w:t>no</w:t>
            </w:r>
          </w:p>
        </w:tc>
      </w:tr>
      <w:tr>
        <w:tc>
          <w:tcPr>
            <w:tcW w:type="dxa" w:w="1300"/>
            <w:vAlign w:val="center"/>
          </w:tcPr>
          <w:p>
            <w:pPr>
              <w:spacing w:after="20" w:line="252" w:lineRule="auto"/>
            </w:pPr>
            <w:r>
              <w:rPr>
                <w:rFonts w:ascii="Calibri" w:hAnsi="Calibri"/>
                <w:color w:val="202A35"/>
                <w:sz w:val="18"/>
              </w:rPr>
              <w:t>marzo</w:t>
            </w:r>
          </w:p>
        </w:tc>
        <w:tc>
          <w:tcPr>
            <w:tcW w:type="dxa" w:w="1800"/>
            <w:vAlign w:val="center"/>
          </w:tcPr>
          <w:p>
            <w:pPr>
              <w:spacing w:after="20" w:line="252" w:lineRule="auto"/>
            </w:pPr>
            <w:r>
              <w:rPr>
                <w:rFonts w:ascii="Calibri" w:hAnsi="Calibri"/>
                <w:color w:val="202A35"/>
                <w:sz w:val="18"/>
              </w:rPr>
              <w:t>Centro</w:t>
            </w:r>
          </w:p>
        </w:tc>
        <w:tc>
          <w:tcPr>
            <w:tcW w:type="dxa" w:w="1600"/>
            <w:vAlign w:val="center"/>
          </w:tcPr>
          <w:p>
            <w:pPr>
              <w:spacing w:after="20" w:line="252" w:lineRule="auto"/>
            </w:pPr>
            <w:r>
              <w:rPr>
                <w:rFonts w:ascii="Calibri" w:hAnsi="Calibri"/>
                <w:color w:val="202A35"/>
                <w:sz w:val="18"/>
              </w:rPr>
              <w:t>1.150</w:t>
            </w:r>
          </w:p>
        </w:tc>
        <w:tc>
          <w:tcPr>
            <w:tcW w:type="dxa" w:w="1800"/>
            <w:vAlign w:val="center"/>
          </w:tcPr>
          <w:p>
            <w:pPr>
              <w:spacing w:after="20" w:line="252" w:lineRule="auto"/>
            </w:pPr>
            <w:r>
              <w:rPr>
                <w:rFonts w:ascii="Calibri" w:hAnsi="Calibri"/>
                <w:color w:val="202A35"/>
                <w:sz w:val="18"/>
              </w:rPr>
              <w:t>23</w:t>
            </w:r>
          </w:p>
        </w:tc>
        <w:tc>
          <w:tcPr>
            <w:tcW w:type="dxa" w:w="2860"/>
            <w:vAlign w:val="center"/>
          </w:tcPr>
          <w:p>
            <w:pPr>
              <w:spacing w:after="20" w:line="252" w:lineRule="auto"/>
            </w:pPr>
            <w:r>
              <w:rPr>
                <w:rFonts w:ascii="Calibri" w:hAnsi="Calibri"/>
                <w:color w:val="202A35"/>
                <w:sz w:val="18"/>
              </w:rPr>
              <w:t>sí</w:t>
            </w:r>
          </w:p>
        </w:tc>
      </w:tr>
      <w:tr>
        <w:tc>
          <w:tcPr>
            <w:tcW w:type="dxa" w:w="1300"/>
            <w:vAlign w:val="center"/>
          </w:tcPr>
          <w:p>
            <w:pPr>
              <w:spacing w:after="20" w:line="252" w:lineRule="auto"/>
            </w:pPr>
            <w:r>
              <w:rPr>
                <w:rFonts w:ascii="Calibri" w:hAnsi="Calibri"/>
                <w:color w:val="202A35"/>
                <w:sz w:val="18"/>
              </w:rPr>
              <w:t>abril</w:t>
            </w:r>
          </w:p>
        </w:tc>
        <w:tc>
          <w:tcPr>
            <w:tcW w:type="dxa" w:w="1800"/>
            <w:vAlign w:val="center"/>
          </w:tcPr>
          <w:p>
            <w:pPr>
              <w:spacing w:after="20" w:line="252" w:lineRule="auto"/>
            </w:pPr>
            <w:r>
              <w:rPr>
                <w:rFonts w:ascii="Calibri" w:hAnsi="Calibri"/>
                <w:color w:val="202A35"/>
                <w:sz w:val="18"/>
              </w:rPr>
              <w:t>Centro</w:t>
            </w:r>
          </w:p>
        </w:tc>
        <w:tc>
          <w:tcPr>
            <w:tcW w:type="dxa" w:w="1600"/>
            <w:vAlign w:val="center"/>
          </w:tcPr>
          <w:p>
            <w:pPr>
              <w:spacing w:after="20" w:line="252" w:lineRule="auto"/>
            </w:pPr>
            <w:r>
              <w:rPr>
                <w:rFonts w:ascii="Calibri" w:hAnsi="Calibri"/>
                <w:color w:val="202A35"/>
                <w:sz w:val="18"/>
              </w:rPr>
              <w:t>1.050</w:t>
            </w:r>
          </w:p>
        </w:tc>
        <w:tc>
          <w:tcPr>
            <w:tcW w:type="dxa" w:w="1800"/>
            <w:vAlign w:val="center"/>
          </w:tcPr>
          <w:p>
            <w:pPr>
              <w:spacing w:after="20" w:line="252" w:lineRule="auto"/>
            </w:pPr>
            <w:r>
              <w:rPr>
                <w:rFonts w:ascii="Calibri" w:hAnsi="Calibri"/>
                <w:color w:val="202A35"/>
                <w:sz w:val="18"/>
              </w:rPr>
              <w:t>21</w:t>
            </w:r>
          </w:p>
        </w:tc>
        <w:tc>
          <w:tcPr>
            <w:tcW w:type="dxa" w:w="2860"/>
            <w:vAlign w:val="center"/>
          </w:tcPr>
          <w:p>
            <w:pPr>
              <w:spacing w:after="20" w:line="252" w:lineRule="auto"/>
            </w:pPr>
            <w:r>
              <w:rPr>
                <w:rFonts w:ascii="Calibri" w:hAnsi="Calibri"/>
                <w:color w:val="202A35"/>
                <w:sz w:val="18"/>
              </w:rPr>
              <w:t>sí</w:t>
            </w:r>
          </w:p>
        </w:tc>
      </w:tr>
      <w:tr>
        <w:tc>
          <w:tcPr>
            <w:tcW w:type="dxa" w:w="1300"/>
            <w:vAlign w:val="center"/>
          </w:tcPr>
          <w:p>
            <w:pPr>
              <w:spacing w:after="20" w:line="252" w:lineRule="auto"/>
            </w:pPr>
            <w:r>
              <w:rPr>
                <w:rFonts w:ascii="Calibri" w:hAnsi="Calibri"/>
                <w:color w:val="202A35"/>
                <w:sz w:val="18"/>
              </w:rPr>
              <w:t>enero</w:t>
            </w:r>
          </w:p>
        </w:tc>
        <w:tc>
          <w:tcPr>
            <w:tcW w:type="dxa" w:w="1800"/>
            <w:vAlign w:val="center"/>
          </w:tcPr>
          <w:p>
            <w:pPr>
              <w:spacing w:after="20" w:line="252" w:lineRule="auto"/>
            </w:pPr>
            <w:r>
              <w:rPr>
                <w:rFonts w:ascii="Calibri" w:hAnsi="Calibri"/>
                <w:color w:val="202A35"/>
                <w:sz w:val="18"/>
              </w:rPr>
              <w:t>Barrio</w:t>
            </w:r>
          </w:p>
        </w:tc>
        <w:tc>
          <w:tcPr>
            <w:tcW w:type="dxa" w:w="1600"/>
            <w:vAlign w:val="center"/>
          </w:tcPr>
          <w:p>
            <w:pPr>
              <w:spacing w:after="20" w:line="252" w:lineRule="auto"/>
            </w:pPr>
            <w:r>
              <w:rPr>
                <w:rFonts w:ascii="Calibri" w:hAnsi="Calibri"/>
                <w:color w:val="202A35"/>
                <w:sz w:val="18"/>
              </w:rPr>
              <w:t>660</w:t>
            </w:r>
          </w:p>
        </w:tc>
        <w:tc>
          <w:tcPr>
            <w:tcW w:type="dxa" w:w="1800"/>
            <w:vAlign w:val="center"/>
          </w:tcPr>
          <w:p>
            <w:pPr>
              <w:spacing w:after="20" w:line="252" w:lineRule="auto"/>
            </w:pPr>
            <w:r>
              <w:rPr>
                <w:rFonts w:ascii="Calibri" w:hAnsi="Calibri"/>
                <w:color w:val="202A35"/>
                <w:sz w:val="18"/>
              </w:rPr>
              <w:t>22</w:t>
            </w:r>
          </w:p>
        </w:tc>
        <w:tc>
          <w:tcPr>
            <w:tcW w:type="dxa" w:w="2860"/>
            <w:vAlign w:val="center"/>
          </w:tcPr>
          <w:p>
            <w:pPr>
              <w:spacing w:after="20" w:line="252" w:lineRule="auto"/>
            </w:pPr>
            <w:r>
              <w:rPr>
                <w:rFonts w:ascii="Calibri" w:hAnsi="Calibri"/>
                <w:color w:val="202A35"/>
                <w:sz w:val="18"/>
              </w:rPr>
              <w:t>no</w:t>
            </w:r>
          </w:p>
        </w:tc>
      </w:tr>
      <w:tr>
        <w:tc>
          <w:tcPr>
            <w:tcW w:type="dxa" w:w="1300"/>
            <w:vAlign w:val="center"/>
          </w:tcPr>
          <w:p>
            <w:pPr>
              <w:spacing w:after="20" w:line="252" w:lineRule="auto"/>
            </w:pPr>
            <w:r>
              <w:rPr>
                <w:rFonts w:ascii="Calibri" w:hAnsi="Calibri"/>
                <w:color w:val="202A35"/>
                <w:sz w:val="18"/>
              </w:rPr>
              <w:t>febrero</w:t>
            </w:r>
          </w:p>
        </w:tc>
        <w:tc>
          <w:tcPr>
            <w:tcW w:type="dxa" w:w="1800"/>
            <w:vAlign w:val="center"/>
          </w:tcPr>
          <w:p>
            <w:pPr>
              <w:spacing w:after="20" w:line="252" w:lineRule="auto"/>
            </w:pPr>
            <w:r>
              <w:rPr>
                <w:rFonts w:ascii="Calibri" w:hAnsi="Calibri"/>
                <w:color w:val="202A35"/>
                <w:sz w:val="18"/>
              </w:rPr>
              <w:t>Barrio</w:t>
            </w:r>
          </w:p>
        </w:tc>
        <w:tc>
          <w:tcPr>
            <w:tcW w:type="dxa" w:w="1600"/>
            <w:vAlign w:val="center"/>
          </w:tcPr>
          <w:p>
            <w:pPr>
              <w:spacing w:after="20" w:line="252" w:lineRule="auto"/>
            </w:pPr>
            <w:r>
              <w:rPr>
                <w:rFonts w:ascii="Calibri" w:hAnsi="Calibri"/>
                <w:color w:val="202A35"/>
                <w:sz w:val="18"/>
              </w:rPr>
              <w:t>600</w:t>
            </w:r>
          </w:p>
        </w:tc>
        <w:tc>
          <w:tcPr>
            <w:tcW w:type="dxa" w:w="1800"/>
            <w:vAlign w:val="center"/>
          </w:tcPr>
          <w:p>
            <w:pPr>
              <w:spacing w:after="20" w:line="252" w:lineRule="auto"/>
            </w:pPr>
            <w:r>
              <w:rPr>
                <w:rFonts w:ascii="Calibri" w:hAnsi="Calibri"/>
                <w:color w:val="202A35"/>
                <w:sz w:val="18"/>
              </w:rPr>
              <w:t>20</w:t>
            </w:r>
          </w:p>
        </w:tc>
        <w:tc>
          <w:tcPr>
            <w:tcW w:type="dxa" w:w="2860"/>
            <w:vAlign w:val="center"/>
          </w:tcPr>
          <w:p>
            <w:pPr>
              <w:spacing w:after="20" w:line="252" w:lineRule="auto"/>
            </w:pPr>
            <w:r>
              <w:rPr>
                <w:rFonts w:ascii="Calibri" w:hAnsi="Calibri"/>
                <w:color w:val="202A35"/>
                <w:sz w:val="18"/>
              </w:rPr>
              <w:t>no</w:t>
            </w:r>
          </w:p>
        </w:tc>
      </w:tr>
      <w:tr>
        <w:tc>
          <w:tcPr>
            <w:tcW w:type="dxa" w:w="1300"/>
            <w:vAlign w:val="center"/>
          </w:tcPr>
          <w:p>
            <w:pPr>
              <w:spacing w:after="20" w:line="252" w:lineRule="auto"/>
            </w:pPr>
            <w:r>
              <w:rPr>
                <w:rFonts w:ascii="Calibri" w:hAnsi="Calibri"/>
                <w:color w:val="202A35"/>
                <w:sz w:val="18"/>
              </w:rPr>
              <w:t>marzo</w:t>
            </w:r>
          </w:p>
        </w:tc>
        <w:tc>
          <w:tcPr>
            <w:tcW w:type="dxa" w:w="1800"/>
            <w:vAlign w:val="center"/>
          </w:tcPr>
          <w:p>
            <w:pPr>
              <w:spacing w:after="20" w:line="252" w:lineRule="auto"/>
            </w:pPr>
            <w:r>
              <w:rPr>
                <w:rFonts w:ascii="Calibri" w:hAnsi="Calibri"/>
                <w:color w:val="202A35"/>
                <w:sz w:val="18"/>
              </w:rPr>
              <w:t>Barrio</w:t>
            </w:r>
          </w:p>
        </w:tc>
        <w:tc>
          <w:tcPr>
            <w:tcW w:type="dxa" w:w="1600"/>
            <w:vAlign w:val="center"/>
          </w:tcPr>
          <w:p>
            <w:pPr>
              <w:spacing w:after="20" w:line="252" w:lineRule="auto"/>
            </w:pPr>
            <w:r>
              <w:rPr>
                <w:rFonts w:ascii="Calibri" w:hAnsi="Calibri"/>
                <w:color w:val="202A35"/>
                <w:sz w:val="18"/>
              </w:rPr>
              <w:t>690</w:t>
            </w:r>
          </w:p>
        </w:tc>
        <w:tc>
          <w:tcPr>
            <w:tcW w:type="dxa" w:w="1800"/>
            <w:vAlign w:val="center"/>
          </w:tcPr>
          <w:p>
            <w:pPr>
              <w:spacing w:after="20" w:line="252" w:lineRule="auto"/>
            </w:pPr>
            <w:r>
              <w:rPr>
                <w:rFonts w:ascii="Calibri" w:hAnsi="Calibri"/>
                <w:color w:val="202A35"/>
                <w:sz w:val="18"/>
              </w:rPr>
              <w:t>23</w:t>
            </w:r>
          </w:p>
        </w:tc>
        <w:tc>
          <w:tcPr>
            <w:tcW w:type="dxa" w:w="2860"/>
            <w:vAlign w:val="center"/>
          </w:tcPr>
          <w:p>
            <w:pPr>
              <w:spacing w:after="20" w:line="252" w:lineRule="auto"/>
            </w:pPr>
            <w:r>
              <w:rPr>
                <w:rFonts w:ascii="Calibri" w:hAnsi="Calibri"/>
                <w:color w:val="202A35"/>
                <w:sz w:val="18"/>
              </w:rPr>
              <w:t>no</w:t>
            </w:r>
          </w:p>
        </w:tc>
      </w:tr>
      <w:tr>
        <w:tc>
          <w:tcPr>
            <w:tcW w:type="dxa" w:w="1300"/>
            <w:vAlign w:val="center"/>
          </w:tcPr>
          <w:p>
            <w:pPr>
              <w:spacing w:after="20" w:line="252" w:lineRule="auto"/>
            </w:pPr>
            <w:r>
              <w:rPr>
                <w:rFonts w:ascii="Calibri" w:hAnsi="Calibri"/>
                <w:color w:val="202A35"/>
                <w:sz w:val="18"/>
              </w:rPr>
              <w:t>abril</w:t>
            </w:r>
          </w:p>
        </w:tc>
        <w:tc>
          <w:tcPr>
            <w:tcW w:type="dxa" w:w="1800"/>
            <w:vAlign w:val="center"/>
          </w:tcPr>
          <w:p>
            <w:pPr>
              <w:spacing w:after="20" w:line="252" w:lineRule="auto"/>
            </w:pPr>
            <w:r>
              <w:rPr>
                <w:rFonts w:ascii="Calibri" w:hAnsi="Calibri"/>
                <w:color w:val="202A35"/>
                <w:sz w:val="18"/>
              </w:rPr>
              <w:t>Barrio</w:t>
            </w:r>
          </w:p>
        </w:tc>
        <w:tc>
          <w:tcPr>
            <w:tcW w:type="dxa" w:w="1600"/>
            <w:vAlign w:val="center"/>
          </w:tcPr>
          <w:p>
            <w:pPr>
              <w:spacing w:after="20" w:line="252" w:lineRule="auto"/>
            </w:pPr>
            <w:r>
              <w:rPr>
                <w:rFonts w:ascii="Calibri" w:hAnsi="Calibri"/>
                <w:color w:val="202A35"/>
                <w:sz w:val="18"/>
              </w:rPr>
              <w:t>630</w:t>
            </w:r>
          </w:p>
        </w:tc>
        <w:tc>
          <w:tcPr>
            <w:tcW w:type="dxa" w:w="1800"/>
            <w:vAlign w:val="center"/>
          </w:tcPr>
          <w:p>
            <w:pPr>
              <w:spacing w:after="20" w:line="252" w:lineRule="auto"/>
            </w:pPr>
            <w:r>
              <w:rPr>
                <w:rFonts w:ascii="Calibri" w:hAnsi="Calibri"/>
                <w:color w:val="202A35"/>
                <w:sz w:val="18"/>
              </w:rPr>
              <w:t>21</w:t>
            </w:r>
          </w:p>
        </w:tc>
        <w:tc>
          <w:tcPr>
            <w:tcW w:type="dxa" w:w="2860"/>
            <w:vAlign w:val="center"/>
          </w:tcPr>
          <w:p>
            <w:pPr>
              <w:spacing w:after="20" w:line="252" w:lineRule="auto"/>
            </w:pPr>
            <w:r>
              <w:rPr>
                <w:rFonts w:ascii="Calibri" w:hAnsi="Calibri"/>
                <w:color w:val="202A35"/>
                <w:sz w:val="18"/>
              </w:rPr>
              <w:t>no</w:t>
            </w:r>
          </w:p>
        </w:tc>
      </w:tr>
    </w:tbl>
    <w:p>
      <w:pPr>
        <w:pStyle w:val="Heading2"/>
      </w:pPr>
      <w:r>
        <w:t>Notas autorizadas</w:t>
      </w:r>
    </w:p>
    <w:p>
      <w:pPr>
        <w:pStyle w:val="ListBullet"/>
      </w:pPr>
      <w:r>
        <w:t>Centro amplió su cierre de 18:00 a 20:00 desde el 1 de marzo.</w:t>
      </w:r>
    </w:p>
    <w:p>
      <w:pPr>
        <w:pStyle w:val="ListBullet"/>
      </w:pPr>
      <w:r>
        <w:t>Desde el 3 de marzo, una escuela cercana empezó a difundir actividades de Centro en su boletín semanal.</w:t>
      </w:r>
    </w:p>
    <w:p>
      <w:pPr>
        <w:pStyle w:val="ListBullet"/>
      </w:pPr>
      <w:r>
        <w:t>No se registraron cambios de horario ni campañas en Barrio.</w:t>
      </w:r>
    </w:p>
    <w:p>
      <w:pPr>
        <w:pStyle w:val="ListBullet"/>
      </w:pPr>
      <w:r>
        <w:t>La tabla no separa visitas por franja horaria ni identifica visitantes únicos.</w:t>
      </w:r>
    </w:p>
    <w:p>
      <w:pPr>
        <w:pStyle w:val="Heading2"/>
      </w:pPr>
      <w:r>
        <w:t>Unidad de análisis</w:t>
      </w:r>
    </w:p>
    <w:p>
      <w:r>
        <w:t>Una visita es una entrada registrada por el contador de puerta. Una misma persona puede producir más de una visita en un mes. Los días abiertos varían entre meses, de modo que comparar solo totales mezcla flujo diario con duración del periodo. Para este dossier, la medida comparable solicitada es visitas divididas por días abiertos; puedes redondear a una cifra decimal si muestras el cálculo.</w:t>
      </w:r>
    </w:p>
    <w:p>
      <w:r>
        <w:t>Enero y febrero forman el periodo previo, y marzo y abril el periodo con horario extendido en Centro. Barrio funciona como referencia descriptiva porque atraviesa los mismos meses sin cambio de horario ni campaña registrada. No es un grupo de control experimental: las sucursales podrían diferir en población, servicios u otras características que el dossier no mide.</w:t>
      </w:r>
    </w:p>
    <w:p>
      <w:pPr>
        <w:pStyle w:val="Heading2"/>
      </w:pPr>
      <w:r>
        <w:t>Uso previsto del análisis</w:t>
      </w:r>
    </w:p>
    <w:p>
      <w:r>
        <w:t>La dirección decidirá si mantiene temporalmente el cierre a las 20:00 y qué debe registrar durante una segunda etapa. Necesita una lectura que separe tres capas: resultados calculados, interpretación compatible con esos resultados y datos que todavía faltan para distinguir explicaciones.</w:t>
      </w:r>
    </w:p>
    <w:p>
      <w:pPr>
        <w:pStyle w:val="Heading2"/>
      </w:pPr>
      <w:r>
        <w:t>Preguntas de comprobación</w:t>
      </w:r>
    </w:p>
    <w:p>
      <w:pPr>
        <w:pStyle w:val="ListBullet"/>
      </w:pPr>
      <w:r>
        <w:t>¿El patrón cambia al normalizar por días abiertos o solo parece cambiar en los totales?</w:t>
      </w:r>
    </w:p>
    <w:p>
      <w:pPr>
        <w:pStyle w:val="ListBullet"/>
      </w:pPr>
      <w:r>
        <w:t>¿Qué aporta observar Barrio y qué no permite concluir esa comparación?</w:t>
      </w:r>
    </w:p>
    <w:p>
      <w:pPr>
        <w:pStyle w:val="ListBullet"/>
      </w:pPr>
      <w:r>
        <w:t>¿Cómo coinciden en el tiempo el horario extendido y la difusión escolar?</w:t>
      </w:r>
    </w:p>
    <w:p>
      <w:pPr>
        <w:pStyle w:val="ListBullet"/>
      </w:pPr>
      <w:r>
        <w:t>¿Qué medición adicional tendría resultados distintos si el aumento proviniera sobre todo de las dos horas nuevas o de la campaña?</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0"/>
            </w:pPr>
            <w:r>
              <w:rPr>
                <w:rFonts w:ascii="Calibri" w:hAnsi="Calibri"/>
                <w:b/>
                <w:color w:val="1F4D78"/>
                <w:sz w:val="20"/>
              </w:rPr>
              <w:t xml:space="preserve">Alcance de la recomendación: </w:t>
            </w:r>
            <w:r>
              <w:rPr>
                <w:rFonts w:ascii="Calibri" w:hAnsi="Calibri"/>
                <w:color w:val="202A35"/>
                <w:sz w:val="20"/>
              </w:rPr>
              <w:t>Puedes recomendar mantener, modificar o volver a evaluar el horario, pero la acción debe presentarse como provisional. No se proporcionan costos de personal ni objetivos presupuestarios, así que no corresponde calcular rentabilidad.</w:t>
            </w:r>
          </w:p>
        </w:tc>
      </w:tr>
    </w:tbl>
    <w:p>
      <w:pPr>
        <w:pStyle w:val="Heading1"/>
      </w:pPr>
      <w:r>
        <w:t>Tarea</w:t>
      </w:r>
    </w:p>
    <w:p>
      <w:pPr>
        <w:pStyle w:val="ListNumber"/>
      </w:pPr>
      <w:r>
        <w:t>Calcula visitas por día abierto para cada fila y resume el patrón antes y después en ambas sucursales.</w:t>
      </w:r>
    </w:p>
    <w:p>
      <w:pPr>
        <w:pStyle w:val="ListNumber"/>
      </w:pPr>
      <w:r>
        <w:t>Formula una afirmación sobre la asociación entre el periodo de horario extendido y las visitas de Centro.</w:t>
      </w:r>
    </w:p>
    <w:p>
      <w:pPr>
        <w:pStyle w:val="ListNumber"/>
      </w:pPr>
      <w:r>
        <w:t>Explica por qué estos datos no aíslan el efecto del horario y menciona el factor concurrente concreto.</w:t>
      </w:r>
    </w:p>
    <w:p>
      <w:pPr>
        <w:pStyle w:val="ListNumber"/>
      </w:pPr>
      <w:r>
        <w:t>Propón un dato adicional que permitiría evaluar mejor la explicación, sin buscarlo fuera del dossier.</w:t>
      </w:r>
    </w:p>
    <w:p>
      <w:pPr>
        <w:pStyle w:val="Heading1"/>
      </w:pPr>
      <w:r>
        <w:t>Entregable</w:t>
      </w:r>
    </w:p>
    <w:p>
      <w:r>
        <w:t>Extensión orientativa: informe de 500 a 900 palabras con una tabla breve. No hace falta una prueba estadística. Debes distinguir resultados calculados, interpretación y datos ausentes. La extensión indicada es una guía de formato. No constituye por sí misma un criterio de evaluación; el trabajo se evalúa por la evidencia y el razonamiento solicitados.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770"/>
        <w:sz w:val="18"/>
      </w:rP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770"/>
        <w:sz w:val="17"/>
      </w:rPr>
      <w:t>Pruebas Personalizadas | Actividad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Pruebas Personalizadas</dc:subject>
  <dc:creator>Corpus de evaluación</dc:creator>
  <cp:keywords>evaluación, comprensión, evidencia</cp:keywords>
  <dc:description>generated by python-docx</dc:description>
  <cp:lastModifiedBy>Corpus de evaluación</cp:lastModifiedBy>
  <cp:revision>1</cp:revision>
  <dcterms:created xsi:type="dcterms:W3CDTF">2013-12-23T23:15:00Z</dcterms:created>
  <dcterms:modified xsi:type="dcterms:W3CDTF">2013-12-23T23:15:00Z</dcterms:modified>
  <cp:category/>
</cp:coreProperties>
</file>