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ACTIVIDAD 06</w:t>
      </w:r>
    </w:p>
    <w:p>
      <w:pPr>
        <w:spacing w:before="0" w:after="80"/>
      </w:pPr>
      <w:r>
        <w:rPr>
          <w:rFonts w:ascii="Calibri" w:hAnsi="Calibri"/>
          <w:b/>
          <w:color w:val="000000"/>
          <w:sz w:val="43"/>
        </w:rPr>
        <w:t>Recomendación de movilidad estudiantil</w:t>
      </w:r>
    </w:p>
    <w:p>
      <w:pPr>
        <w:spacing w:before="0" w:after="160"/>
      </w:pPr>
      <w:r>
        <w:rPr>
          <w:rFonts w:ascii="Calibri" w:hAnsi="Calibri"/>
          <w:i/>
          <w:color w:val="606770"/>
          <w:sz w:val="23"/>
        </w:rPr>
        <w:t>Argumento de política escolar con encuesta no probabilística</w:t>
      </w:r>
    </w:p>
    <w:p>
      <w:pPr>
        <w:spacing w:before="0" w:after="40"/>
      </w:pPr>
      <w:r>
        <w:rPr>
          <w:rFonts w:ascii="Calibri" w:hAnsi="Calibri"/>
          <w:b/>
          <w:color w:val="202A35"/>
          <w:sz w:val="19"/>
        </w:rPr>
        <w:t xml:space="preserve">Disciplina: </w:t>
      </w:r>
      <w:r>
        <w:rPr>
          <w:rFonts w:ascii="Calibri" w:hAnsi="Calibri"/>
          <w:color w:val="202A35"/>
          <w:sz w:val="19"/>
        </w:rPr>
        <w:t>Ciencias sociales</w:t>
      </w:r>
      <w:r>
        <w:rPr>
          <w:rFonts w:ascii="Calibri" w:hAnsi="Calibri"/>
          <w:color w:val="606770"/>
          <w:sz w:val="19"/>
        </w:rPr>
        <w:t xml:space="preserve">   |   </w:t>
      </w:r>
      <w:r>
        <w:rPr>
          <w:rFonts w:ascii="Calibri" w:hAnsi="Calibri"/>
          <w:b/>
          <w:color w:val="202A35"/>
          <w:sz w:val="19"/>
        </w:rPr>
        <w:t xml:space="preserve">Dificultad del paquete: </w:t>
      </w:r>
      <w:r>
        <w:rPr>
          <w:rFonts w:ascii="Calibri" w:hAnsi="Calibri"/>
          <w:color w:val="202A35"/>
          <w:sz w:val="19"/>
        </w:rPr>
        <w:t>intermedia</w:t>
      </w:r>
    </w:p>
    <w:p>
      <w:pPr>
        <w:pStyle w:val="Heading1"/>
      </w:pPr>
      <w:r>
        <w:t>Contexto</w:t>
      </w:r>
    </w:p>
    <w:p>
      <w:r>
        <w:t>El centro de estudiantes recogió 60 respuestas voluntarias durante dos recreos de una semana lluviosa. La escuela tiene $5.000 para financiar una sola medida piloto durante un semestre.</w:t>
      </w:r>
    </w:p>
    <w:p>
      <w:pPr>
        <w:pStyle w:val="Heading2"/>
      </w:pPr>
      <w:r>
        <w:t>Resultados</w:t>
      </w:r>
    </w:p>
    <w:tbl>
      <w:tblPr>
        <w:tblStyle w:val="TableGrid"/>
        <w:tblW w:type="dxa" w:w="9360"/>
        <w:jc w:val="left"/>
        <w:tblLayout w:type="fixed"/>
        <w:tblLook w:firstColumn="1" w:firstRow="1" w:lastColumn="0" w:lastRow="0" w:noHBand="0" w:noVBand="1" w:val="04A0"/>
        <w:tblInd w:w="120" w:type="dxa"/>
      </w:tblPr>
      <w:tblGrid>
        <w:gridCol w:w="1900"/>
        <w:gridCol w:w="1200"/>
        <w:gridCol w:w="1800"/>
        <w:gridCol w:w="1300"/>
        <w:gridCol w:w="1100"/>
        <w:gridCol w:w="2060"/>
      </w:tblGrid>
      <w:tr>
        <w:trPr>
          <w:tblHeader w:val="true"/>
        </w:trPr>
        <w:tc>
          <w:tcPr>
            <w:tcW w:type="dxa" w:w="1900"/>
            <w:tcMar>
              <w:top w:w="80" w:type="dxa"/>
              <w:start w:w="120" w:type="dxa"/>
              <w:bottom w:w="80" w:type="dxa"/>
              <w:end w:w="120" w:type="dxa"/>
            </w:tcMar>
            <w:shd w:fill="F2F4F7"/>
            <w:vAlign w:val="center"/>
          </w:tcPr>
          <w:p>
            <w:pPr>
              <w:spacing w:after="40"/>
            </w:pPr>
            <w:r>
              <w:rPr>
                <w:rFonts w:ascii="Calibri" w:hAnsi="Calibri"/>
                <w:b/>
                <w:color w:val="202A35"/>
                <w:sz w:val="19"/>
              </w:rPr>
              <w:t>Distancia al colegio</w:t>
            </w:r>
          </w:p>
        </w:tc>
        <w:tc>
          <w:tcPr>
            <w:tcW w:type="dxa" w:w="1200"/>
            <w:tcMar>
              <w:top w:w="80" w:type="dxa"/>
              <w:start w:w="120" w:type="dxa"/>
              <w:bottom w:w="80" w:type="dxa"/>
              <w:end w:w="120" w:type="dxa"/>
            </w:tcMar>
            <w:shd w:fill="F2F4F7"/>
            <w:vAlign w:val="center"/>
          </w:tcPr>
          <w:p>
            <w:pPr>
              <w:spacing w:after="40"/>
            </w:pPr>
            <w:r>
              <w:rPr>
                <w:rFonts w:ascii="Calibri" w:hAnsi="Calibri"/>
                <w:b/>
                <w:color w:val="202A35"/>
                <w:sz w:val="19"/>
              </w:rPr>
              <w:t>Respuestas</w:t>
            </w:r>
          </w:p>
        </w:tc>
        <w:tc>
          <w:tcPr>
            <w:tcW w:type="dxa" w:w="1800"/>
            <w:tcMar>
              <w:top w:w="80" w:type="dxa"/>
              <w:start w:w="120" w:type="dxa"/>
              <w:bottom w:w="80" w:type="dxa"/>
              <w:end w:w="120" w:type="dxa"/>
            </w:tcMar>
            <w:shd w:fill="F2F4F7"/>
            <w:vAlign w:val="center"/>
          </w:tcPr>
          <w:p>
            <w:pPr>
              <w:spacing w:after="40"/>
            </w:pPr>
            <w:r>
              <w:rPr>
                <w:rFonts w:ascii="Calibri" w:hAnsi="Calibri"/>
                <w:b/>
                <w:color w:val="202A35"/>
                <w:sz w:val="19"/>
              </w:rPr>
              <w:t>Camina/bicicleta</w:t>
            </w:r>
          </w:p>
        </w:tc>
        <w:tc>
          <w:tcPr>
            <w:tcW w:type="dxa" w:w="1300"/>
            <w:tcMar>
              <w:top w:w="80" w:type="dxa"/>
              <w:start w:w="120" w:type="dxa"/>
              <w:bottom w:w="80" w:type="dxa"/>
              <w:end w:w="120" w:type="dxa"/>
            </w:tcMar>
            <w:shd w:fill="F2F4F7"/>
            <w:vAlign w:val="center"/>
          </w:tcPr>
          <w:p>
            <w:pPr>
              <w:spacing w:after="40"/>
            </w:pPr>
            <w:r>
              <w:rPr>
                <w:rFonts w:ascii="Calibri" w:hAnsi="Calibri"/>
                <w:b/>
                <w:color w:val="202A35"/>
                <w:sz w:val="19"/>
              </w:rPr>
              <w:t>Bus</w:t>
            </w:r>
          </w:p>
        </w:tc>
        <w:tc>
          <w:tcPr>
            <w:tcW w:type="dxa" w:w="1100"/>
            <w:tcMar>
              <w:top w:w="80" w:type="dxa"/>
              <w:start w:w="120" w:type="dxa"/>
              <w:bottom w:w="80" w:type="dxa"/>
              <w:end w:w="120" w:type="dxa"/>
            </w:tcMar>
            <w:shd w:fill="F2F4F7"/>
            <w:vAlign w:val="center"/>
          </w:tcPr>
          <w:p>
            <w:pPr>
              <w:spacing w:after="40"/>
            </w:pPr>
            <w:r>
              <w:rPr>
                <w:rFonts w:ascii="Calibri" w:hAnsi="Calibri"/>
                <w:b/>
                <w:color w:val="202A35"/>
                <w:sz w:val="19"/>
              </w:rPr>
              <w:t>Auto</w:t>
            </w:r>
          </w:p>
        </w:tc>
        <w:tc>
          <w:tcPr>
            <w:tcW w:type="dxa" w:w="2060"/>
            <w:tcMar>
              <w:top w:w="80" w:type="dxa"/>
              <w:start w:w="120" w:type="dxa"/>
              <w:bottom w:w="80" w:type="dxa"/>
              <w:end w:w="120" w:type="dxa"/>
            </w:tcMar>
            <w:shd w:fill="F2F4F7"/>
            <w:vAlign w:val="center"/>
          </w:tcPr>
          <w:p>
            <w:pPr>
              <w:spacing w:after="40"/>
            </w:pPr>
            <w:r>
              <w:rPr>
                <w:rFonts w:ascii="Calibri" w:hAnsi="Calibri"/>
                <w:b/>
                <w:color w:val="202A35"/>
                <w:sz w:val="19"/>
              </w:rPr>
              <w:t>Apoya bicicleteros</w:t>
            </w:r>
          </w:p>
        </w:tc>
      </w:tr>
      <w:tr>
        <w:tc>
          <w:tcPr>
            <w:tcW w:type="dxa" w:w="1900"/>
            <w:vAlign w:val="center"/>
          </w:tcPr>
          <w:p>
            <w:pPr>
              <w:spacing w:after="20" w:line="252" w:lineRule="auto"/>
            </w:pPr>
            <w:r>
              <w:rPr>
                <w:rFonts w:ascii="Calibri" w:hAnsi="Calibri"/>
                <w:color w:val="202A35"/>
                <w:sz w:val="18"/>
              </w:rPr>
              <w:t>menos de 2 km</w:t>
            </w:r>
          </w:p>
        </w:tc>
        <w:tc>
          <w:tcPr>
            <w:tcW w:type="dxa" w:w="1200"/>
            <w:vAlign w:val="center"/>
          </w:tcPr>
          <w:p>
            <w:pPr>
              <w:spacing w:after="20" w:line="252" w:lineRule="auto"/>
            </w:pPr>
            <w:r>
              <w:rPr>
                <w:rFonts w:ascii="Calibri" w:hAnsi="Calibri"/>
                <w:color w:val="202A35"/>
                <w:sz w:val="18"/>
              </w:rPr>
              <w:t>20</w:t>
            </w:r>
          </w:p>
        </w:tc>
        <w:tc>
          <w:tcPr>
            <w:tcW w:type="dxa" w:w="1800"/>
            <w:vAlign w:val="center"/>
          </w:tcPr>
          <w:p>
            <w:pPr>
              <w:spacing w:after="20" w:line="252" w:lineRule="auto"/>
            </w:pPr>
            <w:r>
              <w:rPr>
                <w:rFonts w:ascii="Calibri" w:hAnsi="Calibri"/>
                <w:color w:val="202A35"/>
                <w:sz w:val="18"/>
              </w:rPr>
              <w:t>14</w:t>
            </w:r>
          </w:p>
        </w:tc>
        <w:tc>
          <w:tcPr>
            <w:tcW w:type="dxa" w:w="1300"/>
            <w:vAlign w:val="center"/>
          </w:tcPr>
          <w:p>
            <w:pPr>
              <w:spacing w:after="20" w:line="252" w:lineRule="auto"/>
            </w:pPr>
            <w:r>
              <w:rPr>
                <w:rFonts w:ascii="Calibri" w:hAnsi="Calibri"/>
                <w:color w:val="202A35"/>
                <w:sz w:val="18"/>
              </w:rPr>
              <w:t>4</w:t>
            </w:r>
          </w:p>
        </w:tc>
        <w:tc>
          <w:tcPr>
            <w:tcW w:type="dxa" w:w="1100"/>
            <w:vAlign w:val="center"/>
          </w:tcPr>
          <w:p>
            <w:pPr>
              <w:spacing w:after="20" w:line="252" w:lineRule="auto"/>
            </w:pPr>
            <w:r>
              <w:rPr>
                <w:rFonts w:ascii="Calibri" w:hAnsi="Calibri"/>
                <w:color w:val="202A35"/>
                <w:sz w:val="18"/>
              </w:rPr>
              <w:t>2</w:t>
            </w:r>
          </w:p>
        </w:tc>
        <w:tc>
          <w:tcPr>
            <w:tcW w:type="dxa" w:w="2060"/>
            <w:vAlign w:val="center"/>
          </w:tcPr>
          <w:p>
            <w:pPr>
              <w:spacing w:after="20" w:line="252" w:lineRule="auto"/>
            </w:pPr>
            <w:r>
              <w:rPr>
                <w:rFonts w:ascii="Calibri" w:hAnsi="Calibri"/>
                <w:color w:val="202A35"/>
                <w:sz w:val="18"/>
              </w:rPr>
              <w:t>15</w:t>
            </w:r>
          </w:p>
        </w:tc>
      </w:tr>
      <w:tr>
        <w:tc>
          <w:tcPr>
            <w:tcW w:type="dxa" w:w="1900"/>
            <w:vAlign w:val="center"/>
          </w:tcPr>
          <w:p>
            <w:pPr>
              <w:spacing w:after="20" w:line="252" w:lineRule="auto"/>
            </w:pPr>
            <w:r>
              <w:rPr>
                <w:rFonts w:ascii="Calibri" w:hAnsi="Calibri"/>
                <w:color w:val="202A35"/>
                <w:sz w:val="18"/>
              </w:rPr>
              <w:t>2 a 5 km</w:t>
            </w:r>
          </w:p>
        </w:tc>
        <w:tc>
          <w:tcPr>
            <w:tcW w:type="dxa" w:w="1200"/>
            <w:vAlign w:val="center"/>
          </w:tcPr>
          <w:p>
            <w:pPr>
              <w:spacing w:after="20" w:line="252" w:lineRule="auto"/>
            </w:pPr>
            <w:r>
              <w:rPr>
                <w:rFonts w:ascii="Calibri" w:hAnsi="Calibri"/>
                <w:color w:val="202A35"/>
                <w:sz w:val="18"/>
              </w:rPr>
              <w:t>25</w:t>
            </w:r>
          </w:p>
        </w:tc>
        <w:tc>
          <w:tcPr>
            <w:tcW w:type="dxa" w:w="1800"/>
            <w:vAlign w:val="center"/>
          </w:tcPr>
          <w:p>
            <w:pPr>
              <w:spacing w:after="20" w:line="252" w:lineRule="auto"/>
            </w:pPr>
            <w:r>
              <w:rPr>
                <w:rFonts w:ascii="Calibri" w:hAnsi="Calibri"/>
                <w:color w:val="202A35"/>
                <w:sz w:val="18"/>
              </w:rPr>
              <w:t>5</w:t>
            </w:r>
          </w:p>
        </w:tc>
        <w:tc>
          <w:tcPr>
            <w:tcW w:type="dxa" w:w="1300"/>
            <w:vAlign w:val="center"/>
          </w:tcPr>
          <w:p>
            <w:pPr>
              <w:spacing w:after="20" w:line="252" w:lineRule="auto"/>
            </w:pPr>
            <w:r>
              <w:rPr>
                <w:rFonts w:ascii="Calibri" w:hAnsi="Calibri"/>
                <w:color w:val="202A35"/>
                <w:sz w:val="18"/>
              </w:rPr>
              <w:t>15</w:t>
            </w:r>
          </w:p>
        </w:tc>
        <w:tc>
          <w:tcPr>
            <w:tcW w:type="dxa" w:w="1100"/>
            <w:vAlign w:val="center"/>
          </w:tcPr>
          <w:p>
            <w:pPr>
              <w:spacing w:after="20" w:line="252" w:lineRule="auto"/>
            </w:pPr>
            <w:r>
              <w:rPr>
                <w:rFonts w:ascii="Calibri" w:hAnsi="Calibri"/>
                <w:color w:val="202A35"/>
                <w:sz w:val="18"/>
              </w:rPr>
              <w:t>5</w:t>
            </w:r>
          </w:p>
        </w:tc>
        <w:tc>
          <w:tcPr>
            <w:tcW w:type="dxa" w:w="2060"/>
            <w:vAlign w:val="center"/>
          </w:tcPr>
          <w:p>
            <w:pPr>
              <w:spacing w:after="20" w:line="252" w:lineRule="auto"/>
            </w:pPr>
            <w:r>
              <w:rPr>
                <w:rFonts w:ascii="Calibri" w:hAnsi="Calibri"/>
                <w:color w:val="202A35"/>
                <w:sz w:val="18"/>
              </w:rPr>
              <w:t>8</w:t>
            </w:r>
          </w:p>
        </w:tc>
      </w:tr>
      <w:tr>
        <w:tc>
          <w:tcPr>
            <w:tcW w:type="dxa" w:w="1900"/>
            <w:vAlign w:val="center"/>
          </w:tcPr>
          <w:p>
            <w:pPr>
              <w:spacing w:after="20" w:line="252" w:lineRule="auto"/>
            </w:pPr>
            <w:r>
              <w:rPr>
                <w:rFonts w:ascii="Calibri" w:hAnsi="Calibri"/>
                <w:color w:val="202A35"/>
                <w:sz w:val="18"/>
              </w:rPr>
              <w:t>más de 5 km</w:t>
            </w:r>
          </w:p>
        </w:tc>
        <w:tc>
          <w:tcPr>
            <w:tcW w:type="dxa" w:w="1200"/>
            <w:vAlign w:val="center"/>
          </w:tcPr>
          <w:p>
            <w:pPr>
              <w:spacing w:after="20" w:line="252" w:lineRule="auto"/>
            </w:pPr>
            <w:r>
              <w:rPr>
                <w:rFonts w:ascii="Calibri" w:hAnsi="Calibri"/>
                <w:color w:val="202A35"/>
                <w:sz w:val="18"/>
              </w:rPr>
              <w:t>15</w:t>
            </w:r>
          </w:p>
        </w:tc>
        <w:tc>
          <w:tcPr>
            <w:tcW w:type="dxa" w:w="1800"/>
            <w:vAlign w:val="center"/>
          </w:tcPr>
          <w:p>
            <w:pPr>
              <w:spacing w:after="20" w:line="252" w:lineRule="auto"/>
            </w:pPr>
            <w:r>
              <w:rPr>
                <w:rFonts w:ascii="Calibri" w:hAnsi="Calibri"/>
                <w:color w:val="202A35"/>
                <w:sz w:val="18"/>
              </w:rPr>
              <w:t>1</w:t>
            </w:r>
          </w:p>
        </w:tc>
        <w:tc>
          <w:tcPr>
            <w:tcW w:type="dxa" w:w="1300"/>
            <w:vAlign w:val="center"/>
          </w:tcPr>
          <w:p>
            <w:pPr>
              <w:spacing w:after="20" w:line="252" w:lineRule="auto"/>
            </w:pPr>
            <w:r>
              <w:rPr>
                <w:rFonts w:ascii="Calibri" w:hAnsi="Calibri"/>
                <w:color w:val="202A35"/>
                <w:sz w:val="18"/>
              </w:rPr>
              <w:t>9</w:t>
            </w:r>
          </w:p>
        </w:tc>
        <w:tc>
          <w:tcPr>
            <w:tcW w:type="dxa" w:w="1100"/>
            <w:vAlign w:val="center"/>
          </w:tcPr>
          <w:p>
            <w:pPr>
              <w:spacing w:after="20" w:line="252" w:lineRule="auto"/>
            </w:pPr>
            <w:r>
              <w:rPr>
                <w:rFonts w:ascii="Calibri" w:hAnsi="Calibri"/>
                <w:color w:val="202A35"/>
                <w:sz w:val="18"/>
              </w:rPr>
              <w:t>5</w:t>
            </w:r>
          </w:p>
        </w:tc>
        <w:tc>
          <w:tcPr>
            <w:tcW w:type="dxa" w:w="2060"/>
            <w:vAlign w:val="center"/>
          </w:tcPr>
          <w:p>
            <w:pPr>
              <w:spacing w:after="20" w:line="252" w:lineRule="auto"/>
            </w:pPr>
            <w:r>
              <w:rPr>
                <w:rFonts w:ascii="Calibri" w:hAnsi="Calibri"/>
                <w:color w:val="202A35"/>
                <w:sz w:val="18"/>
              </w:rPr>
              <w:t>3</w:t>
            </w:r>
          </w:p>
        </w:tc>
      </w:tr>
      <w:tr>
        <w:tc>
          <w:tcPr>
            <w:tcW w:type="dxa" w:w="1900"/>
            <w:vAlign w:val="center"/>
          </w:tcPr>
          <w:p>
            <w:pPr>
              <w:spacing w:after="20" w:line="252" w:lineRule="auto"/>
            </w:pPr>
            <w:r>
              <w:rPr>
                <w:rFonts w:ascii="Calibri" w:hAnsi="Calibri"/>
                <w:color w:val="202A35"/>
                <w:sz w:val="18"/>
              </w:rPr>
              <w:t>Total</w:t>
            </w:r>
          </w:p>
        </w:tc>
        <w:tc>
          <w:tcPr>
            <w:tcW w:type="dxa" w:w="1200"/>
            <w:vAlign w:val="center"/>
          </w:tcPr>
          <w:p>
            <w:pPr>
              <w:spacing w:after="20" w:line="252" w:lineRule="auto"/>
            </w:pPr>
            <w:r>
              <w:rPr>
                <w:rFonts w:ascii="Calibri" w:hAnsi="Calibri"/>
                <w:color w:val="202A35"/>
                <w:sz w:val="18"/>
              </w:rPr>
              <w:t>60</w:t>
            </w:r>
          </w:p>
        </w:tc>
        <w:tc>
          <w:tcPr>
            <w:tcW w:type="dxa" w:w="1800"/>
            <w:vAlign w:val="center"/>
          </w:tcPr>
          <w:p>
            <w:pPr>
              <w:spacing w:after="20" w:line="252" w:lineRule="auto"/>
            </w:pPr>
            <w:r>
              <w:rPr>
                <w:rFonts w:ascii="Calibri" w:hAnsi="Calibri"/>
                <w:color w:val="202A35"/>
                <w:sz w:val="18"/>
              </w:rPr>
              <w:t>20</w:t>
            </w:r>
          </w:p>
        </w:tc>
        <w:tc>
          <w:tcPr>
            <w:tcW w:type="dxa" w:w="1300"/>
            <w:vAlign w:val="center"/>
          </w:tcPr>
          <w:p>
            <w:pPr>
              <w:spacing w:after="20" w:line="252" w:lineRule="auto"/>
            </w:pPr>
            <w:r>
              <w:rPr>
                <w:rFonts w:ascii="Calibri" w:hAnsi="Calibri"/>
                <w:color w:val="202A35"/>
                <w:sz w:val="18"/>
              </w:rPr>
              <w:t>28</w:t>
            </w:r>
          </w:p>
        </w:tc>
        <w:tc>
          <w:tcPr>
            <w:tcW w:type="dxa" w:w="1100"/>
            <w:vAlign w:val="center"/>
          </w:tcPr>
          <w:p>
            <w:pPr>
              <w:spacing w:after="20" w:line="252" w:lineRule="auto"/>
            </w:pPr>
            <w:r>
              <w:rPr>
                <w:rFonts w:ascii="Calibri" w:hAnsi="Calibri"/>
                <w:color w:val="202A35"/>
                <w:sz w:val="18"/>
              </w:rPr>
              <w:t>12</w:t>
            </w:r>
          </w:p>
        </w:tc>
        <w:tc>
          <w:tcPr>
            <w:tcW w:type="dxa" w:w="2060"/>
            <w:vAlign w:val="center"/>
          </w:tcPr>
          <w:p>
            <w:pPr>
              <w:spacing w:after="20" w:line="252" w:lineRule="auto"/>
            </w:pPr>
            <w:r>
              <w:rPr>
                <w:rFonts w:ascii="Calibri" w:hAnsi="Calibri"/>
                <w:color w:val="202A35"/>
                <w:sz w:val="18"/>
              </w:rPr>
              <w:t>26</w:t>
            </w:r>
          </w:p>
        </w:tc>
      </w:tr>
    </w:tbl>
    <w:p>
      <w:pPr>
        <w:pStyle w:val="Heading2"/>
      </w:pPr>
      <w:r>
        <w:t>Opciones autorizadas</w:t>
      </w:r>
    </w:p>
    <w:tbl>
      <w:tblPr>
        <w:tblStyle w:val="TableGrid"/>
        <w:tblW w:type="dxa" w:w="9360"/>
        <w:jc w:val="left"/>
        <w:tblLayout w:type="fixed"/>
        <w:tblLook w:firstColumn="1" w:firstRow="1" w:lastColumn="0" w:lastRow="0" w:noHBand="0" w:noVBand="1" w:val="04A0"/>
        <w:tblInd w:w="120" w:type="dxa"/>
      </w:tblPr>
      <w:tblGrid>
        <w:gridCol w:w="3500"/>
        <w:gridCol w:w="1500"/>
        <w:gridCol w:w="4360"/>
      </w:tblGrid>
      <w:tr>
        <w:trPr>
          <w:tblHeader w:val="true"/>
        </w:trPr>
        <w:tc>
          <w:tcPr>
            <w:tcW w:type="dxa" w:w="3500"/>
            <w:tcMar>
              <w:top w:w="80" w:type="dxa"/>
              <w:start w:w="120" w:type="dxa"/>
              <w:bottom w:w="80" w:type="dxa"/>
              <w:end w:w="120" w:type="dxa"/>
            </w:tcMar>
            <w:shd w:fill="F2F4F7"/>
            <w:vAlign w:val="center"/>
          </w:tcPr>
          <w:p>
            <w:pPr>
              <w:spacing w:after="40"/>
            </w:pPr>
            <w:r>
              <w:rPr>
                <w:rFonts w:ascii="Calibri" w:hAnsi="Calibri"/>
                <w:b/>
                <w:color w:val="202A35"/>
                <w:sz w:val="19"/>
              </w:rPr>
              <w:t>Piloto</w:t>
            </w:r>
          </w:p>
        </w:tc>
        <w:tc>
          <w:tcPr>
            <w:tcW w:type="dxa" w:w="1500"/>
            <w:tcMar>
              <w:top w:w="80" w:type="dxa"/>
              <w:start w:w="120" w:type="dxa"/>
              <w:bottom w:w="80" w:type="dxa"/>
              <w:end w:w="120" w:type="dxa"/>
            </w:tcMar>
            <w:shd w:fill="F2F4F7"/>
            <w:vAlign w:val="center"/>
          </w:tcPr>
          <w:p>
            <w:pPr>
              <w:spacing w:after="40"/>
            </w:pPr>
            <w:r>
              <w:rPr>
                <w:rFonts w:ascii="Calibri" w:hAnsi="Calibri"/>
                <w:b/>
                <w:color w:val="202A35"/>
                <w:sz w:val="19"/>
              </w:rPr>
              <w:t>Costo</w:t>
            </w:r>
          </w:p>
        </w:tc>
        <w:tc>
          <w:tcPr>
            <w:tcW w:type="dxa" w:w="4360"/>
            <w:tcMar>
              <w:top w:w="80" w:type="dxa"/>
              <w:start w:w="120" w:type="dxa"/>
              <w:bottom w:w="80" w:type="dxa"/>
              <w:end w:w="120" w:type="dxa"/>
            </w:tcMar>
            <w:shd w:fill="F2F4F7"/>
            <w:vAlign w:val="center"/>
          </w:tcPr>
          <w:p>
            <w:pPr>
              <w:spacing w:after="40"/>
            </w:pPr>
            <w:r>
              <w:rPr>
                <w:rFonts w:ascii="Calibri" w:hAnsi="Calibri"/>
                <w:b/>
                <w:color w:val="202A35"/>
                <w:sz w:val="19"/>
              </w:rPr>
              <w:t>Alcance declarado</w:t>
            </w:r>
          </w:p>
        </w:tc>
      </w:tr>
      <w:tr>
        <w:tc>
          <w:tcPr>
            <w:tcW w:type="dxa" w:w="3500"/>
            <w:vAlign w:val="center"/>
          </w:tcPr>
          <w:p>
            <w:pPr>
              <w:spacing w:after="20" w:line="252" w:lineRule="auto"/>
            </w:pPr>
            <w:r>
              <w:rPr>
                <w:rFonts w:ascii="Calibri" w:hAnsi="Calibri"/>
                <w:color w:val="202A35"/>
                <w:sz w:val="18"/>
              </w:rPr>
              <w:t>A. Instalar 20 espacios de bicicletero cubierto</w:t>
            </w:r>
          </w:p>
        </w:tc>
        <w:tc>
          <w:tcPr>
            <w:tcW w:type="dxa" w:w="1500"/>
            <w:vAlign w:val="center"/>
          </w:tcPr>
          <w:p>
            <w:pPr>
              <w:spacing w:after="20" w:line="252" w:lineRule="auto"/>
            </w:pPr>
            <w:r>
              <w:rPr>
                <w:rFonts w:ascii="Calibri" w:hAnsi="Calibri"/>
                <w:color w:val="202A35"/>
                <w:sz w:val="18"/>
              </w:rPr>
              <w:t>$4.200</w:t>
            </w:r>
          </w:p>
        </w:tc>
        <w:tc>
          <w:tcPr>
            <w:tcW w:type="dxa" w:w="4360"/>
            <w:vAlign w:val="center"/>
          </w:tcPr>
          <w:p>
            <w:pPr>
              <w:spacing w:after="20" w:line="252" w:lineRule="auto"/>
            </w:pPr>
            <w:r>
              <w:rPr>
                <w:rFonts w:ascii="Calibri" w:hAnsi="Calibri"/>
                <w:color w:val="202A35"/>
                <w:sz w:val="18"/>
              </w:rPr>
              <w:t>Disponibles para cualquier estudiante; no incluye bicicletas</w:t>
            </w:r>
          </w:p>
        </w:tc>
      </w:tr>
      <w:tr>
        <w:tc>
          <w:tcPr>
            <w:tcW w:type="dxa" w:w="3500"/>
            <w:vAlign w:val="center"/>
          </w:tcPr>
          <w:p>
            <w:pPr>
              <w:spacing w:after="20" w:line="252" w:lineRule="auto"/>
            </w:pPr>
            <w:r>
              <w:rPr>
                <w:rFonts w:ascii="Calibri" w:hAnsi="Calibri"/>
                <w:color w:val="202A35"/>
                <w:sz w:val="18"/>
              </w:rPr>
              <w:t>B. Fondo de 100 viajes de bus al mes</w:t>
            </w:r>
          </w:p>
        </w:tc>
        <w:tc>
          <w:tcPr>
            <w:tcW w:type="dxa" w:w="1500"/>
            <w:vAlign w:val="center"/>
          </w:tcPr>
          <w:p>
            <w:pPr>
              <w:spacing w:after="20" w:line="252" w:lineRule="auto"/>
            </w:pPr>
            <w:r>
              <w:rPr>
                <w:rFonts w:ascii="Calibri" w:hAnsi="Calibri"/>
                <w:color w:val="202A35"/>
                <w:sz w:val="18"/>
              </w:rPr>
              <w:t>$4.800</w:t>
            </w:r>
          </w:p>
        </w:tc>
        <w:tc>
          <w:tcPr>
            <w:tcW w:type="dxa" w:w="4360"/>
            <w:vAlign w:val="center"/>
          </w:tcPr>
          <w:p>
            <w:pPr>
              <w:spacing w:after="20" w:line="252" w:lineRule="auto"/>
            </w:pPr>
            <w:r>
              <w:rPr>
                <w:rFonts w:ascii="Calibri" w:hAnsi="Calibri"/>
                <w:color w:val="202A35"/>
                <w:sz w:val="18"/>
              </w:rPr>
              <w:t>Se distribuye mediante solicitud; no garantiza cubrir todos los viajes</w:t>
            </w:r>
          </w:p>
        </w:tc>
      </w:tr>
    </w:tbl>
    <w:p>
      <w:pPr>
        <w:pStyle w:val="Heading2"/>
      </w:pPr>
      <w:r>
        <w:t>Encargo del consejo escolar</w:t>
      </w:r>
    </w:p>
    <w:p>
      <w:r>
        <w:t>El consejo no busca determinar la política definitiva de transporte. Quiere escoger un piloto financiable que produzca aprendizaje durante un semestre. Las dos opciones caben en el presupuesto, pero atienden necesidades distintas: los bicicleteros crean capacidad física disponible de forma continua; el fondo de bus compra un número limitado de viajes que debe asignarse mediante solicitudes.</w:t>
      </w:r>
    </w:p>
    <w:p>
      <w:r>
        <w:t>Una respuesta puede defender cualquiera de las dos opciones. Para compararlas, declara primero el objetivo: por ejemplo, reducir barreras para quienes viven más lejos, apoyar viajes activos en distancias cortas o probar una necesidad antes de invertir de forma permanente. Cambiar de objetivo a mitad del memo vuelve difícil evaluar la recomendación.</w:t>
      </w:r>
    </w:p>
    <w:p>
      <w:pPr>
        <w:pStyle w:val="Heading2"/>
      </w:pPr>
      <w:r>
        <w:t>Lectura de la encuesta</w:t>
      </w:r>
    </w:p>
    <w:p>
      <w:pPr>
        <w:pStyle w:val="ListBullet"/>
      </w:pPr>
      <w:r>
        <w:t>Las columnas de modo actual suman las respuestas dentro de cada distancia. El apoyo a bicicleteros es otra pregunta y puede superponerse con cualquier modo actual.</w:t>
      </w:r>
    </w:p>
    <w:p>
      <w:pPr>
        <w:pStyle w:val="ListBullet"/>
      </w:pPr>
      <w:r>
        <w:t>Las 60 respuestas fueron voluntarias, recogidas en dos recreos y durante lluvia. Esas condiciones pueden afectar quién estaba presente, quién respondió y qué modo declaró esa semana.</w:t>
      </w:r>
    </w:p>
    <w:p>
      <w:pPr>
        <w:pStyle w:val="ListBullet"/>
      </w:pPr>
      <w:r>
        <w:t>Los datos describen las personas encuestadas; no revelan cuántos viajes mensuales necesita cada estudiante ni cuántas bicicletas posee la comunidad.</w:t>
      </w:r>
    </w:p>
    <w:p>
      <w:pPr>
        <w:pStyle w:val="ListBullet"/>
      </w:pPr>
      <w:r>
        <w:t>El alcance declarado de cada opción es parte de la evidencia. Cien viajes no equivalen a cien estudiantes y veinte espacios no garantizan veinte bicicletas nuevas.</w:t>
      </w:r>
    </w:p>
    <w:p>
      <w:pPr>
        <w:pStyle w:val="Heading2"/>
      </w:pPr>
      <w:r>
        <w:t>Formato del memo</w:t>
      </w:r>
    </w:p>
    <w:p>
      <w:r>
        <w:t>Dirige el memo a una comisión mixta de estudiantes, familias y administración. Abre con la decisión y el objetivo, desarrolla dos o tres comparaciones, incluye una limitación que afecte el alcance y cierra con el trade-off y una forma concreta de observar el piloto. No uses datos nacionales ni supuestos sobre accidentes, emisiones o precios fuera de la hoja.</w:t>
      </w:r>
    </w:p>
    <w:p>
      <w:pPr>
        <w:pStyle w:val="Heading1"/>
      </w:pPr>
      <w:r>
        <w:t>Tarea</w:t>
      </w:r>
    </w:p>
    <w:p>
      <w:pPr>
        <w:pStyle w:val="ListNumber"/>
      </w:pPr>
      <w:r>
        <w:t>Recomienda A o B para el piloto y define qué objetivo prioriza tu elección.</w:t>
      </w:r>
    </w:p>
    <w:p>
      <w:pPr>
        <w:pStyle w:val="ListNumber"/>
      </w:pPr>
      <w:r>
        <w:t>Usa al menos dos comparaciones de la tabla, incluyendo una por distancia.</w:t>
      </w:r>
    </w:p>
    <w:p>
      <w:pPr>
        <w:pStyle w:val="ListNumber"/>
      </w:pPr>
      <w:r>
        <w:t>Reconoce una limitación de la encuesta y explica cómo afecta el alcance de la recomendación.</w:t>
      </w:r>
    </w:p>
    <w:p>
      <w:pPr>
        <w:pStyle w:val="ListNumber"/>
      </w:pPr>
      <w:r>
        <w:t>Expone un trade-off: qué necesidad atiende peor la opción que eliges.</w:t>
      </w:r>
    </w:p>
    <w:p>
      <w:pPr>
        <w:pStyle w:val="Heading1"/>
      </w:pPr>
      <w:r>
        <w:t>Entregable</w:t>
      </w:r>
    </w:p>
    <w:p>
      <w:r>
        <w:t>Extensión orientativa: memo de 500 a 900 palabras. No busques tasas de transporte, accidentes ni emisiones. Se evalúa la calidad del argumento con este dossier, no que exista una única política correcta. La extensión indicada es una guía de formato. No constituye por sí misma un criterio de evaluación; el trabajo se evalúa por la evidencia y el razonamiento solicitados.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770"/>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770"/>
        <w:sz w:val="17"/>
      </w:rPr>
      <w:t>Pruebas Personalizadas | Actividad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Pruebas Personalizadas</dc:subject>
  <dc:creator>Corpus de evaluación</dc:creator>
  <cp:keywords>evaluación, comprensión, evidencia</cp:keywords>
  <dc:description>generated by python-docx</dc:description>
  <cp:lastModifiedBy>Corpus de evaluación</cp:lastModifiedBy>
  <cp:revision>1</cp:revision>
  <dcterms:created xsi:type="dcterms:W3CDTF">2013-12-23T23:15:00Z</dcterms:created>
  <dcterms:modified xsi:type="dcterms:W3CDTF">2013-12-23T23:15:00Z</dcterms:modified>
  <cp:category/>
</cp:coreProperties>
</file>