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ACTIVIDAD 10</w:t>
      </w:r>
    </w:p>
    <w:p>
      <w:pPr>
        <w:spacing w:before="0" w:after="80"/>
      </w:pPr>
      <w:r>
        <w:rPr>
          <w:rFonts w:ascii="Calibri" w:hAnsi="Calibri"/>
          <w:b/>
          <w:color w:val="000000"/>
          <w:sz w:val="43"/>
        </w:rPr>
        <w:t>Lectura de un despliegue A/B de onboarding</w:t>
      </w:r>
    </w:p>
    <w:p>
      <w:pPr>
        <w:spacing w:before="0" w:after="160"/>
      </w:pPr>
      <w:r>
        <w:rPr>
          <w:rFonts w:ascii="Calibri" w:hAnsi="Calibri"/>
          <w:i/>
          <w:color w:val="606770"/>
          <w:sz w:val="23"/>
        </w:rPr>
        <w:t>Análisis segmentado de tasas y validez de comparación</w:t>
      </w:r>
    </w:p>
    <w:p>
      <w:pPr>
        <w:spacing w:before="0" w:after="40"/>
      </w:pPr>
      <w:r>
        <w:rPr>
          <w:rFonts w:ascii="Calibri" w:hAnsi="Calibri"/>
          <w:b/>
          <w:color w:val="202A35"/>
          <w:sz w:val="19"/>
        </w:rPr>
        <w:t xml:space="preserve">Disciplina: </w:t>
      </w:r>
      <w:r>
        <w:rPr>
          <w:rFonts w:ascii="Calibri" w:hAnsi="Calibri"/>
          <w:color w:val="202A35"/>
          <w:sz w:val="19"/>
        </w:rPr>
        <w:t>Análisis de datos / producto digital</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difícil</w:t>
      </w:r>
    </w:p>
    <w:p>
      <w:pPr>
        <w:pStyle w:val="Heading1"/>
      </w:pPr>
      <w:r>
        <w:t>Escenario</w:t>
      </w:r>
    </w:p>
    <w:p>
      <w:r>
        <w:t>Un equipo probó una variante de onboarding durante dos semanas. 'Activada' significa que la cuenta completó los cuatro pasos dentro de 24 horas. La tabla usa como denominador todas las cuentas asignadas.</w:t>
      </w:r>
    </w:p>
    <w:p>
      <w:pPr>
        <w:pStyle w:val="Heading2"/>
      </w:pPr>
      <w:r>
        <w:t>Resultados</w:t>
      </w:r>
    </w:p>
    <w:tbl>
      <w:tblPr>
        <w:tblStyle w:val="TableGrid"/>
        <w:tblW w:type="dxa" w:w="9360"/>
        <w:jc w:val="left"/>
        <w:tblLayout w:type="fixed"/>
        <w:tblLook w:firstColumn="1" w:firstRow="1" w:lastColumn="0" w:lastRow="0" w:noHBand="0" w:noVBand="1" w:val="04A0"/>
        <w:tblInd w:w="120" w:type="dxa"/>
      </w:tblPr>
      <w:tblGrid>
        <w:gridCol w:w="2300"/>
        <w:gridCol w:w="2300"/>
        <w:gridCol w:w="2380"/>
        <w:gridCol w:w="2380"/>
      </w:tblGrid>
      <w:tr>
        <w:trPr>
          <w:tblHeader w:val="true"/>
        </w:trPr>
        <w:tc>
          <w:tcPr>
            <w:tcW w:type="dxa" w:w="2300"/>
            <w:tcMar>
              <w:top w:w="80" w:type="dxa"/>
              <w:start w:w="120" w:type="dxa"/>
              <w:bottom w:w="80" w:type="dxa"/>
              <w:end w:w="120" w:type="dxa"/>
            </w:tcMar>
            <w:shd w:fill="F2F4F7"/>
            <w:vAlign w:val="center"/>
          </w:tcPr>
          <w:p>
            <w:pPr>
              <w:spacing w:after="40"/>
            </w:pPr>
            <w:r>
              <w:rPr>
                <w:rFonts w:ascii="Calibri" w:hAnsi="Calibri"/>
                <w:b/>
                <w:color w:val="202A35"/>
                <w:sz w:val="19"/>
              </w:rPr>
              <w:t>Versión</w:t>
            </w:r>
          </w:p>
        </w:tc>
        <w:tc>
          <w:tcPr>
            <w:tcW w:type="dxa" w:w="2300"/>
            <w:tcMar>
              <w:top w:w="80" w:type="dxa"/>
              <w:start w:w="120" w:type="dxa"/>
              <w:bottom w:w="80" w:type="dxa"/>
              <w:end w:w="120" w:type="dxa"/>
            </w:tcMar>
            <w:shd w:fill="F2F4F7"/>
            <w:vAlign w:val="center"/>
          </w:tcPr>
          <w:p>
            <w:pPr>
              <w:spacing w:after="40"/>
            </w:pPr>
            <w:r>
              <w:rPr>
                <w:rFonts w:ascii="Calibri" w:hAnsi="Calibri"/>
                <w:b/>
                <w:color w:val="202A35"/>
                <w:sz w:val="19"/>
              </w:rPr>
              <w:t>Dispositivo</w:t>
            </w:r>
          </w:p>
        </w:tc>
        <w:tc>
          <w:tcPr>
            <w:tcW w:type="dxa" w:w="2380"/>
            <w:tcMar>
              <w:top w:w="80" w:type="dxa"/>
              <w:start w:w="120" w:type="dxa"/>
              <w:bottom w:w="80" w:type="dxa"/>
              <w:end w:w="120" w:type="dxa"/>
            </w:tcMar>
            <w:shd w:fill="F2F4F7"/>
            <w:vAlign w:val="center"/>
          </w:tcPr>
          <w:p>
            <w:pPr>
              <w:spacing w:after="40"/>
            </w:pPr>
            <w:r>
              <w:rPr>
                <w:rFonts w:ascii="Calibri" w:hAnsi="Calibri"/>
                <w:b/>
                <w:color w:val="202A35"/>
                <w:sz w:val="19"/>
              </w:rPr>
              <w:t>Asignadas</w:t>
            </w:r>
          </w:p>
        </w:tc>
        <w:tc>
          <w:tcPr>
            <w:tcW w:type="dxa" w:w="2380"/>
            <w:tcMar>
              <w:top w:w="80" w:type="dxa"/>
              <w:start w:w="120" w:type="dxa"/>
              <w:bottom w:w="80" w:type="dxa"/>
              <w:end w:w="120" w:type="dxa"/>
            </w:tcMar>
            <w:shd w:fill="F2F4F7"/>
            <w:vAlign w:val="center"/>
          </w:tcPr>
          <w:p>
            <w:pPr>
              <w:spacing w:after="40"/>
            </w:pPr>
            <w:r>
              <w:rPr>
                <w:rFonts w:ascii="Calibri" w:hAnsi="Calibri"/>
                <w:b/>
                <w:color w:val="202A35"/>
                <w:sz w:val="19"/>
              </w:rPr>
              <w:t>Activadas</w:t>
            </w:r>
          </w:p>
        </w:tc>
      </w:tr>
      <w:tr>
        <w:tc>
          <w:tcPr>
            <w:tcW w:type="dxa" w:w="2300"/>
            <w:vAlign w:val="center"/>
          </w:tcPr>
          <w:p>
            <w:pPr>
              <w:spacing w:after="20" w:line="252" w:lineRule="auto"/>
            </w:pPr>
            <w:r>
              <w:rPr>
                <w:rFonts w:ascii="Calibri" w:hAnsi="Calibri"/>
                <w:color w:val="202A35"/>
                <w:sz w:val="18"/>
              </w:rPr>
              <w:t>Control</w:t>
            </w:r>
          </w:p>
        </w:tc>
        <w:tc>
          <w:tcPr>
            <w:tcW w:type="dxa" w:w="2300"/>
            <w:vAlign w:val="center"/>
          </w:tcPr>
          <w:p>
            <w:pPr>
              <w:spacing w:after="20" w:line="252" w:lineRule="auto"/>
            </w:pPr>
            <w:r>
              <w:rPr>
                <w:rFonts w:ascii="Calibri" w:hAnsi="Calibri"/>
                <w:color w:val="202A35"/>
                <w:sz w:val="18"/>
              </w:rPr>
              <w:t>Escritorio</w:t>
            </w:r>
          </w:p>
        </w:tc>
        <w:tc>
          <w:tcPr>
            <w:tcW w:type="dxa" w:w="2380"/>
            <w:vAlign w:val="center"/>
          </w:tcPr>
          <w:p>
            <w:pPr>
              <w:spacing w:after="20" w:line="252" w:lineRule="auto"/>
            </w:pPr>
            <w:r>
              <w:rPr>
                <w:rFonts w:ascii="Calibri" w:hAnsi="Calibri"/>
                <w:color w:val="202A35"/>
                <w:sz w:val="18"/>
              </w:rPr>
              <w:t>800</w:t>
            </w:r>
          </w:p>
        </w:tc>
        <w:tc>
          <w:tcPr>
            <w:tcW w:type="dxa" w:w="2380"/>
            <w:vAlign w:val="center"/>
          </w:tcPr>
          <w:p>
            <w:pPr>
              <w:spacing w:after="20" w:line="252" w:lineRule="auto"/>
            </w:pPr>
            <w:r>
              <w:rPr>
                <w:rFonts w:ascii="Calibri" w:hAnsi="Calibri"/>
                <w:color w:val="202A35"/>
                <w:sz w:val="18"/>
              </w:rPr>
              <w:t>720</w:t>
            </w:r>
          </w:p>
        </w:tc>
      </w:tr>
      <w:tr>
        <w:tc>
          <w:tcPr>
            <w:tcW w:type="dxa" w:w="2300"/>
            <w:vAlign w:val="center"/>
          </w:tcPr>
          <w:p>
            <w:pPr>
              <w:spacing w:after="20" w:line="252" w:lineRule="auto"/>
            </w:pPr>
            <w:r>
              <w:rPr>
                <w:rFonts w:ascii="Calibri" w:hAnsi="Calibri"/>
                <w:color w:val="202A35"/>
                <w:sz w:val="18"/>
              </w:rPr>
              <w:t>Control</w:t>
            </w:r>
          </w:p>
        </w:tc>
        <w:tc>
          <w:tcPr>
            <w:tcW w:type="dxa" w:w="2300"/>
            <w:vAlign w:val="center"/>
          </w:tcPr>
          <w:p>
            <w:pPr>
              <w:spacing w:after="20" w:line="252" w:lineRule="auto"/>
            </w:pPr>
            <w:r>
              <w:rPr>
                <w:rFonts w:ascii="Calibri" w:hAnsi="Calibri"/>
                <w:color w:val="202A35"/>
                <w:sz w:val="18"/>
              </w:rPr>
              <w:t>Móvil</w:t>
            </w:r>
          </w:p>
        </w:tc>
        <w:tc>
          <w:tcPr>
            <w:tcW w:type="dxa" w:w="2380"/>
            <w:vAlign w:val="center"/>
          </w:tcPr>
          <w:p>
            <w:pPr>
              <w:spacing w:after="20" w:line="252" w:lineRule="auto"/>
            </w:pPr>
            <w:r>
              <w:rPr>
                <w:rFonts w:ascii="Calibri" w:hAnsi="Calibri"/>
                <w:color w:val="202A35"/>
                <w:sz w:val="18"/>
              </w:rPr>
              <w:t>1.200</w:t>
            </w:r>
          </w:p>
        </w:tc>
        <w:tc>
          <w:tcPr>
            <w:tcW w:type="dxa" w:w="2380"/>
            <w:vAlign w:val="center"/>
          </w:tcPr>
          <w:p>
            <w:pPr>
              <w:spacing w:after="20" w:line="252" w:lineRule="auto"/>
            </w:pPr>
            <w:r>
              <w:rPr>
                <w:rFonts w:ascii="Calibri" w:hAnsi="Calibri"/>
                <w:color w:val="202A35"/>
                <w:sz w:val="18"/>
              </w:rPr>
              <w:t>660</w:t>
            </w:r>
          </w:p>
        </w:tc>
      </w:tr>
      <w:tr>
        <w:tc>
          <w:tcPr>
            <w:tcW w:type="dxa" w:w="2300"/>
            <w:vAlign w:val="center"/>
          </w:tcPr>
          <w:p>
            <w:pPr>
              <w:spacing w:after="20" w:line="252" w:lineRule="auto"/>
            </w:pPr>
            <w:r>
              <w:rPr>
                <w:rFonts w:ascii="Calibri" w:hAnsi="Calibri"/>
                <w:color w:val="202A35"/>
                <w:sz w:val="18"/>
              </w:rPr>
              <w:t>Variante</w:t>
            </w:r>
          </w:p>
        </w:tc>
        <w:tc>
          <w:tcPr>
            <w:tcW w:type="dxa" w:w="2300"/>
            <w:vAlign w:val="center"/>
          </w:tcPr>
          <w:p>
            <w:pPr>
              <w:spacing w:after="20" w:line="252" w:lineRule="auto"/>
            </w:pPr>
            <w:r>
              <w:rPr>
                <w:rFonts w:ascii="Calibri" w:hAnsi="Calibri"/>
                <w:color w:val="202A35"/>
                <w:sz w:val="18"/>
              </w:rPr>
              <w:t>Escritorio</w:t>
            </w:r>
          </w:p>
        </w:tc>
        <w:tc>
          <w:tcPr>
            <w:tcW w:type="dxa" w:w="2380"/>
            <w:vAlign w:val="center"/>
          </w:tcPr>
          <w:p>
            <w:pPr>
              <w:spacing w:after="20" w:line="252" w:lineRule="auto"/>
            </w:pPr>
            <w:r>
              <w:rPr>
                <w:rFonts w:ascii="Calibri" w:hAnsi="Calibri"/>
                <w:color w:val="202A35"/>
                <w:sz w:val="18"/>
              </w:rPr>
              <w:t>1.200</w:t>
            </w:r>
          </w:p>
        </w:tc>
        <w:tc>
          <w:tcPr>
            <w:tcW w:type="dxa" w:w="2380"/>
            <w:vAlign w:val="center"/>
          </w:tcPr>
          <w:p>
            <w:pPr>
              <w:spacing w:after="20" w:line="252" w:lineRule="auto"/>
            </w:pPr>
            <w:r>
              <w:rPr>
                <w:rFonts w:ascii="Calibri" w:hAnsi="Calibri"/>
                <w:color w:val="202A35"/>
                <w:sz w:val="18"/>
              </w:rPr>
              <w:t>1.020</w:t>
            </w:r>
          </w:p>
        </w:tc>
      </w:tr>
      <w:tr>
        <w:tc>
          <w:tcPr>
            <w:tcW w:type="dxa" w:w="2300"/>
            <w:vAlign w:val="center"/>
          </w:tcPr>
          <w:p>
            <w:pPr>
              <w:spacing w:after="20" w:line="252" w:lineRule="auto"/>
            </w:pPr>
            <w:r>
              <w:rPr>
                <w:rFonts w:ascii="Calibri" w:hAnsi="Calibri"/>
                <w:color w:val="202A35"/>
                <w:sz w:val="18"/>
              </w:rPr>
              <w:t>Variante</w:t>
            </w:r>
          </w:p>
        </w:tc>
        <w:tc>
          <w:tcPr>
            <w:tcW w:type="dxa" w:w="2300"/>
            <w:vAlign w:val="center"/>
          </w:tcPr>
          <w:p>
            <w:pPr>
              <w:spacing w:after="20" w:line="252" w:lineRule="auto"/>
            </w:pPr>
            <w:r>
              <w:rPr>
                <w:rFonts w:ascii="Calibri" w:hAnsi="Calibri"/>
                <w:color w:val="202A35"/>
                <w:sz w:val="18"/>
              </w:rPr>
              <w:t>Móvil</w:t>
            </w:r>
          </w:p>
        </w:tc>
        <w:tc>
          <w:tcPr>
            <w:tcW w:type="dxa" w:w="2380"/>
            <w:vAlign w:val="center"/>
          </w:tcPr>
          <w:p>
            <w:pPr>
              <w:spacing w:after="20" w:line="252" w:lineRule="auto"/>
            </w:pPr>
            <w:r>
              <w:rPr>
                <w:rFonts w:ascii="Calibri" w:hAnsi="Calibri"/>
                <w:color w:val="202A35"/>
                <w:sz w:val="18"/>
              </w:rPr>
              <w:t>800</w:t>
            </w:r>
          </w:p>
        </w:tc>
        <w:tc>
          <w:tcPr>
            <w:tcW w:type="dxa" w:w="2380"/>
            <w:vAlign w:val="center"/>
          </w:tcPr>
          <w:p>
            <w:pPr>
              <w:spacing w:after="20" w:line="252" w:lineRule="auto"/>
            </w:pPr>
            <w:r>
              <w:rPr>
                <w:rFonts w:ascii="Calibri" w:hAnsi="Calibri"/>
                <w:color w:val="202A35"/>
                <w:sz w:val="18"/>
              </w:rPr>
              <w:t>480</w:t>
            </w:r>
          </w:p>
        </w:tc>
      </w:tr>
    </w:tbl>
    <w:p>
      <w:pPr>
        <w:pStyle w:val="Heading2"/>
      </w:pPr>
      <w:r>
        <w:t>Notas de implementación</w:t>
      </w:r>
    </w:p>
    <w:p>
      <w:pPr>
        <w:pStyle w:val="ListBullet"/>
      </w:pPr>
      <w:r>
        <w:t>Control total: 2.000 asignadas. Variante total: 2.000 asignadas.</w:t>
      </w:r>
    </w:p>
    <w:p>
      <w:pPr>
        <w:pStyle w:val="ListBullet"/>
      </w:pPr>
      <w:r>
        <w:t>La variante se habilitó principalmente en mañanas de días hábiles; el control quedó más expuesto por las tardes y fines de semana.</w:t>
      </w:r>
    </w:p>
    <w:p>
      <w:pPr>
        <w:pStyle w:val="ListBullet"/>
      </w:pPr>
      <w:r>
        <w:t>La asignación no fue aleatoria. El dispositivo se registró antes de mostrar la versión.</w:t>
      </w:r>
    </w:p>
    <w:p>
      <w:pPr>
        <w:pStyle w:val="ListBullet"/>
      </w:pPr>
      <w:r>
        <w:t>No se proporciona país, fuente de tráfico, experiencia previa ni intervalos de confianza.</w:t>
      </w:r>
    </w:p>
    <w:p>
      <w:pPr>
        <w:pStyle w:val="Heading2"/>
      </w:pPr>
      <w:r>
        <w:t>Decisión de producto</w:t>
      </w:r>
    </w:p>
    <w:p>
      <w:r>
        <w:t>La dirección debe decidir si mantiene el control, extiende la variante, limita su uso a un dispositivo o diseña una nueva prueba. No ha definido un umbral mínimo de mejora. Por eso la recomendación debe ser provisional y mostrar qué patrón descriptivo la motiva, qué riesgo de implementación impide una conclusión causal y qué información cambiaría la decisión.</w:t>
      </w:r>
    </w:p>
    <w:p>
      <w:r>
        <w:t>Los totales fueron balanceados por versión, pero no por dispositivo: la variante recibió una proporción mayor de escritorio y el control una proporción mayor de móvil. Como las tasas base difieren mucho entre dispositivos, el resultado global combina desempeño dentro de segmentos y composición de la población asignada.</w:t>
      </w:r>
    </w:p>
    <w:p>
      <w:pPr>
        <w:pStyle w:val="Heading2"/>
      </w:pPr>
      <w:r>
        <w:t>Convenciones de cálculo</w:t>
      </w:r>
    </w:p>
    <w:p>
      <w:pPr>
        <w:pStyle w:val="ListBullet"/>
      </w:pPr>
      <w:r>
        <w:t>Calcula cada tasa como activadas dividido por asignadas dentro de la misma versión y dispositivo. Presenta numerador, denominador y porcentaje.</w:t>
      </w:r>
    </w:p>
    <w:p>
      <w:pPr>
        <w:pStyle w:val="ListBullet"/>
      </w:pPr>
      <w:r>
        <w:t>Para la tasa global, suma activadas de ambos dispositivos dentro de una versión y divide por sus 2.000 cuentas asignadas.</w:t>
      </w:r>
    </w:p>
    <w:p>
      <w:pPr>
        <w:pStyle w:val="ListBullet"/>
      </w:pPr>
      <w:r>
        <w:t>Expresa diferencias en puntos porcentuales cuando restes tasas. No sumes porcentajes de segmentos con denominadores distintos.</w:t>
      </w:r>
    </w:p>
    <w:p>
      <w:pPr>
        <w:pStyle w:val="ListBullet"/>
      </w:pPr>
      <w:r>
        <w:t>No se exige una prueba de significación. La ausencia de intervalos limita precisión, pero no sustituye el problema de asignación no aleatoria.</w:t>
      </w:r>
    </w:p>
    <w:p>
      <w:pPr>
        <w:pStyle w:val="Heading2"/>
      </w:pPr>
      <w:r>
        <w:t>Validez y siguiente paso</w:t>
      </w:r>
    </w:p>
    <w:p>
      <w:r>
        <w:t>La exposición por horario puede estar relacionada con tipo de usuario, urgencia o fuente de tráfico, variables no incluidas. Un nuevo diseño puede aleatorizar dentro de dispositivo y bloques horarios, o al menos recolectar una variable concreta que permita examinar comparabilidad. Explica qué sesgo o mezcla resolvería; pedir 'más datos' sin especificar su función no basta.</w:t>
      </w:r>
    </w:p>
    <w:p>
      <w:pPr>
        <w:pStyle w:val="Heading2"/>
      </w:pPr>
      <w:r>
        <w:t>Audiencia de los artefactos</w:t>
      </w:r>
    </w:p>
    <w:p>
      <w:r>
        <w:t>El reporte se dirige a producto y operaciones. Debe ser comprensible sin abrir el archivo de cálculos, aunque ese archivo conserva la trazabilidad numérica. Evita código, tests, benchmarks externos o reglas corporativas inventadas. Los términos en inglés son legítimos cuando describen exactamente una tasa, segmento o decisión presente.</w:t>
      </w:r>
    </w:p>
    <w:p>
      <w:pPr>
        <w:pStyle w:val="Heading1"/>
      </w:pPr>
      <w:r>
        <w:t>Tarea</w:t>
      </w:r>
    </w:p>
    <w:p>
      <w:pPr>
        <w:pStyle w:val="ListNumber"/>
      </w:pPr>
      <w:r>
        <w:t>Calcula tasas de activación globales y por dispositivo para ambas versiones.</w:t>
      </w:r>
    </w:p>
    <w:p>
      <w:pPr>
        <w:pStyle w:val="ListNumber"/>
      </w:pPr>
      <w:r>
        <w:t>Explica por qué la comparación global puede conducir a una recomendación distinta de las comparaciones segmentadas.</w:t>
      </w:r>
    </w:p>
    <w:p>
      <w:pPr>
        <w:pStyle w:val="ListNumber"/>
      </w:pPr>
      <w:r>
        <w:t>Propón una decisión de producto provisional y distingue resultado descriptivo de efecto causal.</w:t>
      </w:r>
    </w:p>
    <w:p>
      <w:pPr>
        <w:pStyle w:val="ListNumber"/>
      </w:pPr>
      <w:r>
        <w:t>Describe un siguiente diseño o dato que mejore comparabilidad, explicando qué problema resuelve.</w:t>
      </w:r>
    </w:p>
    <w:p>
      <w:pPr>
        <w:pStyle w:val="Heading1"/>
      </w:pPr>
      <w:r>
        <w:t>Entregables</w:t>
      </w:r>
    </w:p>
    <w:p>
      <w:pPr>
        <w:pStyle w:val="ListNumber"/>
      </w:pPr>
      <w:r>
        <w:t>Extensión orientativa: report.pdf o report.md de 600 a 1.000 palabras. La extensión indicada es una guía de formato. No constituye por sí misma un criterio de evaluación; el trabajo se evalúa por la evidencia y el razonamiento solicitados.</w:t>
      </w:r>
    </w:p>
    <w:p>
      <w:pPr>
        <w:pStyle w:val="ListNumber"/>
      </w:pPr>
      <w:r>
        <w:t>calculations.txt con numeradores, denominadores y tasas; no incluyas código ni tests.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Decisiones admisibles: </w:t>
            </w:r>
            <w:r>
              <w:rPr>
                <w:rFonts w:ascii="Calibri" w:hAnsi="Calibri"/>
                <w:color w:val="202A35"/>
                <w:sz w:val="20"/>
              </w:rPr>
              <w:t>Se puede recomendar no lanzar, lanzar solo en un segmento o realizar un experimento aleatorio. La calidad depende de la coherencia entre decisión, tasas y límites.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