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ACTIVIDAD 12</w:t>
      </w:r>
    </w:p>
    <w:p>
      <w:pPr>
        <w:spacing w:before="0" w:after="80"/>
      </w:pPr>
      <w:r>
        <w:rPr>
          <w:rFonts w:ascii="Calibri" w:hAnsi="Calibri"/>
          <w:b/>
          <w:color w:val="000000"/>
          <w:sz w:val="43"/>
        </w:rPr>
        <w:t>Asignación de dos jornadas de clínica móvil</w:t>
      </w:r>
    </w:p>
    <w:p>
      <w:pPr>
        <w:spacing w:before="0" w:after="160"/>
      </w:pPr>
      <w:r>
        <w:rPr>
          <w:rFonts w:ascii="Calibri" w:hAnsi="Calibri"/>
          <w:i/>
          <w:color w:val="606770"/>
          <w:sz w:val="23"/>
        </w:rPr>
        <w:t>Brief de salud pública con datos de capacidad, necesidad y voces de actores</w:t>
      </w:r>
    </w:p>
    <w:p>
      <w:pPr>
        <w:spacing w:before="0" w:after="40"/>
      </w:pPr>
      <w:r>
        <w:rPr>
          <w:rFonts w:ascii="Calibri" w:hAnsi="Calibri"/>
          <w:b/>
          <w:color w:val="202A35"/>
          <w:sz w:val="19"/>
        </w:rPr>
        <w:t xml:space="preserve">Disciplina: </w:t>
      </w:r>
      <w:r>
        <w:rPr>
          <w:rFonts w:ascii="Calibri" w:hAnsi="Calibri"/>
          <w:color w:val="202A35"/>
          <w:sz w:val="19"/>
        </w:rPr>
        <w:t>Salud pública / ciencias sociales</w:t>
      </w:r>
      <w:r>
        <w:rPr>
          <w:rFonts w:ascii="Calibri" w:hAnsi="Calibri"/>
          <w:color w:val="606770"/>
          <w:sz w:val="19"/>
        </w:rPr>
        <w:t xml:space="preserve">   |   </w:t>
      </w:r>
      <w:r>
        <w:rPr>
          <w:rFonts w:ascii="Calibri" w:hAnsi="Calibri"/>
          <w:b/>
          <w:color w:val="202A35"/>
          <w:sz w:val="19"/>
        </w:rPr>
        <w:t xml:space="preserve">Dificultad del paquete: </w:t>
      </w:r>
      <w:r>
        <w:rPr>
          <w:rFonts w:ascii="Calibri" w:hAnsi="Calibri"/>
          <w:color w:val="202A35"/>
          <w:sz w:val="19"/>
        </w:rPr>
        <w:t>difícil</w:t>
      </w:r>
    </w:p>
    <w:p>
      <w:pPr>
        <w:pStyle w:val="Heading1"/>
      </w:pPr>
      <w:r>
        <w:t>Decisión</w:t>
      </w:r>
    </w:p>
    <w:p>
      <w:r>
        <w:t>Una clínica móvil dispone de dos jornadas para el próximo mes. Cada jornada permite como máximo 24 atenciones y debe asignarse completa a una zona. Se pueden elegir dos zonas distintas o repetir una. La dirección pide 'maximizar acceso con atención a la equidad', sin fijar una ponderación única.</w:t>
      </w:r>
    </w:p>
    <w:p>
      <w:pPr>
        <w:pStyle w:val="Heading2"/>
      </w:pPr>
      <w:r>
        <w:t>Datos del mes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300"/>
        <w:gridCol w:w="2200"/>
        <w:gridCol w:w="2100"/>
        <w:gridCol w:w="1450"/>
        <w:gridCol w:w="121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Zona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Solicitudes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Controles prioritarios vencidos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Viaje medio a clínica fija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Inasistencia previa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02A35"/>
                <w:sz w:val="19"/>
              </w:rPr>
              <w:t>Días de clínica fija/semana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Norte</w:t>
            </w:r>
          </w:p>
        </w:tc>
        <w:tc>
          <w:tcPr>
            <w:tcW w:type="dxa" w:w="1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42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12</w:t>
            </w:r>
          </w:p>
        </w:tc>
        <w:tc>
          <w:tcPr>
            <w:tcW w:type="dxa" w:w="2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55 min</w:t>
            </w:r>
          </w:p>
        </w:tc>
        <w:tc>
          <w:tcPr>
            <w:tcW w:type="dxa" w:w="145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30%</w:t>
            </w:r>
          </w:p>
        </w:tc>
        <w:tc>
          <w:tcPr>
            <w:tcW w:type="dxa" w:w="121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0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Centro</w:t>
            </w:r>
          </w:p>
        </w:tc>
        <w:tc>
          <w:tcPr>
            <w:tcW w:type="dxa" w:w="1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60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18</w:t>
            </w:r>
          </w:p>
        </w:tc>
        <w:tc>
          <w:tcPr>
            <w:tcW w:type="dxa" w:w="2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20 min</w:t>
            </w:r>
          </w:p>
        </w:tc>
        <w:tc>
          <w:tcPr>
            <w:tcW w:type="dxa" w:w="145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10%</w:t>
            </w:r>
          </w:p>
        </w:tc>
        <w:tc>
          <w:tcPr>
            <w:tcW w:type="dxa" w:w="121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5</w:t>
            </w:r>
          </w:p>
        </w:tc>
      </w:tr>
      <w:tr>
        <w:tc>
          <w:tcPr>
            <w:tcW w:type="dxa" w:w="1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Sur</w:t>
            </w:r>
          </w:p>
        </w:tc>
        <w:tc>
          <w:tcPr>
            <w:tcW w:type="dxa" w:w="13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35</w:t>
            </w:r>
          </w:p>
        </w:tc>
        <w:tc>
          <w:tcPr>
            <w:tcW w:type="dxa" w:w="22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70 min</w:t>
            </w:r>
          </w:p>
        </w:tc>
        <w:tc>
          <w:tcPr>
            <w:tcW w:type="dxa" w:w="145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25%</w:t>
            </w:r>
          </w:p>
        </w:tc>
        <w:tc>
          <w:tcPr>
            <w:tcW w:type="dxa" w:w="1210"/>
            <w:vAlign w:val="center"/>
          </w:tcPr>
          <w:p>
            <w:pPr>
              <w:spacing w:after="20" w:line="252" w:lineRule="auto"/>
            </w:pPr>
            <w:r>
              <w:rPr>
                <w:rFonts w:ascii="Calibri" w:hAnsi="Calibri"/>
                <w:color w:val="202A35"/>
                <w:sz w:val="18"/>
              </w:rPr>
              <w:t>1</w:t>
            </w:r>
          </w:p>
        </w:tc>
      </w:tr>
    </w:tbl>
    <w:p>
      <w:pPr>
        <w:pStyle w:val="Heading2"/>
      </w:pPr>
      <w:r>
        <w:t>Voces autorizadas</w:t>
      </w:r>
    </w:p>
    <w:p>
      <w:pPr>
        <w:pStyle w:val="ListBullet"/>
      </w:pPr>
      <w:r>
        <w:t>Enfermera de Sur: 'Varios controles prioritarios requieren derivación posterior; la unidad móvil no tiene ecógrafo'.</w:t>
      </w:r>
    </w:p>
    <w:p>
      <w:pPr>
        <w:pStyle w:val="ListBullet"/>
      </w:pPr>
      <w:r>
        <w:t>Dirigente de Norte: 'El bus hacia la clínica fija solo pasa temprano martes y jueves; perderlo implica esperar una semana'.</w:t>
      </w:r>
    </w:p>
    <w:p>
      <w:pPr>
        <w:pStyle w:val="ListBullet"/>
      </w:pPr>
      <w:r>
        <w:t>Administradora de Centro: 'Aquí podríamos llenar 24 cupos con rapidez y reducir la lista visible'.</w:t>
      </w:r>
    </w:p>
    <w:p>
      <w:pPr>
        <w:pStyle w:val="ListBullet"/>
      </w:pPr>
      <w:r>
        <w:t>La tabla cuenta solicitudes, no pacientes únicos; una persona puede tener más de un control vencido.</w:t>
      </w:r>
    </w:p>
    <w:p>
      <w:pPr>
        <w:pStyle w:val="Heading2"/>
      </w:pPr>
      <w:r>
        <w:t>Reglas operativas</w:t>
      </w:r>
    </w:p>
    <w:p>
      <w:pPr>
        <w:pStyle w:val="ListBullet"/>
      </w:pPr>
      <w:r>
        <w:t>Los cupos se ofrecen primero a controles prioritarios vencidos y luego a otras solicitudes.</w:t>
      </w:r>
    </w:p>
    <w:p>
      <w:pPr>
        <w:pStyle w:val="ListBullet"/>
      </w:pPr>
      <w:r>
        <w:t>Una jornada no puede dividirse entre zonas. Un cupo no usado no se traslada automáticamente a otra jornada.</w:t>
      </w:r>
    </w:p>
    <w:p>
      <w:pPr>
        <w:pStyle w:val="ListBullet"/>
      </w:pPr>
      <w:r>
        <w:t>El brief no debe incluir nombres, teléfonos, ids clínicos ni diagnósticos individuales.</w:t>
      </w:r>
    </w:p>
    <w:p>
      <w:pPr>
        <w:pStyle w:val="Heading2"/>
      </w:pPr>
      <w:r>
        <w:t>Naturaleza de la decisión</w:t>
      </w:r>
    </w:p>
    <w:p>
      <w:r>
        <w:t>La frase 'maximizar acceso con atención a la equidad' no define una fórmula única. Un equipo puede priorizar controles vencidos, distancia a la clínica fija, ausencia de servicios locales, volumen de solicitudes o una combinación explícita. La decisión es defendible si formula la regla antes de aplicarla, calcula sus consecuencias y reconoce quién queda peor atendido.</w:t>
      </w:r>
    </w:p>
    <w:p>
      <w:r>
        <w:t>Cada jornada ofrece hasta 24 atenciones en una sola zona. Repetir zona da 48 cupos potenciales, pero no permite trasladar sobrantes a otra jornada. Como las solicitudes no equivalen a pacientes únicos y la inasistencia es histórica, no puede garantizarse cuántas personas distintas serán atendidas.</w:t>
      </w:r>
    </w:p>
    <w:p>
      <w:pPr>
        <w:pStyle w:val="Heading2"/>
      </w:pPr>
      <w:r>
        <w:t>Planificación del piloto</w:t>
      </w:r>
    </w:p>
    <w:p>
      <w:pPr>
        <w:pStyle w:val="ListBullet"/>
      </w:pPr>
      <w:r>
        <w:t>Los controles prioritarios reciben oferta primero. Calcula cuántos caben en una jornada y cuántas solicitudes quedarían sin cupo bajo el máximo teórico.</w:t>
      </w:r>
    </w:p>
    <w:p>
      <w:pPr>
        <w:pStyle w:val="ListBullet"/>
      </w:pPr>
      <w:r>
        <w:t>La distancia, los días de clínica fija y las voces de actores describen barreras diferentes. Explica cómo entran en tu regla sin convertir una cita en una tasa.</w:t>
      </w:r>
    </w:p>
    <w:p>
      <w:pPr>
        <w:pStyle w:val="ListBullet"/>
      </w:pPr>
      <w:r>
        <w:t>La advertencia sobre ecografía afecta factibilidad y derivación; no demuestra que la jornada en Sur sea inútil ni que todas las atenciones se completen allí.</w:t>
      </w:r>
    </w:p>
    <w:p>
      <w:pPr>
        <w:pStyle w:val="ListBullet"/>
      </w:pPr>
      <w:r>
        <w:t>El dato de inasistencia puede orientar seguimiento, pero no identifica causas ni permite descontar personas concretas antes de ofrecer cupos.</w:t>
      </w:r>
    </w:p>
    <w:p>
      <w:pPr>
        <w:pStyle w:val="Heading2"/>
      </w:pPr>
      <w:r>
        <w:t>Implementación y revisión</w:t>
      </w:r>
    </w:p>
    <w:p>
      <w:r>
        <w:t>El brief debe proponer cómo comunicar la asignación, qué dato agregado registrar y qué pregunta revisar después del mes piloto. Son apropiados cupos ofrecidos y usados, controles prioritarios atendidos, derivaciones completadas y tiempos de viaje declarados. No son apropiados listados nominales, teléfonos, diagnósticos o ids clínicos.</w:t>
      </w:r>
    </w:p>
    <w:p>
      <w:r>
        <w:t>La confianza comunitaria no puede certificarse con una pregunta corta ni con la tabla. Puede abordarse mediante decisiones observables: minimización de datos, consulta a actores, explicación transparente de la regla y un mecanismo de revisión. La rúbrica mantiene este criterio amplio para probar cuándo conviene preguntar por una acción concreta y cuándo abstenerse.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Comparabilidad: </w:t>
            </w:r>
            <w:r>
              <w:rPr>
                <w:rFonts w:ascii="Calibri" w:hAnsi="Calibri"/>
                <w:color w:val="202A35"/>
                <w:sz w:val="20"/>
              </w:rPr>
              <w:t>No se espera la misma asignación en todas las entregas. Sí se espera que toda decisión use dos jornadas de 24, respete indivisibilidad y privacidad, y haga visible la noción de acceso o equidad que guía el costo de oportunidad.</w:t>
            </w:r>
          </w:p>
        </w:tc>
      </w:tr>
    </w:tbl>
    <w:p>
      <w:pPr>
        <w:pStyle w:val="Heading1"/>
      </w:pPr>
      <w:r>
        <w:t>Tarea</w:t>
      </w:r>
    </w:p>
    <w:p>
      <w:pPr>
        <w:pStyle w:val="ListNumber"/>
      </w:pPr>
      <w:r>
        <w:t>Asigna las dos jornadas y formula una regla de decisión reproducible.</w:t>
      </w:r>
    </w:p>
    <w:p>
      <w:pPr>
        <w:pStyle w:val="ListNumber"/>
      </w:pPr>
      <w:r>
        <w:t>Calcula capacidad frente a solicitudes y controles prioritarios para las zonas elegidas y al menos una no elegida.</w:t>
      </w:r>
    </w:p>
    <w:p>
      <w:pPr>
        <w:pStyle w:val="ListNumber"/>
      </w:pPr>
      <w:r>
        <w:t>Integra una voz de actor como evidencia situada, sin tratarla como una estadística.</w:t>
      </w:r>
    </w:p>
    <w:p>
      <w:pPr>
        <w:pStyle w:val="ListNumber"/>
      </w:pPr>
      <w:r>
        <w:t>Explica un trade-off ético y una limitación de datos; propone qué revisar después del piloto.</w:t>
      </w:r>
    </w:p>
    <w:p>
      <w:pPr>
        <w:pStyle w:val="Heading1"/>
      </w:pPr>
      <w:r>
        <w:t>Entregables</w:t>
      </w:r>
    </w:p>
    <w:p>
      <w:pPr>
        <w:pStyle w:val="ListNumber"/>
      </w:pPr>
      <w:r>
        <w:t>Extensión orientativa: brief.pdf o brief.md de 650 a 1.100 palabras. La extensión indicada es una guía de formato. No constituye por sí misma un criterio de evaluación; el trabajo se evalúa por la evidencia y el razonamiento solicitados.</w:t>
      </w:r>
    </w:p>
    <w:p>
      <w:pPr>
        <w:pStyle w:val="ListNumber"/>
      </w:pPr>
      <w:r>
        <w:t>allocation_notes.txt con cálculos y supuestos, sin información individual.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06770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06770"/>
        <w:sz w:val="17"/>
      </w:rPr>
      <w:t>Pruebas Personalizadas | Actividad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A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Pruebas Personalizadas</dc:subject>
  <dc:creator>Corpus de evaluación</dc:creator>
  <cp:keywords>evaluación, comprensión, evidencia</cp:keywords>
  <dc:description>generated by python-docx</dc:description>
  <cp:lastModifiedBy>Corpus de evaluación</cp:lastModifiedBy>
  <cp:revision>1</cp:revision>
  <dcterms:created xsi:type="dcterms:W3CDTF">2013-12-23T23:15:00Z</dcterms:created>
  <dcterms:modified xsi:type="dcterms:W3CDTF">2013-12-23T23:15:00Z</dcterms:modified>
  <cp:category/>
</cp:coreProperties>
</file>