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Trazabilidad de invalidación de caché</w:t>
      </w:r>
    </w:p>
    <w:p>
      <w:pPr>
        <w:spacing w:after="200"/>
      </w:pPr>
      <w:r>
        <w:rPr>
          <w:b/>
          <w:color w:val="356B87"/>
          <w:sz w:val="18"/>
        </w:rPr>
        <w:t>Consigna oficial • caso CVA-CACHE-01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Clasificación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SYNTHETIC_ONLY_NO_STUDENT_DATA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Tiempo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 minutos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Formato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Respuesta abierta breve</w:t>
            </w:r>
          </w:p>
        </w:tc>
      </w:tr>
      <w:tr>
        <w:tc>
          <w:tcPr>
            <w:tcW w:type="dxa" w:w="2232"/>
            <w:vAlign w:val="center"/>
            <w:shd w:fill="E8F1F5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Materiales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Sólo el entregable sintético autorizado</w:t>
            </w:r>
          </w:p>
        </w:tc>
      </w:tr>
    </w:tbl>
    <w:p>
      <w:pPr>
        <w:pStyle w:val="Heading1"/>
      </w:pPr>
      <w:r>
        <w:t>Propósito</w:t>
      </w:r>
    </w:p>
    <w:p>
      <w:r>
        <w:t>Resultado de aprendizaje: explicar cómo un cambio en la fuente invalida una entrada almacenada y obliga a recalcular un resultado verificable.</w:t>
      </w:r>
    </w:p>
    <w:p>
      <w:pPr>
        <w:pStyle w:val="Heading1"/>
      </w:pPr>
      <w:r>
        <w:t>Consigna</w:t>
      </w:r>
    </w:p>
    <w:p>
      <w:r>
        <w:t>Entrega una explicación breve que conecte, en este orden, el cambio de la fuente, la invalidación de la entrada de caché, la nueva consulta y el recálculo. Justifica por qué reutilizar la entrada anterior podría devolver un resultado obsoleto. Usa únicamente la evidencia incluida en tu entregable.</w:t>
      </w:r>
    </w:p>
    <w:p>
      <w:pPr>
        <w:pStyle w:val="Heading1"/>
      </w:pPr>
      <w:r>
        <w:t>Producto esperado</w:t>
      </w:r>
    </w:p>
    <w:p>
      <w:r>
        <w:t>Un párrafo explicativo y una traza mínima que vinculen la regla de invalidación con el resultado observado después del cambio de fuente.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5"/>
          </w:tcPr>
          <w:p>
            <w:pPr>
              <w:spacing w:after="0"/>
            </w:pPr>
            <w:r>
              <w:rPr>
                <w:b/>
              </w:rPr>
              <w:t xml:space="preserve">Límite inferencial: </w:t>
            </w:r>
            <w:r>
              <w:t>No se pide inferir lenguaje de implementación, rendimiento, concurrencia ni la causa externa del cambio de fuente.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356B87"/>
        <w:sz w:val="14"/>
      </w:rPr>
      <w:t>SYNTHETIC_ONLY_NO_STUDENT_DATA  •  revisión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356B87"/>
        <w:sz w:val="15"/>
      </w:rPr>
      <w:t>CVA  |  PAQUETE CANÓNICO SINTÉTICO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56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sintética: trazabilidad de invalidación de caché</dc:title>
  <dc:subject>HARNESS_SEMANTIC_REMEDIATION</dc:subject>
  <dc:creator>CVA Harness Review</dc:creator>
  <cp:keywords>synthetic, qualification, cache invalidation</cp:keywords>
  <dc:description>Inert synthetic fixture; no student data.</dc:description>
  <cp:lastModifiedBy>CVA Harness Review</cp:lastModifiedBy>
  <cp:revision>1</cp:revision>
  <dcterms:created xsi:type="dcterms:W3CDTF">2026-08-13T12:00:00Z</dcterms:created>
  <dcterms:modified xsi:type="dcterms:W3CDTF">2026-08-13T12:00:00Z</dcterms:modified>
  <cp:category/>
</cp:coreProperties>
</file>