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Informe técnico breve</w:t>
      </w:r>
    </w:p>
    <w:p>
      <w:pPr>
        <w:spacing w:after="200"/>
      </w:pPr>
      <w:r>
        <w:rPr>
          <w:b/>
          <w:color w:val="356B87"/>
          <w:sz w:val="18"/>
        </w:rPr>
        <w:t>Entregable sintético suficiente • submission_cache_sufficient</w:t>
      </w:r>
    </w:p>
    <w:tbl>
      <w:tblPr>
        <w:tblStyle w:val="TableGrid"/>
        <w:tblW w:type="auto" w:w="0"/>
        <w:tblLook w:firstColumn="1" w:firstRow="1" w:lastColumn="0" w:lastRow="0" w:noHBand="0" w:noVBand="1" w:val="04A0"/>
      </w:tblPr>
      <w:tblGrid>
        <w:gridCol w:w="10166"/>
      </w:tblGrid>
      <w:tr>
        <w:tc>
          <w:tcPr>
            <w:tcW w:type="dxa" w:w="10166"/>
            <w:shd w:fill="E8F1F5"/>
          </w:tcPr>
          <w:p>
            <w:pPr>
              <w:spacing w:after="0"/>
            </w:pPr>
            <w:r>
              <w:rPr>
                <w:b/>
              </w:rPr>
              <w:t xml:space="preserve">Declaración: </w:t>
            </w:r>
            <w:r>
              <w:t>Contenido enteramente sintético; no representa a una persona ni contiene datos estudiantiles.</w:t>
            </w:r>
          </w:p>
        </w:tc>
      </w:tr>
    </w:tbl>
    <w:p>
      <w:pPr>
        <w:pStyle w:val="Heading1"/>
      </w:pPr>
      <w:r>
        <w:t>Mecanismo implementado</w:t>
      </w:r>
    </w:p>
    <w:p>
      <w:r>
        <w:t>Cuando cambia el hash de la fuente, el flujo invalida la entrada de caché antes de la siguiente consulta. Si conservara la entrada anterior, la consulta podría devolver un resultado calculado con la versión previa y, por tanto, obsoleto. Al no encontrar una entrada válida, la nueva consulta recalcula el valor desde la fuente actualizada.</w:t>
      </w:r>
    </w:p>
    <w:p>
      <w:pPr>
        <w:pStyle w:val="Heading1"/>
      </w:pPr>
      <w:r>
        <w:t>Prueba sintética</w:t>
      </w:r>
    </w:p>
    <w:p>
      <w:r>
        <w:t>La prueba registra 42 para la fuente v1, cambia la fuente a v2, ejecuta una nueva consulta y obtiene 57, el valor calculado desde v2.</w:t>
      </w:r>
    </w:p>
    <w:p>
      <w:pPr>
        <w:pStyle w:val="Heading1"/>
      </w:pPr>
      <w:r>
        <w:t>Alcance</w:t>
      </w:r>
    </w:p>
    <w:p>
      <w:r>
        <w:t>La traza demuestra el comportamiento localizado. No permite inferir rendimiento, consistencia concurrente ni lenguaje de implementación.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56B87"/>
        <w:sz w:val="14"/>
      </w:rPr>
      <w:t>SYNTHETIC_ONLY_NO_STUDENT_DATA  •  revisión 2026-08-13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356B87"/>
        <w:sz w:val="15"/>
      </w:rPr>
      <w:t>CVA  |  PAQUETE CANÓNICO SINTÉTICO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732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56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sintético suficiente: invalidación de caché</dc:title>
  <dc:subject>HARNESS_SEMANTIC_REMEDIATION</dc:subject>
  <dc:creator>CVA Harness Review</dc:creator>
  <cp:keywords>synthetic, qualification, cache invalidation</cp:keywords>
  <dc:description>Inert synthetic fixture; no student data.</dc:description>
  <cp:lastModifiedBy>CVA Harness Review</cp:lastModifiedBy>
  <cp:revision>1</cp:revision>
  <dcterms:created xsi:type="dcterms:W3CDTF">2026-08-13T12:00:00Z</dcterms:created>
  <dcterms:modified xsi:type="dcterms:W3CDTF">2026-08-13T12:00:00Z</dcterms:modified>
  <cp:category/>
</cp:coreProperties>
</file>