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ACTIVIDAD 07</w:t>
      </w:r>
    </w:p>
    <w:p>
      <w:pPr>
        <w:spacing w:before="0" w:after="80"/>
      </w:pPr>
      <w:r>
        <w:rPr>
          <w:rFonts w:ascii="Calibri" w:hAnsi="Calibri"/>
          <w:b/>
          <w:color w:val="000000"/>
          <w:sz w:val="43"/>
        </w:rPr>
        <w:t>Comparación de aislamiento térmico</w:t>
      </w:r>
    </w:p>
    <w:p>
      <w:pPr>
        <w:spacing w:before="0" w:after="160"/>
      </w:pPr>
      <w:r>
        <w:rPr>
          <w:rFonts w:ascii="Calibri" w:hAnsi="Calibri"/>
          <w:i/>
          <w:color w:val="606770"/>
          <w:sz w:val="23"/>
        </w:rPr>
        <w:t>Informe de laboratorio y registro de observaciones</w:t>
      </w:r>
    </w:p>
    <w:p>
      <w:pPr>
        <w:spacing w:before="0" w:after="40"/>
      </w:pPr>
      <w:r>
        <w:rPr>
          <w:rFonts w:ascii="Calibri" w:hAnsi="Calibri"/>
          <w:b/>
          <w:color w:val="202A35"/>
          <w:sz w:val="19"/>
        </w:rPr>
        <w:t xml:space="preserve">Disciplina: </w:t>
      </w:r>
      <w:r>
        <w:rPr>
          <w:rFonts w:ascii="Calibri" w:hAnsi="Calibri"/>
          <w:color w:val="202A35"/>
          <w:sz w:val="19"/>
        </w:rPr>
        <w:t>Ciencias físicas / laboratorio</w:t>
      </w:r>
      <w:r>
        <w:rPr>
          <w:rFonts w:ascii="Calibri" w:hAnsi="Calibri"/>
          <w:color w:val="606770"/>
          <w:sz w:val="19"/>
        </w:rPr>
        <w:t xml:space="preserve">   |   </w:t>
      </w:r>
      <w:r>
        <w:rPr>
          <w:rFonts w:ascii="Calibri" w:hAnsi="Calibri"/>
          <w:b/>
          <w:color w:val="202A35"/>
          <w:sz w:val="19"/>
        </w:rPr>
        <w:t xml:space="preserve">Dificultad del paquete: </w:t>
      </w:r>
      <w:r>
        <w:rPr>
          <w:rFonts w:ascii="Calibri" w:hAnsi="Calibri"/>
          <w:color w:val="202A35"/>
          <w:sz w:val="19"/>
        </w:rPr>
        <w:t>intermedia</w:t>
      </w:r>
    </w:p>
    <w:p>
      <w:pPr>
        <w:pStyle w:val="Heading1"/>
      </w:pPr>
      <w:r>
        <w:t>Objetivo</w:t>
      </w:r>
    </w:p>
    <w:p>
      <w:r>
        <w:t>Comparar tres envolturas para determinar cuál reduce más la pérdida de temperatura de agua caliente durante 15 minutos.</w:t>
      </w:r>
    </w:p>
    <w:p>
      <w:pPr>
        <w:pStyle w:val="Heading2"/>
      </w:pPr>
      <w:r>
        <w:t>Protocolo común</w:t>
      </w:r>
    </w:p>
    <w:p>
      <w:pPr>
        <w:pStyle w:val="ListNumber"/>
      </w:pPr>
      <w:r>
        <w:t>Usa tres tazas iguales con el mismo volumen de agua. Envuelve una con lana, una con papel corrugado y una con lámina de aluminio; deja la parte superior igual en las tres.</w:t>
      </w:r>
    </w:p>
    <w:p>
      <w:pPr>
        <w:pStyle w:val="ListNumber"/>
      </w:pPr>
      <w:r>
        <w:t>Procura iniciar cada taza entre 68 y 72 grados Celsius. Registra temperatura en 0, 5, 10 y 15 minutos.</w:t>
      </w:r>
    </w:p>
    <w:p>
      <w:pPr>
        <w:pStyle w:val="ListNumber"/>
      </w:pPr>
      <w:r>
        <w:t>Mide siempre en el mismo orden y anota cualquier derrame, demora, cambio de termómetro o contacto inusual.</w:t>
      </w:r>
    </w:p>
    <w:p>
      <w:pPr>
        <w:pStyle w:val="ListNumber"/>
      </w:pPr>
      <w:r>
        <w:t>Calcula caída total como temperatura inicial menos temperatura a 15 minutos. Una caída menor indica mayor retención térmica en este montaje.</w:t>
      </w:r>
    </w:p>
    <w:p>
      <w:pPr>
        <w:pStyle w:val="Heading2"/>
      </w:pPr>
      <w:r>
        <w:t>Principios autorizados</w:t>
      </w:r>
    </w:p>
    <w:p>
      <w:pPr>
        <w:pStyle w:val="ListBullet"/>
      </w:pPr>
      <w:r>
        <w:t>La energía térmica se transfiere desde el agua más caliente hacia el entorno más frío.</w:t>
      </w:r>
    </w:p>
    <w:p>
      <w:pPr>
        <w:pStyle w:val="ListBullet"/>
      </w:pPr>
      <w:r>
        <w:t>En este protocolo, una envoltura se interpreta como mejor aislante si, con condiciones comparables, el agua presenta menor caída de temperatura.</w:t>
      </w:r>
    </w:p>
    <w:p>
      <w:pPr>
        <w:pStyle w:val="ListBullet"/>
      </w:pPr>
      <w:r>
        <w:t>Diferencias iniciales o incidentes de medición pueden afectar una comparación; deben discutirse, no ocultarse.</w:t>
      </w:r>
    </w:p>
    <w:p>
      <w:pPr>
        <w:pStyle w:val="Heading2"/>
      </w:pPr>
      <w:r>
        <w:t>Condiciones del laboratorio</w:t>
      </w:r>
    </w:p>
    <w:p>
      <w:r>
        <w:t>Cada mesa realiza una sola corrida con sus tres tazas. El agua se sirve desde la misma jarra, pero puede haber diferencias de hasta dos grados en las lecturas iniciales. El termómetro se comparte y se limpia entre mediciones. La sala permanece abierta al tránsito del curso; no se registran humedad, temperatura ambiente ni velocidad del aire.</w:t>
      </w:r>
    </w:p>
    <w:p>
      <w:r>
        <w:t>El protocolo busca una comparación interna, no medir una propiedad universal de los materiales. La parte superior de las tazas queda abierta en las tres condiciones, por lo que la pérdida observada combina procesos que el montaje no separa. Las palabras 'aislante' y 'retención' deben interpretarse dentro de este procedimiento.</w:t>
      </w:r>
    </w:p>
    <w:p>
      <w:pPr>
        <w:pStyle w:val="Heading2"/>
      </w:pPr>
      <w:r>
        <w:t>Relación entre los dos artefactos</w:t>
      </w:r>
    </w:p>
    <w:p>
      <w:pPr>
        <w:pStyle w:val="ListBullet"/>
      </w:pPr>
      <w:r>
        <w:t>El cuaderno conserva lecturas en orden, cambios, demoras y observaciones hechas durante la corrida. No debe reescribirse como si todo hubiera ocurrido sin incidentes.</w:t>
      </w:r>
    </w:p>
    <w:p>
      <w:pPr>
        <w:pStyle w:val="ListBullet"/>
      </w:pPr>
      <w:r>
        <w:t>El informe organiza y calcula. Si corrige una transcripción, debe explicar la corrección y mantener trazabilidad con el cuaderno.</w:t>
      </w:r>
    </w:p>
    <w:p>
      <w:pPr>
        <w:pStyle w:val="ListBullet"/>
      </w:pPr>
      <w:r>
        <w:t>Una conclusión puede usar la caída total y también el patrón intermedio. Si ambos apuntan en direcciones distintas, la tensión debe quedar visible.</w:t>
      </w:r>
    </w:p>
    <w:p>
      <w:pPr>
        <w:pStyle w:val="ListBullet"/>
      </w:pPr>
      <w:r>
        <w:t>La discusión de calidad experimental debe nombrar una desviación concreta y explicar si podría aumentar, disminuir o volver incierta una diferencia.</w:t>
      </w:r>
    </w:p>
    <w:p>
      <w:pPr>
        <w:pStyle w:val="Heading2"/>
      </w:pPr>
      <w:r>
        <w:t>Audiencia y límites</w:t>
      </w:r>
    </w:p>
    <w:p>
      <w:r>
        <w:t>El informe será leído por otro grupo que repetirá el montaje. Incluye suficiente detalle para que pueda reconstruir qué comparaste y qué precaución tomarías, pero no conviertas el texto en un manual general de termodinámica. No se requieren conductividades, fórmulas de flujo de calor ni búsqueda externa.</w:t>
      </w:r>
    </w:p>
    <w:p>
      <w:pPr>
        <w:pStyle w:val="Heading1"/>
      </w:pPr>
      <w:r>
        <w:t>Entregables</w:t>
      </w:r>
    </w:p>
    <w:p>
      <w:pPr>
        <w:pStyle w:val="ListNumber"/>
      </w:pPr>
      <w:r>
        <w:t>Extensión orientativa: un informe de 450 a 800 palabras con tabla, conclusión y comparación cuantitativa. La extensión indicada es una guía de formato. No constituye por sí misma un criterio de evaluación; el trabajo se evalúa por la evidencia y el razonamiento solicitados.</w:t>
      </w:r>
    </w:p>
    <w:p>
      <w:pPr>
        <w:pStyle w:val="ListNumber"/>
      </w:pPr>
      <w:r>
        <w:t>Un registro TXT de laboratorio con lecturas en orden y observaciones realizadas durante el ensayo.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Alcance: </w:t>
            </w:r>
            <w:r>
              <w:rPr>
                <w:rFonts w:ascii="Calibri" w:hAnsi="Calibri"/>
                <w:color w:val="202A35"/>
                <w:sz w:val="20"/>
              </w:rPr>
              <w:t>No se evalúa memorizar conductividades ni buscar valores externos. La explicación debe referirse a la caída observada y a las condiciones registradas.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770"/>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770"/>
        <w:sz w:val="17"/>
      </w:rPr>
      <w:t>Pruebas Personalizadas | Actividad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Pruebas Personalizadas</dc:subject>
  <dc:creator>Corpus de evaluación</dc:creator>
  <cp:keywords>evaluación, comprensión, evidencia</cp:keywords>
  <dc:description>generated by python-docx</dc:description>
  <cp:lastModifiedBy>Corpus de evaluación</cp:lastModifiedBy>
  <cp:revision>1</cp:revision>
  <dcterms:created xsi:type="dcterms:W3CDTF">2013-12-23T23:15:00Z</dcterms:created>
  <dcterms:modified xsi:type="dcterms:W3CDTF">2013-12-23T23:15:00Z</dcterms:modified>
  <cp:category/>
</cp:coreProperties>
</file>