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ACTIVIDAD 09</w:t>
      </w:r>
    </w:p>
    <w:p>
      <w:pPr>
        <w:spacing w:before="0" w:after="80"/>
      </w:pPr>
      <w:r>
        <w:rPr>
          <w:rFonts w:ascii="Calibri" w:hAnsi="Calibri"/>
          <w:b/>
          <w:color w:val="000000"/>
          <w:sz w:val="43"/>
        </w:rPr>
        <w:t>Renovación urbana y desplazamiento vecinal</w:t>
      </w:r>
    </w:p>
    <w:p>
      <w:pPr>
        <w:spacing w:before="0" w:after="160"/>
      </w:pPr>
      <w:r>
        <w:rPr>
          <w:rFonts w:ascii="Calibri" w:hAnsi="Calibri"/>
          <w:i/>
          <w:color w:val="606770"/>
          <w:sz w:val="23"/>
        </w:rPr>
        <w:t>Ensayo histórico comparativo con fuentes primarias y una serie de datos</w:t>
      </w:r>
    </w:p>
    <w:p>
      <w:pPr>
        <w:spacing w:before="0" w:after="40"/>
      </w:pPr>
      <w:r>
        <w:rPr>
          <w:rFonts w:ascii="Calibri" w:hAnsi="Calibri"/>
          <w:b/>
          <w:color w:val="202A35"/>
          <w:sz w:val="19"/>
        </w:rPr>
        <w:t xml:space="preserve">Disciplina: </w:t>
      </w:r>
      <w:r>
        <w:rPr>
          <w:rFonts w:ascii="Calibri" w:hAnsi="Calibri"/>
          <w:color w:val="202A35"/>
          <w:sz w:val="19"/>
        </w:rPr>
        <w:t>Humanidades - historia</w:t>
      </w:r>
      <w:r>
        <w:rPr>
          <w:rFonts w:ascii="Calibri" w:hAnsi="Calibri"/>
          <w:color w:val="606770"/>
          <w:sz w:val="19"/>
        </w:rPr>
        <w:t xml:space="preserve">   |   </w:t>
      </w:r>
      <w:r>
        <w:rPr>
          <w:rFonts w:ascii="Calibri" w:hAnsi="Calibri"/>
          <w:b/>
          <w:color w:val="202A35"/>
          <w:sz w:val="19"/>
        </w:rPr>
        <w:t xml:space="preserve">Dificultad del paquete: </w:t>
      </w:r>
      <w:r>
        <w:rPr>
          <w:rFonts w:ascii="Calibri" w:hAnsi="Calibri"/>
          <w:color w:val="202A35"/>
          <w:sz w:val="19"/>
        </w:rPr>
        <w:t>difícil</w:t>
      </w:r>
    </w:p>
    <w:p>
      <w:pPr>
        <w:pStyle w:val="Heading1"/>
      </w:pPr>
      <w:r>
        <w:t>Pregunta</w:t>
      </w:r>
    </w:p>
    <w:p>
      <w:r>
        <w:t>¿Qué explica mejor la permanencia del desplazamiento de residentes del sector Mercado entre 1968 y 1972: la pérdida física de viviendas, la asequibilidad y ejecución del realojo, o una combinación jerarquizada de ambos factores?</w:t>
      </w:r>
    </w:p>
    <w:p>
      <w:pPr>
        <w:pStyle w:val="Heading2"/>
      </w:pPr>
      <w:r>
        <w:t>Fuente A - memorando del Departamento de Obras, 12 de junio de 1969</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sz w:val="20"/>
              </w:rPr>
              <w:t xml:space="preserve">Extracto: </w:t>
            </w:r>
            <w:r>
              <w:rPr>
                <w:rFonts w:ascii="Calibri" w:hAnsi="Calibri"/>
                <w:color w:val="202A35"/>
                <w:sz w:val="20"/>
              </w:rPr>
              <w:t>El proyecto retirará 118 viviendas clasificadas como deterioradas y levantará 76 departamentos. La renta objetivo se ubica entre $22 y $28 mensuales. Se dará preferencia a hogares del sector que cumplan requisitos de ingreso. El programa de apoyo para traslados está pendiente de aprobación. La intervención mejorará salubridad y circulación comercial.</w:t>
            </w:r>
          </w:p>
        </w:tc>
      </w:tr>
    </w:tbl>
    <w:p>
      <w:pPr>
        <w:pStyle w:val="Heading2"/>
      </w:pPr>
      <w:r>
        <w:t>Fuente B - carta del Comité de Residentes al concejo, 4 de septiembre de 1971</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sz w:val="20"/>
              </w:rPr>
              <w:t xml:space="preserve">Extracto: </w:t>
            </w:r>
            <w:r>
              <w:rPr>
                <w:rFonts w:ascii="Calibri" w:hAnsi="Calibri"/>
                <w:color w:val="202A35"/>
                <w:sz w:val="20"/>
              </w:rPr>
              <w:t>Visitamos a 43 familias que vivían en las tres manzanas demolidas. Treinta y una residen ahora a más de cinco kilómetros; ocho recuerdan haber recibido una oferta para los nuevos departamentos. Varias familias describieron la renta ofrecida como casi el doble de lo que pagaban. Quienes tenían un pequeño negocio perdieron también el espacio de venta. Pedimos publicar los criterios de preferencia y el destino del apoyo de traslado.</w:t>
            </w:r>
          </w:p>
        </w:tc>
      </w:tr>
    </w:tbl>
    <w:p>
      <w:pPr>
        <w:pStyle w:val="Heading2"/>
      </w:pPr>
      <w:r>
        <w:t>Fuente C - resumen administrativo compilado para esta actividad</w:t>
      </w:r>
    </w:p>
    <w:tbl>
      <w:tblPr>
        <w:tblStyle w:val="TableGrid"/>
        <w:tblW w:type="dxa" w:w="9360"/>
        <w:jc w:val="left"/>
        <w:tblLayout w:type="fixed"/>
        <w:tblLook w:firstColumn="1" w:firstRow="1" w:lastColumn="0" w:lastRow="0" w:noHBand="0" w:noVBand="1" w:val="04A0"/>
        <w:tblInd w:w="120" w:type="dxa"/>
      </w:tblPr>
      <w:tblGrid>
        <w:gridCol w:w="1000"/>
        <w:gridCol w:w="2100"/>
        <w:gridCol w:w="1800"/>
        <w:gridCol w:w="2300"/>
        <w:gridCol w:w="2160"/>
      </w:tblGrid>
      <w:tr>
        <w:trPr>
          <w:tblHeader w:val="true"/>
        </w:trPr>
        <w:tc>
          <w:tcPr>
            <w:tcW w:type="dxa" w:w="1000"/>
            <w:tcMar>
              <w:top w:w="80" w:type="dxa"/>
              <w:start w:w="120" w:type="dxa"/>
              <w:bottom w:w="80" w:type="dxa"/>
              <w:end w:w="120" w:type="dxa"/>
            </w:tcMar>
            <w:shd w:fill="F2F4F7"/>
            <w:vAlign w:val="center"/>
          </w:tcPr>
          <w:p>
            <w:pPr>
              <w:spacing w:after="40"/>
            </w:pPr>
            <w:r>
              <w:rPr>
                <w:rFonts w:ascii="Calibri" w:hAnsi="Calibri"/>
                <w:b/>
                <w:color w:val="202A35"/>
                <w:sz w:val="19"/>
              </w:rPr>
              <w:t>Año</w:t>
            </w:r>
          </w:p>
        </w:tc>
        <w:tc>
          <w:tcPr>
            <w:tcW w:type="dxa" w:w="2100"/>
            <w:tcMar>
              <w:top w:w="80" w:type="dxa"/>
              <w:start w:w="120" w:type="dxa"/>
              <w:bottom w:w="80" w:type="dxa"/>
              <w:end w:w="120" w:type="dxa"/>
            </w:tcMar>
            <w:shd w:fill="F2F4F7"/>
            <w:vAlign w:val="center"/>
          </w:tcPr>
          <w:p>
            <w:pPr>
              <w:spacing w:after="40"/>
            </w:pPr>
            <w:r>
              <w:rPr>
                <w:rFonts w:ascii="Calibri" w:hAnsi="Calibri"/>
                <w:b/>
                <w:color w:val="202A35"/>
                <w:sz w:val="19"/>
              </w:rPr>
              <w:t>Viviendas antiguas en pie</w:t>
            </w:r>
          </w:p>
        </w:tc>
        <w:tc>
          <w:tcPr>
            <w:tcW w:type="dxa" w:w="1800"/>
            <w:tcMar>
              <w:top w:w="80" w:type="dxa"/>
              <w:start w:w="120" w:type="dxa"/>
              <w:bottom w:w="80" w:type="dxa"/>
              <w:end w:w="120" w:type="dxa"/>
            </w:tcMar>
            <w:shd w:fill="F2F4F7"/>
            <w:vAlign w:val="center"/>
          </w:tcPr>
          <w:p>
            <w:pPr>
              <w:spacing w:after="40"/>
            </w:pPr>
            <w:r>
              <w:rPr>
                <w:rFonts w:ascii="Calibri" w:hAnsi="Calibri"/>
                <w:b/>
                <w:color w:val="202A35"/>
                <w:sz w:val="19"/>
              </w:rPr>
              <w:t>Departamentos nuevos</w:t>
            </w:r>
          </w:p>
        </w:tc>
        <w:tc>
          <w:tcPr>
            <w:tcW w:type="dxa" w:w="2300"/>
            <w:tcMar>
              <w:top w:w="80" w:type="dxa"/>
              <w:start w:w="120" w:type="dxa"/>
              <w:bottom w:w="80" w:type="dxa"/>
              <w:end w:w="120" w:type="dxa"/>
            </w:tcMar>
            <w:shd w:fill="F2F4F7"/>
            <w:vAlign w:val="center"/>
          </w:tcPr>
          <w:p>
            <w:pPr>
              <w:spacing w:after="40"/>
            </w:pPr>
            <w:r>
              <w:rPr>
                <w:rFonts w:ascii="Calibri" w:hAnsi="Calibri"/>
                <w:b/>
                <w:color w:val="202A35"/>
                <w:sz w:val="19"/>
              </w:rPr>
              <w:t>Renta mensual de referencia</w:t>
            </w:r>
          </w:p>
        </w:tc>
        <w:tc>
          <w:tcPr>
            <w:tcW w:type="dxa" w:w="2160"/>
            <w:tcMar>
              <w:top w:w="80" w:type="dxa"/>
              <w:start w:w="120" w:type="dxa"/>
              <w:bottom w:w="80" w:type="dxa"/>
              <w:end w:w="120" w:type="dxa"/>
            </w:tcMar>
            <w:shd w:fill="F2F4F7"/>
            <w:vAlign w:val="center"/>
          </w:tcPr>
          <w:p>
            <w:pPr>
              <w:spacing w:after="40"/>
            </w:pPr>
            <w:r>
              <w:rPr>
                <w:rFonts w:ascii="Calibri" w:hAnsi="Calibri"/>
                <w:b/>
                <w:color w:val="202A35"/>
                <w:sz w:val="19"/>
              </w:rPr>
              <w:t>Nuevos ocupados por hogares del sector</w:t>
            </w:r>
          </w:p>
        </w:tc>
      </w:tr>
      <w:tr>
        <w:tc>
          <w:tcPr>
            <w:tcW w:type="dxa" w:w="1000"/>
            <w:vAlign w:val="center"/>
          </w:tcPr>
          <w:p>
            <w:pPr>
              <w:spacing w:after="20" w:line="252" w:lineRule="auto"/>
            </w:pPr>
            <w:r>
              <w:rPr>
                <w:rFonts w:ascii="Calibri" w:hAnsi="Calibri"/>
                <w:color w:val="202A35"/>
                <w:sz w:val="18"/>
              </w:rPr>
              <w:t>1968</w:t>
            </w:r>
          </w:p>
        </w:tc>
        <w:tc>
          <w:tcPr>
            <w:tcW w:type="dxa" w:w="2100"/>
            <w:vAlign w:val="center"/>
          </w:tcPr>
          <w:p>
            <w:pPr>
              <w:spacing w:after="20" w:line="252" w:lineRule="auto"/>
            </w:pPr>
            <w:r>
              <w:rPr>
                <w:rFonts w:ascii="Calibri" w:hAnsi="Calibri"/>
                <w:color w:val="202A35"/>
                <w:sz w:val="18"/>
              </w:rPr>
              <w:t>118</w:t>
            </w:r>
          </w:p>
        </w:tc>
        <w:tc>
          <w:tcPr>
            <w:tcW w:type="dxa" w:w="1800"/>
            <w:vAlign w:val="center"/>
          </w:tcPr>
          <w:p>
            <w:pPr>
              <w:spacing w:after="20" w:line="252" w:lineRule="auto"/>
            </w:pPr>
            <w:r>
              <w:rPr>
                <w:rFonts w:ascii="Calibri" w:hAnsi="Calibri"/>
                <w:color w:val="202A35"/>
                <w:sz w:val="18"/>
              </w:rPr>
              <w:t>0</w:t>
            </w:r>
          </w:p>
        </w:tc>
        <w:tc>
          <w:tcPr>
            <w:tcW w:type="dxa" w:w="2300"/>
            <w:vAlign w:val="center"/>
          </w:tcPr>
          <w:p>
            <w:pPr>
              <w:spacing w:after="20" w:line="252" w:lineRule="auto"/>
            </w:pPr>
            <w:r>
              <w:rPr>
                <w:rFonts w:ascii="Calibri" w:hAnsi="Calibri"/>
                <w:color w:val="202A35"/>
                <w:sz w:val="18"/>
              </w:rPr>
              <w:t>$18 (antiguas)</w:t>
            </w:r>
          </w:p>
        </w:tc>
        <w:tc>
          <w:tcPr>
            <w:tcW w:type="dxa" w:w="2160"/>
            <w:vAlign w:val="center"/>
          </w:tcPr>
          <w:p>
            <w:pPr>
              <w:spacing w:after="20" w:line="252" w:lineRule="auto"/>
            </w:pPr>
            <w:r>
              <w:rPr>
                <w:rFonts w:ascii="Calibri" w:hAnsi="Calibri"/>
                <w:color w:val="202A35"/>
                <w:sz w:val="18"/>
              </w:rPr>
              <w:t>no aplica</w:t>
            </w:r>
          </w:p>
        </w:tc>
      </w:tr>
      <w:tr>
        <w:tc>
          <w:tcPr>
            <w:tcW w:type="dxa" w:w="1000"/>
            <w:vAlign w:val="center"/>
          </w:tcPr>
          <w:p>
            <w:pPr>
              <w:spacing w:after="20" w:line="252" w:lineRule="auto"/>
            </w:pPr>
            <w:r>
              <w:rPr>
                <w:rFonts w:ascii="Calibri" w:hAnsi="Calibri"/>
                <w:color w:val="202A35"/>
                <w:sz w:val="18"/>
              </w:rPr>
              <w:t>1970</w:t>
            </w:r>
          </w:p>
        </w:tc>
        <w:tc>
          <w:tcPr>
            <w:tcW w:type="dxa" w:w="2100"/>
            <w:vAlign w:val="center"/>
          </w:tcPr>
          <w:p>
            <w:pPr>
              <w:spacing w:after="20" w:line="252" w:lineRule="auto"/>
            </w:pPr>
            <w:r>
              <w:rPr>
                <w:rFonts w:ascii="Calibri" w:hAnsi="Calibri"/>
                <w:color w:val="202A35"/>
                <w:sz w:val="18"/>
              </w:rPr>
              <w:t>0</w:t>
            </w:r>
          </w:p>
        </w:tc>
        <w:tc>
          <w:tcPr>
            <w:tcW w:type="dxa" w:w="1800"/>
            <w:vAlign w:val="center"/>
          </w:tcPr>
          <w:p>
            <w:pPr>
              <w:spacing w:after="20" w:line="252" w:lineRule="auto"/>
            </w:pPr>
            <w:r>
              <w:rPr>
                <w:rFonts w:ascii="Calibri" w:hAnsi="Calibri"/>
                <w:color w:val="202A35"/>
                <w:sz w:val="18"/>
              </w:rPr>
              <w:t>76</w:t>
            </w:r>
          </w:p>
        </w:tc>
        <w:tc>
          <w:tcPr>
            <w:tcW w:type="dxa" w:w="2300"/>
            <w:vAlign w:val="center"/>
          </w:tcPr>
          <w:p>
            <w:pPr>
              <w:spacing w:after="20" w:line="252" w:lineRule="auto"/>
            </w:pPr>
            <w:r>
              <w:rPr>
                <w:rFonts w:ascii="Calibri" w:hAnsi="Calibri"/>
                <w:color w:val="202A35"/>
                <w:sz w:val="18"/>
              </w:rPr>
              <w:t>$27 (nuevos)</w:t>
            </w:r>
          </w:p>
        </w:tc>
        <w:tc>
          <w:tcPr>
            <w:tcW w:type="dxa" w:w="2160"/>
            <w:vAlign w:val="center"/>
          </w:tcPr>
          <w:p>
            <w:pPr>
              <w:spacing w:after="20" w:line="252" w:lineRule="auto"/>
            </w:pPr>
            <w:r>
              <w:rPr>
                <w:rFonts w:ascii="Calibri" w:hAnsi="Calibri"/>
                <w:color w:val="202A35"/>
                <w:sz w:val="18"/>
              </w:rPr>
              <w:t>22</w:t>
            </w:r>
          </w:p>
        </w:tc>
      </w:tr>
      <w:tr>
        <w:tc>
          <w:tcPr>
            <w:tcW w:type="dxa" w:w="1000"/>
            <w:vAlign w:val="center"/>
          </w:tcPr>
          <w:p>
            <w:pPr>
              <w:spacing w:after="20" w:line="252" w:lineRule="auto"/>
            </w:pPr>
            <w:r>
              <w:rPr>
                <w:rFonts w:ascii="Calibri" w:hAnsi="Calibri"/>
                <w:color w:val="202A35"/>
                <w:sz w:val="18"/>
              </w:rPr>
              <w:t>1972</w:t>
            </w:r>
          </w:p>
        </w:tc>
        <w:tc>
          <w:tcPr>
            <w:tcW w:type="dxa" w:w="2100"/>
            <w:vAlign w:val="center"/>
          </w:tcPr>
          <w:p>
            <w:pPr>
              <w:spacing w:after="20" w:line="252" w:lineRule="auto"/>
            </w:pPr>
            <w:r>
              <w:rPr>
                <w:rFonts w:ascii="Calibri" w:hAnsi="Calibri"/>
                <w:color w:val="202A35"/>
                <w:sz w:val="18"/>
              </w:rPr>
              <w:t>0</w:t>
            </w:r>
          </w:p>
        </w:tc>
        <w:tc>
          <w:tcPr>
            <w:tcW w:type="dxa" w:w="1800"/>
            <w:vAlign w:val="center"/>
          </w:tcPr>
          <w:p>
            <w:pPr>
              <w:spacing w:after="20" w:line="252" w:lineRule="auto"/>
            </w:pPr>
            <w:r>
              <w:rPr>
                <w:rFonts w:ascii="Calibri" w:hAnsi="Calibri"/>
                <w:color w:val="202A35"/>
                <w:sz w:val="18"/>
              </w:rPr>
              <w:t>76</w:t>
            </w:r>
          </w:p>
        </w:tc>
        <w:tc>
          <w:tcPr>
            <w:tcW w:type="dxa" w:w="2300"/>
            <w:vAlign w:val="center"/>
          </w:tcPr>
          <w:p>
            <w:pPr>
              <w:spacing w:after="20" w:line="252" w:lineRule="auto"/>
            </w:pPr>
            <w:r>
              <w:rPr>
                <w:rFonts w:ascii="Calibri" w:hAnsi="Calibri"/>
                <w:color w:val="202A35"/>
                <w:sz w:val="18"/>
              </w:rPr>
              <w:t>$31 (nuevos)</w:t>
            </w:r>
          </w:p>
        </w:tc>
        <w:tc>
          <w:tcPr>
            <w:tcW w:type="dxa" w:w="2160"/>
            <w:vAlign w:val="center"/>
          </w:tcPr>
          <w:p>
            <w:pPr>
              <w:spacing w:after="20" w:line="252" w:lineRule="auto"/>
            </w:pPr>
            <w:r>
              <w:rPr>
                <w:rFonts w:ascii="Calibri" w:hAnsi="Calibri"/>
                <w:color w:val="202A35"/>
                <w:sz w:val="18"/>
              </w:rPr>
              <w:t>18</w:t>
            </w:r>
          </w:p>
        </w:tc>
      </w:tr>
    </w:tbl>
    <w:p>
      <w:pPr>
        <w:pStyle w:val="Heading2"/>
      </w:pPr>
      <w:r>
        <w:t>Cómo leer el dossier</w:t>
      </w:r>
    </w:p>
    <w:p>
      <w:r>
        <w:t>Las tres fuentes fueron seleccionadas porque observan momentos y poblaciones diferentes. La Fuente A es anterior a la finalización del proyecto y registra metas, criterios anunciados y recursos todavía pendientes. La Fuente B es posterior a las demoliciones y reúne experiencias de 43 familias visitadas por una organización interesada en reclamar. La Fuente C resume existencias, rentas y ocupación en tres cortes, pero no sigue hogares individuales.</w:t>
      </w:r>
    </w:p>
    <w:p>
      <w:r>
        <w:t>Estas diferencias no convierten automáticamente una fuente en verdadera y otra en falsa. Permiten preguntar qué tipo de afirmación puede sostener cada una. Una promesa administrativa no prueba ejecución; un testimonio colectivo no estima sin más a toda la población; una serie agregada no explica por sí sola por qué una familia aceptó o rechazó una vivienda.</w:t>
      </w:r>
    </w:p>
    <w:p>
      <w:pPr>
        <w:pStyle w:val="Heading2"/>
      </w:pPr>
      <w:r>
        <w:t>Problemas históricos que organiza la pregunta</w:t>
      </w:r>
    </w:p>
    <w:p>
      <w:pPr>
        <w:pStyle w:val="ListBullet"/>
      </w:pPr>
      <w:r>
        <w:t>La demolición elimina 118 viviendas antes de que existan 76 reemplazos y fija un límite material al retorno posible.</w:t>
      </w:r>
    </w:p>
    <w:p>
      <w:pPr>
        <w:pStyle w:val="ListBullet"/>
      </w:pPr>
      <w:r>
        <w:t>La renta de referencia cambia de $18 en las viviendas antiguas a $27 y luego $31 en los departamentos nuevos.</w:t>
      </w:r>
    </w:p>
    <w:p>
      <w:pPr>
        <w:pStyle w:val="ListBullet"/>
      </w:pPr>
      <w:r>
        <w:t>La preferencia estaba condicionada a requisitos de ingreso que el dossier no publica, y el apoyo de traslado figuraba pendiente.</w:t>
      </w:r>
    </w:p>
    <w:p>
      <w:pPr>
        <w:pStyle w:val="ListBullet"/>
      </w:pPr>
      <w:r>
        <w:t>La ocupación por hogares del sector baja de 22 a 18 aun cuando los 76 departamentos siguen existiendo.</w:t>
      </w:r>
    </w:p>
    <w:p>
      <w:pPr>
        <w:pStyle w:val="ListBullet"/>
      </w:pPr>
      <w:r>
        <w:t>La carta agrega pérdida de espacios de venta y distancia del nuevo domicilio, dimensiones que la tabla administrativa no registra.</w:t>
      </w:r>
    </w:p>
    <w:p>
      <w:pPr>
        <w:pStyle w:val="Heading2"/>
      </w:pPr>
      <w:r>
        <w:t>Expectativas del ensayo</w:t>
      </w:r>
    </w:p>
    <w:p>
      <w:r>
        <w:t>La tesis debe explicar una secuencia y una jerarquía: un factor puede ser decisivo al inicio y otro volverse más explicativo después. Integra evidencia mediante relaciones, no mediante un párrafo aislado por fuente. Incluye al menos un contraargumento que use datos reales del dossier y responde reconociendo lo que sí logra explicar.</w:t>
      </w:r>
    </w:p>
    <w:p>
      <w:r>
        <w:t>La contextualización solicitada es interna. Sitúa cada afirmación en 1968, 1969, 1970, 1971 o 1972; distingue proyecto, ejecución y resultado; identifica quién habla y sobre qué población. No se espera una historia general de urbanismo ni una búsqueda de leyes. Si una interpretación necesita ese conocimiento, señala que el dossier no alcanza para sostenerla.</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0"/>
            </w:pPr>
            <w:r>
              <w:rPr>
                <w:rFonts w:ascii="Calibri" w:hAnsi="Calibri"/>
                <w:b/>
                <w:color w:val="1F4D78"/>
                <w:sz w:val="20"/>
              </w:rPr>
              <w:t xml:space="preserve">Ambigüedad deliberada: </w:t>
            </w:r>
            <w:r>
              <w:rPr>
                <w:rFonts w:ascii="Calibri" w:hAnsi="Calibri"/>
                <w:color w:val="202A35"/>
                <w:sz w:val="20"/>
              </w:rPr>
              <w:t>La expresión 'madurez historiográfica' de la rúbrica es amplia. Para esta actividad se observará mediante operaciones concretas: cronología, comparación de posiciones, límites de alcance, respuesta a evidencia contraria y cautela frente a explicaciones teleológicas.</w:t>
            </w:r>
          </w:p>
        </w:tc>
      </w:tr>
    </w:tbl>
    <w:p>
      <w:pPr>
        <w:pStyle w:val="Heading1"/>
      </w:pPr>
      <w:r>
        <w:t>Tarea</w:t>
      </w:r>
    </w:p>
    <w:p>
      <w:pPr>
        <w:pStyle w:val="ListNumber"/>
      </w:pPr>
      <w:r>
        <w:t>Formula una tesis que jerarquice factores en vez de enumerarlos sin relación.</w:t>
      </w:r>
    </w:p>
    <w:p>
      <w:pPr>
        <w:pStyle w:val="ListNumber"/>
      </w:pPr>
      <w:r>
        <w:t>Usa las tres fuentes y conecta al menos dos fragmentos que no estén contiguos.</w:t>
      </w:r>
    </w:p>
    <w:p>
      <w:pPr>
        <w:pStyle w:val="ListNumber"/>
      </w:pPr>
      <w:r>
        <w:t>Evalúa qué puede y qué no puede establecer cada fuente por su posición y alcance.</w:t>
      </w:r>
    </w:p>
    <w:p>
      <w:pPr>
        <w:pStyle w:val="ListNumber"/>
      </w:pPr>
      <w:r>
        <w:t>Responde a un contraargumento plausible apoyado en el mismo dossier.</w:t>
      </w:r>
    </w:p>
    <w:p>
      <w:pPr>
        <w:pStyle w:val="Heading1"/>
      </w:pPr>
      <w:r>
        <w:t>Entregable</w:t>
      </w:r>
    </w:p>
    <w:p>
      <w:r>
        <w:t>Extensión orientativa: ensayo de 1.000 a 1.600 palabras. Las citas se identifican como Fuente A, B o C. No investigues leyes, autoridades ni procesos urbanos externos. 'Contextualizar' significa situar una afirmación dentro de fechas, propósitos y poblaciones que aparecen en el dossier. La extensión indicada es una guía de formato. No constituye por sí misma un criterio de evaluación; el trabajo se evalúa por la evidencia y el razonamiento solicitados.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770"/>
        <w:sz w:val="18"/>
      </w:rP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770"/>
        <w:sz w:val="17"/>
      </w:rPr>
      <w:t>Pruebas Personalizadas | Actividad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Pruebas Personalizadas</dc:subject>
  <dc:creator>Corpus de evaluación</dc:creator>
  <cp:keywords>evaluación, comprensión, evidencia</cp:keywords>
  <dc:description>generated by python-docx</dc:description>
  <cp:lastModifiedBy>Corpus de evaluación</cp:lastModifiedBy>
  <cp:revision>1</cp:revision>
  <dcterms:created xsi:type="dcterms:W3CDTF">2013-12-23T23:15:00Z</dcterms:created>
  <dcterms:modified xsi:type="dcterms:W3CDTF">2013-12-23T23:15:00Z</dcterms:modified>
  <cp:category/>
</cp:coreProperties>
</file>