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DEPARTAMENTO DE HISTORIA - RÚBRICA 09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3"/>
        </w:rPr>
        <w:t>Rúbrica: Renovación urbana y desplazamiento vecinal</w:t>
      </w:r>
    </w:p>
    <w:p>
      <w:pPr>
        <w:spacing w:before="0" w:after="160"/>
      </w:pPr>
      <w:r>
        <w:rPr>
          <w:rFonts w:ascii="Calibri" w:hAnsi="Calibri"/>
          <w:i/>
          <w:color w:val="606770"/>
          <w:sz w:val="23"/>
        </w:rPr>
        <w:t>Criterios cualitativos para valorar el entregable de la actividad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Humanidades - historia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difícil</w:t>
      </w:r>
    </w:p>
    <w:p>
      <w:pPr>
        <w:pStyle w:val="Heading1"/>
      </w:pPr>
      <w:r>
        <w:t>Propósito de la rúbrica</w:t>
      </w:r>
    </w:p>
    <w:p>
      <w:r>
        <w:t>La rúbrica valora el entregable tal como fue presentado y no una reconstrucción de cómo se produjo. Los descriptores son cualitativos y admiten juicio docente cuando la evidencia queda entre dos niveles. Una formulación elegante no compensa una relación conceptual ausente, y un trabajo de estilo sencillo puede satisfacer un criterio si la evidencia y el razonamiento son localizables.</w:t>
      </w:r>
    </w:p>
    <w:p>
      <w:r>
        <w:t>Los criterios deben leerse de forma relacionada, pero no intercambiable. Por ejemplo, una cifra correcta puede aportar a la evidencia sin resolver por sí sola el alcance de la inferencia; del mismo modo, reconocer una limitación no corrige automáticamente una decisión que contradice los datos. La valoración debe registrar estas diferencias en lugar de reducirlas a una impresión global.</w:t>
      </w:r>
    </w:p>
    <w:p>
      <w:pPr>
        <w:pStyle w:val="Heading1"/>
      </w:pPr>
      <w:r>
        <w:t>Cómo aplicar los niveles</w:t>
      </w:r>
    </w:p>
    <w:p>
      <w:pPr>
        <w:pStyle w:val="ListBullet"/>
      </w:pPr>
      <w:r>
        <w:t>Lee primero el conjunto completo de artefactos. Una explicación puede comenzar en una tabla, continuar en una nota o comentario de código y cerrarse en otra sección.</w:t>
      </w:r>
    </w:p>
    <w:p>
      <w:pPr>
        <w:pStyle w:val="ListBullet"/>
      </w:pPr>
      <w:r>
        <w:t>Usa 'claramente logrado' cuando la relación exigida puede reconstruirse sin completar pasos sustantivos por cuenta del lector. No exige perfección ni ausencia total de errores menores.</w:t>
      </w:r>
    </w:p>
    <w:p>
      <w:pPr>
        <w:pStyle w:val="ListBullet"/>
      </w:pPr>
      <w:r>
        <w:t>Usa 'parcialmente logrado' cuando existe una zona de comprensión pertinente, pero falta una conexión, un caso límite, una justificación o una delimitación necesaria.</w:t>
      </w:r>
    </w:p>
    <w:p>
      <w:pPr>
        <w:pStyle w:val="ListBullet"/>
      </w:pPr>
      <w:r>
        <w:t>Usa 'no sustentado' para ausencia, contradicción no reconocida o sustitución del razonamiento por palabras clave. No significa que toda la entrega carezca de valor.</w:t>
      </w:r>
    </w:p>
    <w:p>
      <w:pPr>
        <w:pStyle w:val="ListBullet"/>
      </w:pPr>
      <w:r>
        <w:t>Cuando el documento no contiene evidencia suficiente para decidir un criterio, registra esa insuficiencia en vez de inferir intención, conocimientos históricos o información externa.</w:t>
      </w:r>
    </w:p>
    <w:p>
      <w:pPr>
        <w:pStyle w:val="Heading1"/>
      </w:pPr>
      <w:r>
        <w:t>Criterios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Criterio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Claramente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Parcialmente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No sustentado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Tesis explicativa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Jerarquiza factores y aclara cómo interactúan a lo largo del periodo.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Identifica factores pertinentes, pero su relación o prioridad fluctúa.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Enumera causas, resume fuentes o sostiene una causa incompatible con el dossier.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Integración de evidencia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Cruza las tres fuentes y conecta cifras, promesas y experiencias sin tratarlas como equivalentes.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Usa las tres, pero una funciona como adorno o hay conexiones incompletas.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Depende de una sola fuente, inventa datos o acumula citas sin análisis.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Crítica y contraargumento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Distingue alcance y posición de las fuentes y responde a una objeción con evidencia.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Reconoce sesgo o límite de manera genérica, o presenta una objeción sin resolverla.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Declara una fuente verdadera/falsa por su origen o no contempla tensión interpretativa.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Contextualización y madurez historiográfica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Sitúa cambios en la cronología interna y evita anacronismos, teleología y certeza indebida.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La cronología es mayormente clara, con fórmulas generales o alcance impreciso.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Usa contexto externo no autorizado o borra cambios entre 1968 y 1972.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Nota de interpretación: </w:t>
            </w:r>
            <w:r>
              <w:rPr>
                <w:rFonts w:ascii="Calibri" w:hAnsi="Calibri"/>
                <w:color w:val="202A35"/>
                <w:sz w:val="20"/>
              </w:rPr>
              <w:t>El último criterio incluye 'madurez historiográfica', una cualidad amplia que no siempre puede verificarse con una sola pregunta corta. Para esta actividad debe interpretarse mediante operaciones observables: cronología, alcance, incertidumbre y ausencia de anacronismo.</w:t>
            </w:r>
          </w:p>
        </w:tc>
      </w:tr>
    </w:tbl>
    <w:p>
      <w:pPr>
        <w:pStyle w:val="Heading1"/>
      </w:pPr>
      <w:r>
        <w:t>Orientaciones sobre la evidencia</w:t>
      </w:r>
    </w:p>
    <w:p>
      <w:pPr>
        <w:pStyle w:val="ListBullet"/>
      </w:pPr>
      <w:r>
        <w:t>La evidencia válida debe poder señalarse en el entregable: un cálculo, una decisión, una comparación, un fragmento textual, una rama de código, una observación o una relación entre varios de ellos.</w:t>
      </w:r>
    </w:p>
    <w:p>
      <w:pPr>
        <w:pStyle w:val="ListBullet"/>
      </w:pPr>
      <w:r>
        <w:t>La presencia de vocabulario disciplinar no demuestra comprensión si el trabajo no explica cómo se aplica a este caso. A la inversa, no se exige terminología especializada cuando la relación está expresada correctamente en lenguaje común.</w:t>
      </w:r>
    </w:p>
    <w:p>
      <w:pPr>
        <w:pStyle w:val="ListBullet"/>
      </w:pPr>
      <w:r>
        <w:t>Una contradicción interna es evidencia relevante. Debe valorarse si el propio trabajo la detecta, la resuelve o la deja activa; no conviene seleccionar solo el fragmento más favorable.</w:t>
      </w:r>
    </w:p>
    <w:p>
      <w:pPr>
        <w:pStyle w:val="ListBullet"/>
      </w:pPr>
      <w:r>
        <w:t>En entregas con varios artefactos, la coherencia entre ellos forma parte de la lectura. Dos archivos pueden complementarse, pero también pueden sostener decisiones incompatibles.</w:t>
      </w:r>
    </w:p>
    <w:p>
      <w:pPr>
        <w:pStyle w:val="ListBullet"/>
      </w:pPr>
      <w:r>
        <w:t>Atribuir una posición a una fuente forma parte del análisis; declararla verdadera o falsa por su origen, no.</w:t>
      </w:r>
    </w:p>
    <w:p>
      <w:pPr>
        <w:pStyle w:val="ListBullet"/>
      </w:pPr>
      <w:r>
        <w:t>No se debe premiar ni penalizar la extensión por sí misma. El texto adicional cuenta solo cuando aporta evidencia, razonamiento, delimitación o trazabilidad; repetición y boilerplate siguen siendo irrelevantes.</w:t>
      </w:r>
    </w:p>
    <w:p>
      <w:pPr>
        <w:pStyle w:val="Heading1"/>
      </w:pPr>
      <w:r>
        <w:t>Calibración entre estudiantes</w:t>
      </w:r>
    </w:p>
    <w:p>
      <w:r>
        <w:t>Para mantener comparabilidad, aplica las mismas fronteras conceptuales a todas las entregas de esta actividad aunque las oportunidades de pregunta sean distintas. Dos estudiantes pueden sustentar un criterio mediante fragmentos diferentes o defender decisiones opuestas. La equivalencia depende de la calidad de la relación con la consigna y no de reproducir una respuesta modelo.</w:t>
      </w:r>
    </w:p>
    <w:p>
      <w:pPr>
        <w:pStyle w:val="Heading1"/>
      </w:pPr>
      <w:r>
        <w:t>Condiciones de valoración</w:t>
      </w:r>
    </w:p>
    <w:p>
      <w:pPr>
        <w:pStyle w:val="ListBullet"/>
      </w:pPr>
      <w:r>
        <w:t>No se exige conocimiento fuera de la consigna y de los materiales autorizados.</w:t>
      </w:r>
    </w:p>
    <w:p>
      <w:pPr>
        <w:pStyle w:val="ListBullet"/>
      </w:pPr>
      <w:r>
        <w:t>Una afirmación sin vínculo explícito o reconstruible con el entregable no satisface por sí sola un criterio.</w:t>
      </w:r>
    </w:p>
    <w:p>
      <w:pPr>
        <w:pStyle w:val="ListBullet"/>
      </w:pPr>
      <w:r>
        <w:t>La forma puede orientar la lectura, pero no sustituye la comprensión conceptual o técnica.</w:t>
      </w:r>
    </w:p>
    <w:p>
      <w:pPr>
        <w:pStyle w:val="ListBullet"/>
      </w:pPr>
      <w:r>
        <w:t>No se atribuyen motivos, autoría ni procesos de producción a partir del resultado presentado.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Rúbrica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