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7"/>
        </w:rPr>
        <w:t>ACTIVIDAD 11</w:t>
      </w:r>
    </w:p>
    <w:p>
      <w:pPr>
        <w:spacing w:before="0" w:after="60"/>
      </w:pPr>
      <w:r>
        <w:rPr>
          <w:rFonts w:ascii="Calibri" w:hAnsi="Calibri"/>
          <w:b/>
          <w:color w:val="000000"/>
          <w:sz w:val="41"/>
        </w:rPr>
        <w:t>Postmortem y decisión de idempotencia en pagos</w:t>
      </w:r>
    </w:p>
    <w:p>
      <w:pPr>
        <w:spacing w:before="0" w:after="100"/>
      </w:pPr>
      <w:r>
        <w:rPr>
          <w:rFonts w:ascii="Calibri" w:hAnsi="Calibri"/>
          <w:i/>
          <w:color w:val="606770"/>
          <w:sz w:val="22"/>
        </w:rPr>
        <w:t>Análisis causal, ADR y parche conceptual sobre una cola con entrega al menos una vez</w:t>
      </w:r>
    </w:p>
    <w:p>
      <w:pPr>
        <w:spacing w:before="0" w:after="40"/>
      </w:pPr>
      <w:r>
        <w:rPr>
          <w:rFonts w:ascii="Calibri" w:hAnsi="Calibri"/>
          <w:b/>
          <w:color w:val="202A35"/>
          <w:sz w:val="19"/>
        </w:rPr>
        <w:t xml:space="preserve">Disciplina: </w:t>
      </w:r>
      <w:r>
        <w:rPr>
          <w:rFonts w:ascii="Calibri" w:hAnsi="Calibri"/>
          <w:color w:val="202A35"/>
          <w:sz w:val="19"/>
        </w:rPr>
        <w:t>Ingeniería de software / arquitectura</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difícil</w:t>
      </w:r>
    </w:p>
    <w:p>
      <w:pPr>
        <w:pStyle w:val="Heading1"/>
      </w:pPr>
      <w:r>
        <w:t>Incidente</w:t>
      </w:r>
    </w:p>
    <w:p>
      <w:r>
        <w:t>Una compra recibió dos cargos del proveedor. El sistema usa una cola con entrega al menos una vez. Debes explicar la cadena causal y proponer una decisión que conserve reintentos legítimos.</w:t>
      </w:r>
    </w:p>
    <w:p>
      <w:pPr>
        <w:pStyle w:val="Heading2"/>
      </w:pPr>
      <w:r>
        <w:t>Trazas autorizadas</w:t>
      </w:r>
    </w:p>
    <w:tbl>
      <w:tblPr>
        <w:tblStyle w:val="TableGrid"/>
        <w:tblW w:type="dxa" w:w="9360"/>
        <w:jc w:val="left"/>
        <w:tblLayout w:type="fixed"/>
        <w:tblLook w:firstColumn="1" w:firstRow="1" w:lastColumn="0" w:lastRow="0" w:noHBand="0" w:noVBand="1" w:val="04A0"/>
        <w:tblInd w:w="120" w:type="dxa"/>
      </w:tblPr>
      <w:tblGrid>
        <w:gridCol w:w="1700"/>
        <w:gridCol w:w="1500"/>
        <w:gridCol w:w="6160"/>
      </w:tblGrid>
      <w:tr>
        <w:trPr>
          <w:tblHeader w:val="true"/>
        </w:trPr>
        <w:tc>
          <w:tcPr>
            <w:tcW w:type="dxa" w:w="1700"/>
            <w:tcMar>
              <w:top w:w="80" w:type="dxa"/>
              <w:start w:w="120" w:type="dxa"/>
              <w:bottom w:w="80" w:type="dxa"/>
              <w:end w:w="120" w:type="dxa"/>
            </w:tcMar>
            <w:shd w:fill="F2F4F7"/>
            <w:vAlign w:val="center"/>
          </w:tcPr>
          <w:p>
            <w:pPr>
              <w:spacing w:after="40"/>
            </w:pPr>
            <w:r>
              <w:rPr>
                <w:rFonts w:ascii="Calibri" w:hAnsi="Calibri"/>
                <w:b/>
                <w:color w:val="202A35"/>
                <w:sz w:val="19"/>
              </w:rPr>
              <w:t>Hora</w:t>
            </w:r>
          </w:p>
        </w:tc>
        <w:tc>
          <w:tcPr>
            <w:tcW w:type="dxa" w:w="1500"/>
            <w:tcMar>
              <w:top w:w="80" w:type="dxa"/>
              <w:start w:w="120" w:type="dxa"/>
              <w:bottom w:w="80" w:type="dxa"/>
              <w:end w:w="120" w:type="dxa"/>
            </w:tcMar>
            <w:shd w:fill="F2F4F7"/>
            <w:vAlign w:val="center"/>
          </w:tcPr>
          <w:p>
            <w:pPr>
              <w:spacing w:after="40"/>
            </w:pPr>
            <w:r>
              <w:rPr>
                <w:rFonts w:ascii="Calibri" w:hAnsi="Calibri"/>
                <w:b/>
                <w:color w:val="202A35"/>
                <w:sz w:val="19"/>
              </w:rPr>
              <w:t>Componente</w:t>
            </w:r>
          </w:p>
        </w:tc>
        <w:tc>
          <w:tcPr>
            <w:tcW w:type="dxa" w:w="6160"/>
            <w:tcMar>
              <w:top w:w="80" w:type="dxa"/>
              <w:start w:w="120" w:type="dxa"/>
              <w:bottom w:w="80" w:type="dxa"/>
              <w:end w:w="120" w:type="dxa"/>
            </w:tcMar>
            <w:shd w:fill="F2F4F7"/>
            <w:vAlign w:val="center"/>
          </w:tcPr>
          <w:p>
            <w:pPr>
              <w:spacing w:after="40"/>
            </w:pPr>
            <w:r>
              <w:rPr>
                <w:rFonts w:ascii="Calibri" w:hAnsi="Calibri"/>
                <w:b/>
                <w:color w:val="202A35"/>
                <w:sz w:val="19"/>
              </w:rPr>
              <w:t>Evento</w:t>
            </w:r>
          </w:p>
        </w:tc>
      </w:tr>
      <w:tr>
        <w:tc>
          <w:tcPr>
            <w:tcW w:type="dxa" w:w="1700"/>
            <w:vAlign w:val="center"/>
          </w:tcPr>
          <w:p>
            <w:pPr>
              <w:spacing w:after="20" w:line="252" w:lineRule="auto"/>
            </w:pPr>
            <w:r>
              <w:rPr>
                <w:rFonts w:ascii="Calibri" w:hAnsi="Calibri"/>
                <w:color w:val="202A35"/>
                <w:sz w:val="18"/>
              </w:rPr>
              <w:t>10:00:01.100</w:t>
            </w:r>
          </w:p>
        </w:tc>
        <w:tc>
          <w:tcPr>
            <w:tcW w:type="dxa" w:w="1500"/>
            <w:vAlign w:val="center"/>
          </w:tcPr>
          <w:p>
            <w:pPr>
              <w:spacing w:after="20" w:line="252" w:lineRule="auto"/>
            </w:pPr>
            <w:r>
              <w:rPr>
                <w:rFonts w:ascii="Calibri" w:hAnsi="Calibri"/>
                <w:color w:val="202A35"/>
                <w:sz w:val="18"/>
              </w:rPr>
              <w:t>gateway</w:t>
            </w:r>
          </w:p>
        </w:tc>
        <w:tc>
          <w:tcPr>
            <w:tcW w:type="dxa" w:w="6160"/>
            <w:vAlign w:val="center"/>
          </w:tcPr>
          <w:p>
            <w:pPr>
              <w:spacing w:after="20" w:line="252" w:lineRule="auto"/>
            </w:pPr>
            <w:r>
              <w:rPr>
                <w:rFonts w:ascii="Calibri" w:hAnsi="Calibri"/>
                <w:color w:val="202A35"/>
                <w:sz w:val="18"/>
              </w:rPr>
              <w:t>req_61 acepta orden ord_431, intento pay_1; publica job_88</w:t>
            </w:r>
          </w:p>
        </w:tc>
      </w:tr>
      <w:tr>
        <w:tc>
          <w:tcPr>
            <w:tcW w:type="dxa" w:w="1700"/>
            <w:vAlign w:val="center"/>
          </w:tcPr>
          <w:p>
            <w:pPr>
              <w:spacing w:after="20" w:line="252" w:lineRule="auto"/>
            </w:pPr>
            <w:r>
              <w:rPr>
                <w:rFonts w:ascii="Calibri" w:hAnsi="Calibri"/>
                <w:color w:val="202A35"/>
                <w:sz w:val="18"/>
              </w:rPr>
              <w:t>10:00:01.240</w:t>
            </w:r>
          </w:p>
        </w:tc>
        <w:tc>
          <w:tcPr>
            <w:tcW w:type="dxa" w:w="1500"/>
            <w:vAlign w:val="center"/>
          </w:tcPr>
          <w:p>
            <w:pPr>
              <w:spacing w:after="20" w:line="252" w:lineRule="auto"/>
            </w:pPr>
            <w:r>
              <w:rPr>
                <w:rFonts w:ascii="Calibri" w:hAnsi="Calibri"/>
                <w:color w:val="202A35"/>
                <w:sz w:val="18"/>
              </w:rPr>
              <w:t>worker</w:t>
            </w:r>
          </w:p>
        </w:tc>
        <w:tc>
          <w:tcPr>
            <w:tcW w:type="dxa" w:w="6160"/>
            <w:vAlign w:val="center"/>
          </w:tcPr>
          <w:p>
            <w:pPr>
              <w:spacing w:after="20" w:line="252" w:lineRule="auto"/>
            </w:pPr>
            <w:r>
              <w:rPr>
                <w:rFonts w:ascii="Calibri" w:hAnsi="Calibri"/>
                <w:color w:val="202A35"/>
                <w:sz w:val="18"/>
              </w:rPr>
              <w:t>delivery d1 de job_88; llama charge sin idempotency_key</w:t>
            </w:r>
          </w:p>
        </w:tc>
      </w:tr>
      <w:tr>
        <w:tc>
          <w:tcPr>
            <w:tcW w:type="dxa" w:w="1700"/>
            <w:vAlign w:val="center"/>
          </w:tcPr>
          <w:p>
            <w:pPr>
              <w:spacing w:after="20" w:line="252" w:lineRule="auto"/>
            </w:pPr>
            <w:r>
              <w:rPr>
                <w:rFonts w:ascii="Calibri" w:hAnsi="Calibri"/>
                <w:color w:val="202A35"/>
                <w:sz w:val="18"/>
              </w:rPr>
              <w:t>10:00:02.020</w:t>
            </w:r>
          </w:p>
        </w:tc>
        <w:tc>
          <w:tcPr>
            <w:tcW w:type="dxa" w:w="1500"/>
            <w:vAlign w:val="center"/>
          </w:tcPr>
          <w:p>
            <w:pPr>
              <w:spacing w:after="20" w:line="252" w:lineRule="auto"/>
            </w:pPr>
            <w:r>
              <w:rPr>
                <w:rFonts w:ascii="Calibri" w:hAnsi="Calibri"/>
                <w:color w:val="202A35"/>
                <w:sz w:val="18"/>
              </w:rPr>
              <w:t>provider</w:t>
            </w:r>
          </w:p>
        </w:tc>
        <w:tc>
          <w:tcPr>
            <w:tcW w:type="dxa" w:w="6160"/>
            <w:vAlign w:val="center"/>
          </w:tcPr>
          <w:p>
            <w:pPr>
              <w:spacing w:after="20" w:line="252" w:lineRule="auto"/>
            </w:pPr>
            <w:r>
              <w:rPr>
                <w:rFonts w:ascii="Calibri" w:hAnsi="Calibri"/>
                <w:color w:val="202A35"/>
                <w:sz w:val="18"/>
              </w:rPr>
              <w:t>cargo ch_501 aprobado para ord_431 / pay_1</w:t>
            </w:r>
          </w:p>
        </w:tc>
      </w:tr>
      <w:tr>
        <w:tc>
          <w:tcPr>
            <w:tcW w:type="dxa" w:w="1700"/>
            <w:vAlign w:val="center"/>
          </w:tcPr>
          <w:p>
            <w:pPr>
              <w:spacing w:after="20" w:line="252" w:lineRule="auto"/>
            </w:pPr>
            <w:r>
              <w:rPr>
                <w:rFonts w:ascii="Calibri" w:hAnsi="Calibri"/>
                <w:color w:val="202A35"/>
                <w:sz w:val="18"/>
              </w:rPr>
              <w:t>10:00:02.030</w:t>
            </w:r>
          </w:p>
        </w:tc>
        <w:tc>
          <w:tcPr>
            <w:tcW w:type="dxa" w:w="1500"/>
            <w:vAlign w:val="center"/>
          </w:tcPr>
          <w:p>
            <w:pPr>
              <w:spacing w:after="20" w:line="252" w:lineRule="auto"/>
            </w:pPr>
            <w:r>
              <w:rPr>
                <w:rFonts w:ascii="Calibri" w:hAnsi="Calibri"/>
                <w:color w:val="202A35"/>
                <w:sz w:val="18"/>
              </w:rPr>
              <w:t>worker</w:t>
            </w:r>
          </w:p>
        </w:tc>
        <w:tc>
          <w:tcPr>
            <w:tcW w:type="dxa" w:w="6160"/>
            <w:vAlign w:val="center"/>
          </w:tcPr>
          <w:p>
            <w:pPr>
              <w:spacing w:after="20" w:line="252" w:lineRule="auto"/>
            </w:pPr>
            <w:r>
              <w:rPr>
                <w:rFonts w:ascii="Calibri" w:hAnsi="Calibri"/>
                <w:color w:val="202A35"/>
                <w:sz w:val="18"/>
              </w:rPr>
              <w:t>db insert timeout antes de guardar ch_501; mensaje no confirmado</w:t>
            </w:r>
          </w:p>
        </w:tc>
      </w:tr>
      <w:tr>
        <w:tc>
          <w:tcPr>
            <w:tcW w:type="dxa" w:w="1700"/>
            <w:vAlign w:val="center"/>
          </w:tcPr>
          <w:p>
            <w:pPr>
              <w:spacing w:after="20" w:line="252" w:lineRule="auto"/>
            </w:pPr>
            <w:r>
              <w:rPr>
                <w:rFonts w:ascii="Calibri" w:hAnsi="Calibri"/>
                <w:color w:val="202A35"/>
                <w:sz w:val="18"/>
              </w:rPr>
              <w:t>10:00:32.100</w:t>
            </w:r>
          </w:p>
        </w:tc>
        <w:tc>
          <w:tcPr>
            <w:tcW w:type="dxa" w:w="1500"/>
            <w:vAlign w:val="center"/>
          </w:tcPr>
          <w:p>
            <w:pPr>
              <w:spacing w:after="20" w:line="252" w:lineRule="auto"/>
            </w:pPr>
            <w:r>
              <w:rPr>
                <w:rFonts w:ascii="Calibri" w:hAnsi="Calibri"/>
                <w:color w:val="202A35"/>
                <w:sz w:val="18"/>
              </w:rPr>
              <w:t>queue</w:t>
            </w:r>
          </w:p>
        </w:tc>
        <w:tc>
          <w:tcPr>
            <w:tcW w:type="dxa" w:w="6160"/>
            <w:vAlign w:val="center"/>
          </w:tcPr>
          <w:p>
            <w:pPr>
              <w:spacing w:after="20" w:line="252" w:lineRule="auto"/>
            </w:pPr>
            <w:r>
              <w:rPr>
                <w:rFonts w:ascii="Calibri" w:hAnsi="Calibri"/>
                <w:color w:val="202A35"/>
                <w:sz w:val="18"/>
              </w:rPr>
              <w:t>redelivery d2 de job_88</w:t>
            </w:r>
          </w:p>
        </w:tc>
      </w:tr>
      <w:tr>
        <w:tc>
          <w:tcPr>
            <w:tcW w:type="dxa" w:w="1700"/>
            <w:vAlign w:val="center"/>
          </w:tcPr>
          <w:p>
            <w:pPr>
              <w:spacing w:after="20" w:line="252" w:lineRule="auto"/>
            </w:pPr>
            <w:r>
              <w:rPr>
                <w:rFonts w:ascii="Calibri" w:hAnsi="Calibri"/>
                <w:color w:val="202A35"/>
                <w:sz w:val="18"/>
              </w:rPr>
              <w:t>10:00:32.950</w:t>
            </w:r>
          </w:p>
        </w:tc>
        <w:tc>
          <w:tcPr>
            <w:tcW w:type="dxa" w:w="1500"/>
            <w:vAlign w:val="center"/>
          </w:tcPr>
          <w:p>
            <w:pPr>
              <w:spacing w:after="20" w:line="252" w:lineRule="auto"/>
            </w:pPr>
            <w:r>
              <w:rPr>
                <w:rFonts w:ascii="Calibri" w:hAnsi="Calibri"/>
                <w:color w:val="202A35"/>
                <w:sz w:val="18"/>
              </w:rPr>
              <w:t>provider</w:t>
            </w:r>
          </w:p>
        </w:tc>
        <w:tc>
          <w:tcPr>
            <w:tcW w:type="dxa" w:w="6160"/>
            <w:vAlign w:val="center"/>
          </w:tcPr>
          <w:p>
            <w:pPr>
              <w:spacing w:after="20" w:line="252" w:lineRule="auto"/>
            </w:pPr>
            <w:r>
              <w:rPr>
                <w:rFonts w:ascii="Calibri" w:hAnsi="Calibri"/>
                <w:color w:val="202A35"/>
                <w:sz w:val="18"/>
              </w:rPr>
              <w:t>cargo ch_502 aprobado para ord_431 / pay_1</w:t>
            </w:r>
          </w:p>
        </w:tc>
      </w:tr>
      <w:tr>
        <w:tc>
          <w:tcPr>
            <w:tcW w:type="dxa" w:w="1700"/>
            <w:vAlign w:val="center"/>
          </w:tcPr>
          <w:p>
            <w:pPr>
              <w:spacing w:after="20" w:line="252" w:lineRule="auto"/>
            </w:pPr>
            <w:r>
              <w:rPr>
                <w:rFonts w:ascii="Calibri" w:hAnsi="Calibri"/>
                <w:color w:val="202A35"/>
                <w:sz w:val="18"/>
              </w:rPr>
              <w:t>10:00:33.010</w:t>
            </w:r>
          </w:p>
        </w:tc>
        <w:tc>
          <w:tcPr>
            <w:tcW w:type="dxa" w:w="1500"/>
            <w:vAlign w:val="center"/>
          </w:tcPr>
          <w:p>
            <w:pPr>
              <w:spacing w:after="20" w:line="252" w:lineRule="auto"/>
            </w:pPr>
            <w:r>
              <w:rPr>
                <w:rFonts w:ascii="Calibri" w:hAnsi="Calibri"/>
                <w:color w:val="202A35"/>
                <w:sz w:val="18"/>
              </w:rPr>
              <w:t>worker</w:t>
            </w:r>
          </w:p>
        </w:tc>
        <w:tc>
          <w:tcPr>
            <w:tcW w:type="dxa" w:w="6160"/>
            <w:vAlign w:val="center"/>
          </w:tcPr>
          <w:p>
            <w:pPr>
              <w:spacing w:after="20" w:line="252" w:lineRule="auto"/>
            </w:pPr>
            <w:r>
              <w:rPr>
                <w:rFonts w:ascii="Calibri" w:hAnsi="Calibri"/>
                <w:color w:val="202A35"/>
                <w:sz w:val="18"/>
              </w:rPr>
              <w:t>guarda ch_502 y confirma mensaje</w:t>
            </w:r>
          </w:p>
        </w:tc>
      </w:tr>
    </w:tbl>
    <w:p>
      <w:pPr>
        <w:pStyle w:val="Heading2"/>
      </w:pPr>
      <w:r>
        <w:t>Handler actual</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Pseudocódigo: </w:t>
            </w:r>
            <w:r>
              <w:rPr>
                <w:rFonts w:ascii="Calibri" w:hAnsi="Calibri"/>
                <w:color w:val="202A35"/>
                <w:sz w:val="20"/>
              </w:rPr>
              <w:t>handle(job): charge_id = provider.charge(job.order_id, job.amount); db.insert_payment(job.order_id, job.attempt_id, charge_id); queue.ack(job)</w:t>
            </w:r>
          </w:p>
        </w:tc>
      </w:tr>
    </w:tbl>
    <w:p>
      <w:pPr>
        <w:pStyle w:val="Heading2"/>
      </w:pPr>
      <w:r>
        <w:t>Restricciones y capacidades</w:t>
      </w:r>
    </w:p>
    <w:p>
      <w:pPr>
        <w:pStyle w:val="ListBullet"/>
      </w:pPr>
      <w:r>
        <w:t>El proveedor acepta `idempotency_key` y devuelve el mismo resultado para la misma clave durante 24 horas.</w:t>
      </w:r>
    </w:p>
    <w:p>
      <w:pPr>
        <w:pStyle w:val="ListBullet"/>
      </w:pPr>
      <w:r>
        <w:t>La base puede imponer unicidad sobre (order_id, attempt_id).</w:t>
      </w:r>
    </w:p>
    <w:p>
      <w:pPr>
        <w:pStyle w:val="ListBullet"/>
      </w:pPr>
      <w:r>
        <w:t>Un pago rechazado puede reintentarse legítimamente con un attempt_id nuevo.</w:t>
      </w:r>
    </w:p>
    <w:p>
      <w:pPr>
        <w:pStyle w:val="ListBullet"/>
      </w:pPr>
      <w:r>
        <w:t>No se puede prometer entrega exactamente una vez de la cola. El ack solo debe ocurrir después de un estado durable.</w:t>
      </w:r>
    </w:p>
    <w:p>
      <w:pPr>
        <w:pStyle w:val="ListBullet"/>
      </w:pPr>
      <w:r>
        <w:t>No se conoce si ch_501 fue conciliado posteriormente; ese impacto queda fuera del parche inmediato.</w:t>
      </w:r>
    </w:p>
    <w:p>
      <w:pPr>
        <w:pStyle w:val="Heading2"/>
      </w:pPr>
      <w:r>
        <w:t>Modelo de fallo autorizado</w:t>
      </w:r>
    </w:p>
    <w:p>
      <w:r>
        <w:t>La cola puede entregar el mismo `job_88` más de una vez cuando el worker no confirma el mensaje. El primer llamado al proveedor fue aprobado antes del timeout de base. Como el handler no envió una clave de idempotencia y no quedó un estado durable que representara el resultado, la segunda entrega repitió el efecto externo y produjo `ch_502`. El dossier no permite saber si el primer cargo fue luego conciliado o reembolsado.</w:t>
      </w:r>
    </w:p>
    <w:p>
      <w:r>
        <w:t>La corrección buscada no consiste en eliminar reintentos. Un rechazo puede iniciar un intento legítimo nuevo y debe obtener una clave distinta. En cambio, una redelivery del mismo intento debe reutilizar una clave estable. La pareja `(order_id, attempt_id)` define el alcance disponible en este ejercicio.</w:t>
      </w:r>
    </w:p>
    <w:p>
      <w:pPr>
        <w:pStyle w:val="Heading2"/>
      </w:pPr>
      <w:r>
        <w:t>Estados y transiciones a considerar</w:t>
      </w:r>
    </w:p>
    <w:tbl>
      <w:tblPr>
        <w:tblStyle w:val="TableGrid"/>
        <w:tblW w:type="dxa" w:w="9360"/>
        <w:jc w:val="left"/>
        <w:tblLayout w:type="fixed"/>
        <w:tblLook w:firstColumn="1" w:firstRow="1" w:lastColumn="0" w:lastRow="0" w:noHBand="0" w:noVBand="1" w:val="04A0"/>
        <w:tblInd w:w="120" w:type="dxa"/>
      </w:tblPr>
      <w:tblGrid>
        <w:gridCol w:w="2300"/>
        <w:gridCol w:w="3200"/>
        <w:gridCol w:w="3860"/>
      </w:tblGrid>
      <w:tr>
        <w:trPr>
          <w:tblHeader w:val="true"/>
        </w:trPr>
        <w:tc>
          <w:tcPr>
            <w:tcW w:type="dxa" w:w="2300"/>
            <w:tcMar>
              <w:top w:w="80" w:type="dxa"/>
              <w:start w:w="120" w:type="dxa"/>
              <w:bottom w:w="80" w:type="dxa"/>
              <w:end w:w="120" w:type="dxa"/>
            </w:tcMar>
            <w:shd w:fill="F2F4F7"/>
            <w:vAlign w:val="center"/>
          </w:tcPr>
          <w:p>
            <w:pPr>
              <w:spacing w:after="40"/>
            </w:pPr>
            <w:r>
              <w:rPr>
                <w:rFonts w:ascii="Calibri" w:hAnsi="Calibri"/>
                <w:b/>
                <w:color w:val="202A35"/>
                <w:sz w:val="19"/>
              </w:rPr>
              <w:t>Momento</w:t>
            </w:r>
          </w:p>
        </w:tc>
        <w:tc>
          <w:tcPr>
            <w:tcW w:type="dxa" w:w="3200"/>
            <w:tcMar>
              <w:top w:w="80" w:type="dxa"/>
              <w:start w:w="120" w:type="dxa"/>
              <w:bottom w:w="80" w:type="dxa"/>
              <w:end w:w="120" w:type="dxa"/>
            </w:tcMar>
            <w:shd w:fill="F2F4F7"/>
            <w:vAlign w:val="center"/>
          </w:tcPr>
          <w:p>
            <w:pPr>
              <w:spacing w:after="40"/>
            </w:pPr>
            <w:r>
              <w:rPr>
                <w:rFonts w:ascii="Calibri" w:hAnsi="Calibri"/>
                <w:b/>
                <w:color w:val="202A35"/>
                <w:sz w:val="19"/>
              </w:rPr>
              <w:t>Riesgo</w:t>
            </w:r>
          </w:p>
        </w:tc>
        <w:tc>
          <w:tcPr>
            <w:tcW w:type="dxa" w:w="3860"/>
            <w:tcMar>
              <w:top w:w="80" w:type="dxa"/>
              <w:start w:w="120" w:type="dxa"/>
              <w:bottom w:w="80" w:type="dxa"/>
              <w:end w:w="120" w:type="dxa"/>
            </w:tcMar>
            <w:shd w:fill="F2F4F7"/>
            <w:vAlign w:val="center"/>
          </w:tcPr>
          <w:p>
            <w:pPr>
              <w:spacing w:after="40"/>
            </w:pPr>
            <w:r>
              <w:rPr>
                <w:rFonts w:ascii="Calibri" w:hAnsi="Calibri"/>
                <w:b/>
                <w:color w:val="202A35"/>
                <w:sz w:val="19"/>
              </w:rPr>
              <w:t>Decisión que debe quedar explícita</w:t>
            </w:r>
          </w:p>
        </w:tc>
      </w:tr>
      <w:tr>
        <w:tc>
          <w:tcPr>
            <w:tcW w:type="dxa" w:w="2300"/>
            <w:vAlign w:val="center"/>
          </w:tcPr>
          <w:p>
            <w:pPr>
              <w:spacing w:after="20" w:line="252" w:lineRule="auto"/>
            </w:pPr>
            <w:r>
              <w:rPr>
                <w:rFonts w:ascii="Calibri" w:hAnsi="Calibri"/>
                <w:color w:val="202A35"/>
                <w:sz w:val="18"/>
              </w:rPr>
              <w:t>antes de llamar al proveedor</w:t>
            </w:r>
          </w:p>
        </w:tc>
        <w:tc>
          <w:tcPr>
            <w:tcW w:type="dxa" w:w="3200"/>
            <w:vAlign w:val="center"/>
          </w:tcPr>
          <w:p>
            <w:pPr>
              <w:spacing w:after="20" w:line="252" w:lineRule="auto"/>
            </w:pPr>
            <w:r>
              <w:rPr>
                <w:rFonts w:ascii="Calibri" w:hAnsi="Calibri"/>
                <w:color w:val="202A35"/>
                <w:sz w:val="18"/>
              </w:rPr>
              <w:t>fallar sin cargo</w:t>
            </w:r>
          </w:p>
        </w:tc>
        <w:tc>
          <w:tcPr>
            <w:tcW w:type="dxa" w:w="3860"/>
            <w:vAlign w:val="center"/>
          </w:tcPr>
          <w:p>
            <w:pPr>
              <w:spacing w:after="20" w:line="252" w:lineRule="auto"/>
            </w:pPr>
            <w:r>
              <w:rPr>
                <w:rFonts w:ascii="Calibri" w:hAnsi="Calibri"/>
                <w:color w:val="202A35"/>
                <w:sz w:val="18"/>
              </w:rPr>
              <w:t>permitir redelivery segura</w:t>
            </w:r>
          </w:p>
        </w:tc>
      </w:tr>
      <w:tr>
        <w:tc>
          <w:tcPr>
            <w:tcW w:type="dxa" w:w="2300"/>
            <w:vAlign w:val="center"/>
          </w:tcPr>
          <w:p>
            <w:pPr>
              <w:spacing w:after="20" w:line="252" w:lineRule="auto"/>
            </w:pPr>
            <w:r>
              <w:rPr>
                <w:rFonts w:ascii="Calibri" w:hAnsi="Calibri"/>
                <w:color w:val="202A35"/>
                <w:sz w:val="18"/>
              </w:rPr>
              <w:t>proveedor aprobó, base aún no guardó</w:t>
            </w:r>
          </w:p>
        </w:tc>
        <w:tc>
          <w:tcPr>
            <w:tcW w:type="dxa" w:w="3200"/>
            <w:vAlign w:val="center"/>
          </w:tcPr>
          <w:p>
            <w:pPr>
              <w:spacing w:after="20" w:line="252" w:lineRule="auto"/>
            </w:pPr>
            <w:r>
              <w:rPr>
                <w:rFonts w:ascii="Calibri" w:hAnsi="Calibri"/>
                <w:color w:val="202A35"/>
                <w:sz w:val="18"/>
              </w:rPr>
              <w:t>efecto externo sin estado local</w:t>
            </w:r>
          </w:p>
        </w:tc>
        <w:tc>
          <w:tcPr>
            <w:tcW w:type="dxa" w:w="3860"/>
            <w:vAlign w:val="center"/>
          </w:tcPr>
          <w:p>
            <w:pPr>
              <w:spacing w:after="20" w:line="252" w:lineRule="auto"/>
            </w:pPr>
            <w:r>
              <w:rPr>
                <w:rFonts w:ascii="Calibri" w:hAnsi="Calibri"/>
                <w:color w:val="202A35"/>
                <w:sz w:val="18"/>
              </w:rPr>
              <w:t>reusar clave y reconciliar resultado</w:t>
            </w:r>
          </w:p>
        </w:tc>
      </w:tr>
      <w:tr>
        <w:tc>
          <w:tcPr>
            <w:tcW w:type="dxa" w:w="2300"/>
            <w:vAlign w:val="center"/>
          </w:tcPr>
          <w:p>
            <w:pPr>
              <w:spacing w:after="20" w:line="252" w:lineRule="auto"/>
            </w:pPr>
            <w:r>
              <w:rPr>
                <w:rFonts w:ascii="Calibri" w:hAnsi="Calibri"/>
                <w:color w:val="202A35"/>
                <w:sz w:val="18"/>
              </w:rPr>
              <w:t>estado durable guardado</w:t>
            </w:r>
          </w:p>
        </w:tc>
        <w:tc>
          <w:tcPr>
            <w:tcW w:type="dxa" w:w="3200"/>
            <w:vAlign w:val="center"/>
          </w:tcPr>
          <w:p>
            <w:pPr>
              <w:spacing w:after="20" w:line="252" w:lineRule="auto"/>
            </w:pPr>
            <w:r>
              <w:rPr>
                <w:rFonts w:ascii="Calibri" w:hAnsi="Calibri"/>
                <w:color w:val="202A35"/>
                <w:sz w:val="18"/>
              </w:rPr>
              <w:t>repetición del mensaje</w:t>
            </w:r>
          </w:p>
        </w:tc>
        <w:tc>
          <w:tcPr>
            <w:tcW w:type="dxa" w:w="3860"/>
            <w:vAlign w:val="center"/>
          </w:tcPr>
          <w:p>
            <w:pPr>
              <w:spacing w:after="20" w:line="252" w:lineRule="auto"/>
            </w:pPr>
            <w:r>
              <w:rPr>
                <w:rFonts w:ascii="Calibri" w:hAnsi="Calibri"/>
                <w:color w:val="202A35"/>
                <w:sz w:val="18"/>
              </w:rPr>
              <w:t>devolver resultado existente y luego confirmar</w:t>
            </w:r>
          </w:p>
        </w:tc>
      </w:tr>
      <w:tr>
        <w:tc>
          <w:tcPr>
            <w:tcW w:type="dxa" w:w="2300"/>
            <w:vAlign w:val="center"/>
          </w:tcPr>
          <w:p>
            <w:pPr>
              <w:spacing w:after="20" w:line="252" w:lineRule="auto"/>
            </w:pPr>
            <w:r>
              <w:rPr>
                <w:rFonts w:ascii="Calibri" w:hAnsi="Calibri"/>
                <w:color w:val="202A35"/>
                <w:sz w:val="18"/>
              </w:rPr>
              <w:t>intento legítimo nuevo</w:t>
            </w:r>
          </w:p>
        </w:tc>
        <w:tc>
          <w:tcPr>
            <w:tcW w:type="dxa" w:w="3200"/>
            <w:vAlign w:val="center"/>
          </w:tcPr>
          <w:p>
            <w:pPr>
              <w:spacing w:after="20" w:line="252" w:lineRule="auto"/>
            </w:pPr>
            <w:r>
              <w:rPr>
                <w:rFonts w:ascii="Calibri" w:hAnsi="Calibri"/>
                <w:color w:val="202A35"/>
                <w:sz w:val="18"/>
              </w:rPr>
              <w:t>bloqueo por clave demasiado amplia</w:t>
            </w:r>
          </w:p>
        </w:tc>
        <w:tc>
          <w:tcPr>
            <w:tcW w:type="dxa" w:w="3860"/>
            <w:vAlign w:val="center"/>
          </w:tcPr>
          <w:p>
            <w:pPr>
              <w:spacing w:after="20" w:line="252" w:lineRule="auto"/>
            </w:pPr>
            <w:r>
              <w:rPr>
                <w:rFonts w:ascii="Calibri" w:hAnsi="Calibri"/>
                <w:color w:val="202A35"/>
                <w:sz w:val="18"/>
              </w:rPr>
              <w:t>crear nueva clave a partir del nuevo attempt_id</w:t>
            </w:r>
          </w:p>
        </w:tc>
      </w:tr>
    </w:tbl>
    <w:p>
      <w:pPr>
        <w:pStyle w:val="Heading2"/>
      </w:pPr>
      <w:r>
        <w:t>Función de cada artefacto</w:t>
      </w:r>
    </w:p>
    <w:p>
      <w:pPr>
        <w:pStyle w:val="ListBullet"/>
      </w:pPr>
      <w:r>
        <w:t>El postmortem explica hechos, secuencia causal, impacto conocido, factores contribuyentes y límites. No debe presentar la solución como si ya hubiera existido durante el incidente.</w:t>
      </w:r>
    </w:p>
    <w:p>
      <w:pPr>
        <w:pStyle w:val="ListBullet"/>
      </w:pPr>
      <w:r>
        <w:t>El ADR fija el invariant, compara al menos dos opciones y documenta la decisión, sus trade-offs y una ruta de recuperación.</w:t>
      </w:r>
    </w:p>
    <w:p>
      <w:pPr>
        <w:pStyle w:val="ListBullet"/>
      </w:pPr>
      <w:r>
        <w:t>El parche muestra el orden operativo: obtener o crear estado, usar la clave estable, persistir un resultado y confirmar después de durabilidad. Puede ser pseudocódigo independiente de framework.</w:t>
      </w:r>
    </w:p>
    <w:p>
      <w:pPr>
        <w:pStyle w:val="ListBullet"/>
      </w:pPr>
      <w:r>
        <w:t>Los tres artefactos deben coincidir. Si el ADR promete una clave por intento y el parche genera una por delivery, existe una contradicción material.</w:t>
      </w:r>
    </w:p>
    <w:p>
      <w:pPr>
        <w:pStyle w:val="Heading2"/>
      </w:pPr>
      <w:r>
        <w:t>Audiencia y alcance</w:t>
      </w:r>
    </w:p>
    <w:p>
      <w:r>
        <w:t>Escribe para un equipo de plataforma que hará una revisión de diseño. Puede comprender términos como idempotencia, redelivery, invariant, estado durable y reconciliación, pero necesita que cada término se conecte con `job_88`, `pay_1` y las capacidades autorizadas. No inventes semántica del proveedor, transacciones distribuidas ni garantías de exactamente una vez.</w:t>
      </w:r>
    </w:p>
    <w:p>
      <w:pPr>
        <w:pStyle w:val="Heading2"/>
      </w:pPr>
      <w:r>
        <w:t>Extensión orientativa / no evaluable</w:t>
      </w:r>
    </w:p>
    <w:p>
      <w:r>
        <w:t>Como guía de formato, el postmortem puede tener entre 600 y 1.000 palabras y el ADR entre 450 y 800. El parche mantiene el máximo evaluable de 80 líneas. La extensión orientativa puede emplearse en reconstruir estados y fallos, comparar alternativas y explicar recuperación; no en repetir terminología de sistemas distribuidos. Los tres artefactos se valoran como una unidad coherente. La extensión indicada es una guía de formato. No constituye por sí misma un criterio de evaluación; el trabajo se evalúa por la evidencia y el razonamiento solicitados.</w:t>
      </w:r>
    </w:p>
    <w:p>
      <w:pPr>
        <w:pStyle w:val="Heading1"/>
      </w:pPr>
      <w:r>
        <w:t>Entregables</w:t>
      </w:r>
    </w:p>
    <w:p>
      <w:pPr>
        <w:pStyle w:val="ListNumber"/>
      </w:pPr>
      <w:r>
        <w:t>postmortem.md (orientación de formato: 600 a 1.000 palabras, no criterio evaluable): impacto conocido, línea temporal, causa técnica, factores contribuyentes, detección, acciones y límites de evidencia.</w:t>
      </w:r>
    </w:p>
    <w:p>
      <w:pPr>
        <w:pStyle w:val="ListNumber"/>
      </w:pPr>
      <w:r>
        <w:t>adr.md: invariant, opciones, decisión de clave, trade-offs y recuperación.</w:t>
      </w:r>
    </w:p>
    <w:p>
      <w:pPr>
        <w:pStyle w:val="ListNumber"/>
      </w:pPr>
      <w:r>
        <w:t>patch.md: pseudocódigo o diff conceptual de máximo 80 líneas. No generes tests.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Alcance: </w:t>
            </w:r>
            <w:r>
              <w:rPr>
                <w:rFonts w:ascii="Calibri" w:hAnsi="Calibri"/>
                <w:color w:val="202A35"/>
                <w:sz w:val="20"/>
              </w:rPr>
              <w:t>No se evalúa proveedor, lenguaje ni framework específico. La clave debe permanecer estable durante redelivery y distinguir un intento legítimo nuevo.</w:t>
            </w:r>
          </w:p>
        </w:tc>
      </w:tr>
    </w:tbl>
    <w:sectPr w:rsidR="00FC693F" w:rsidRPr="0006063C" w:rsidSect="00034616">
      <w:headerReference w:type="default" r:id="rId9"/>
      <w:footerReference w:type="default" r:id="rId10"/>
      <w:pgSz w:w="12240" w:h="15840"/>
      <w:pgMar w:top="1123"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Calibri" w:hAnsi="Calibri"/>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