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Rúbrica de evaluación</w:t>
      </w:r>
    </w:p>
    <w:p>
      <w:pPr>
        <w:spacing w:after="200"/>
      </w:pPr>
      <w:r>
        <w:rPr>
          <w:b/>
          <w:color w:val="356B87"/>
          <w:sz w:val="18"/>
        </w:rPr>
        <w:t>Documento oficial • caso CVA-CACHE-01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80"/>
      </w:tblGrid>
      <w:tr>
        <w:tc>
          <w:tcPr>
            <w:tcW w:type="dxa" w:w="2232"/>
            <w:vAlign w:val="center"/>
            <w:shd w:fill="E8F1F5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Escala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0–3</w:t>
            </w:r>
          </w:p>
        </w:tc>
      </w:tr>
      <w:tr>
        <w:tc>
          <w:tcPr>
            <w:tcW w:type="dxa" w:w="2232"/>
            <w:vAlign w:val="center"/>
            <w:shd w:fill="E8F1F5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Criterio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criterion_1</w:t>
            </w:r>
          </w:p>
        </w:tc>
      </w:tr>
      <w:tr>
        <w:tc>
          <w:tcPr>
            <w:tcW w:type="dxa" w:w="2232"/>
            <w:vAlign w:val="center"/>
            <w:shd w:fill="E8F1F5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Peso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100 % (grading_weight = 1.0)</w:t>
            </w:r>
          </w:p>
        </w:tc>
      </w:tr>
      <w:tr>
        <w:tc>
          <w:tcPr>
            <w:tcW w:type="dxa" w:w="2232"/>
            <w:vAlign w:val="center"/>
            <w:shd w:fill="E8F1F5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Ajuste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Alta verificabilidad desde evidencia localizada</w:t>
            </w:r>
          </w:p>
        </w:tc>
      </w:tr>
    </w:tbl>
    <w:p>
      <w:pPr>
        <w:pStyle w:val="Heading1"/>
      </w:pPr>
      <w:r>
        <w:t>Criterio único</w:t>
      </w:r>
    </w:p>
    <w:p>
      <w:r>
        <w:t>Explicación causal de invalidación de caché: relaciona el cambio de fuente, la invalidación de la entrada, la nueva consulta y el recálculo, y explica por qué esa secuencia evita devolver un resultado obsoleto.</w:t>
      </w:r>
    </w:p>
    <w:p>
      <w:pPr>
        <w:pStyle w:val="Heading2"/>
      </w:pPr>
      <w:r>
        <w:t>Observables</w:t>
      </w:r>
    </w:p>
    <w:p>
      <w:pPr>
        <w:pStyle w:val="ListBullet"/>
      </w:pPr>
      <w:r>
        <w:t>Ordena la secuencia causal completa.</w:t>
      </w:r>
    </w:p>
    <w:p>
      <w:pPr>
        <w:pStyle w:val="ListBullet"/>
      </w:pPr>
      <w:r>
        <w:t>Vincula la invalidación con la prevención de resultados obsoletos.</w:t>
      </w:r>
    </w:p>
    <w:p>
      <w:pPr>
        <w:pStyle w:val="ListBullet"/>
      </w:pPr>
      <w:r>
        <w:t>Distingue lo sustentado por la traza de lo que no puede inferirse.</w:t>
      </w:r>
    </w:p>
    <w:p>
      <w:pPr>
        <w:pStyle w:val="Heading1"/>
      </w:pPr>
      <w:r>
        <w:t>Niveles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5083"/>
            <w:shd w:fill="17324D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Descriptor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 • Completo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Explica la secuencia y el riesgo de obsolescencia con evidencia exacta y sin ampliar la fuente.</w:t>
            </w:r>
          </w:p>
        </w:tc>
      </w:tr>
      <w:tr>
        <w:tc>
          <w:tcPr>
            <w:tcW w:type="dxa" w:w="5083"/>
            <w:shd w:fill="F3F5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 • Suficiente</w:t>
            </w:r>
          </w:p>
        </w:tc>
        <w:tc>
          <w:tcPr>
            <w:tcW w:type="dxa" w:w="5083"/>
            <w:shd w:fill="F3F5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Explica el núcleo del mecanismo y vincula invalidación con recálculo.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 • Parcial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Menciona pasos correctos, pero omite el vínculo causal o el riesgo evitado.</w:t>
            </w:r>
          </w:p>
        </w:tc>
      </w:tr>
      <w:tr>
        <w:tc>
          <w:tcPr>
            <w:tcW w:type="dxa" w:w="5083"/>
            <w:shd w:fill="F3F5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 • No evidenciado</w:t>
            </w:r>
          </w:p>
        </w:tc>
        <w:tc>
          <w:tcPr>
            <w:tcW w:type="dxa" w:w="5083"/>
            <w:shd w:fill="F3F5F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 presenta una explicación sustentada por el entregable.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356B87"/>
        <w:sz w:val="14"/>
      </w:rPr>
      <w:t>SYNTHETIC_ONLY_NO_STUDENT_DATA  •  revisión 2026-08-13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356B87"/>
        <w:sz w:val="15"/>
      </w:rPr>
      <w:t>CVA  |  PAQUETE CANÓNICO SINTÉTICO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17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56B8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Rúbrica sintética: explicación causal de invalidación de caché</dc:title>
  <dc:subject>HARNESS_SEMANTIC_REMEDIATION</dc:subject>
  <dc:creator>CVA Harness Review</dc:creator>
  <cp:keywords>synthetic, qualification, cache invalidation</cp:keywords>
  <dc:description>Inert synthetic fixture; no student data.</dc:description>
  <cp:lastModifiedBy>CVA Harness Review</cp:lastModifiedBy>
  <cp:revision>1</cp:revision>
  <dcterms:created xsi:type="dcterms:W3CDTF">2026-08-13T12:00:00Z</dcterms:created>
  <dcterms:modified xsi:type="dcterms:W3CDTF">2026-08-13T12:00:00Z</dcterms:modified>
  <cp:category/>
</cp:coreProperties>
</file>