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Anteproyecto de práctica profesional</w:t>
      </w:r>
    </w:p>
    <w:p>
      <w:r>
        <w:rPr>
          <w:b/>
          <w:color w:val="002B49"/>
          <w:sz w:val="28"/>
        </w:rPr>
        <w:t>Aplicación web para la gestión y trazabilidad de actividades e inspecciones de Control de Calidad</w:t>
      </w:r>
    </w:p>
    <w:p>
      <w:r>
        <w:t>Versión corregida al 6 de octubre de 2026 a partir de la retroalimentación académica del 29 de septiembre. Consolida la propuesta, el plan de trabajo y los productos de seguimiento. Los datos que no constan en los antecedentes se señalan para validación; no se presentan como hechos.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39"/>
        <w:gridCol w:w="4939"/>
      </w:tblGrid>
      <w:tr>
        <w:tc>
          <w:tcPr>
            <w:tcW w:type="dxa" w:w="2376"/>
            <w:shd w:fill="002B49"/>
            <w:vAlign w:val="center"/>
          </w:tcPr>
          <w:p>
            <w:r>
              <w:rPr>
                <w:b/>
                <w:color w:val="FFFFFF"/>
                <w:sz w:val="16"/>
              </w:rPr>
              <w:t>Identificación</w:t>
            </w:r>
          </w:p>
        </w:tc>
        <w:tc>
          <w:tcPr>
            <w:tcW w:type="dxa" w:w="7992"/>
            <w:shd w:fill="002B49"/>
            <w:vAlign w:val="center"/>
          </w:tcPr>
          <w:p>
            <w:r>
              <w:rPr>
                <w:b/>
                <w:color w:val="FFFFFF"/>
                <w:sz w:val="16"/>
              </w:rPr>
              <w:t>Antecedentes disponibles</w:t>
            </w:r>
          </w:p>
        </w:tc>
      </w:tr>
      <w:tr>
        <w:tc>
          <w:tcPr>
            <w:tcW w:type="dxa" w:w="2376"/>
            <w:vAlign w:val="center"/>
          </w:tcPr>
          <w:p>
            <w:pPr>
              <w:spacing w:after="40"/>
            </w:pPr>
            <w:r>
              <w:rPr>
                <w:sz w:val="16"/>
              </w:rPr>
              <w:t>Organización y área</w:t>
            </w:r>
          </w:p>
        </w:tc>
        <w:tc>
          <w:tcPr>
            <w:tcW w:type="dxa" w:w="7992"/>
            <w:vAlign w:val="center"/>
          </w:tcPr>
          <w:p>
            <w:pPr>
              <w:spacing w:after="40"/>
            </w:pPr>
            <w:r>
              <w:rPr>
                <w:sz w:val="16"/>
              </w:rPr>
              <w:t>Ancor Tecmin · Departamento de Control de Calidad</w:t>
            </w:r>
          </w:p>
        </w:tc>
      </w:tr>
      <w:tr>
        <w:tc>
          <w:tcPr>
            <w:tcW w:type="dxa" w:w="2376"/>
            <w:vAlign w:val="center"/>
            <w:shd w:fill="F2F5F8"/>
          </w:tcPr>
          <w:p>
            <w:pPr>
              <w:spacing w:after="40"/>
            </w:pPr>
            <w:r>
              <w:rPr>
                <w:sz w:val="16"/>
              </w:rPr>
              <w:t>Contraparte informada</w:t>
            </w:r>
          </w:p>
        </w:tc>
        <w:tc>
          <w:tcPr>
            <w:tcW w:type="dxa" w:w="7992"/>
            <w:vAlign w:val="center"/>
            <w:shd w:fill="F2F5F8"/>
          </w:tcPr>
          <w:p>
            <w:pPr>
              <w:spacing w:after="40"/>
            </w:pPr>
            <w:r>
              <w:rPr>
                <w:sz w:val="16"/>
              </w:rPr>
              <w:t>Martín Alejandro Silva Abarca · Jefe de Control de Calidad</w:t>
            </w:r>
          </w:p>
        </w:tc>
      </w:tr>
      <w:tr>
        <w:tc>
          <w:tcPr>
            <w:tcW w:type="dxa" w:w="2376"/>
            <w:vAlign w:val="center"/>
          </w:tcPr>
          <w:p>
            <w:pPr>
              <w:spacing w:after="40"/>
            </w:pPr>
            <w:r>
              <w:rPr>
                <w:sz w:val="16"/>
              </w:rPr>
              <w:t>Contacto formal</w:t>
            </w:r>
          </w:p>
        </w:tc>
        <w:tc>
          <w:tcPr>
            <w:tcW w:type="dxa" w:w="7992"/>
            <w:vAlign w:val="center"/>
          </w:tcPr>
          <w:p>
            <w:pPr>
              <w:spacing w:after="40"/>
            </w:pPr>
            <w:r>
              <w:rPr>
                <w:sz w:val="16"/>
              </w:rPr>
              <w:t>Correo corporativo pendiente de confirmar</w:t>
            </w:r>
          </w:p>
        </w:tc>
      </w:tr>
      <w:tr>
        <w:tc>
          <w:tcPr>
            <w:tcW w:type="dxa" w:w="2376"/>
            <w:vAlign w:val="center"/>
            <w:shd w:fill="F2F5F8"/>
          </w:tcPr>
          <w:p>
            <w:pPr>
              <w:spacing w:after="40"/>
            </w:pPr>
            <w:r>
              <w:rPr>
                <w:sz w:val="16"/>
              </w:rPr>
              <w:t>Estudiante identificado</w:t>
            </w:r>
          </w:p>
        </w:tc>
        <w:tc>
          <w:tcPr>
            <w:tcW w:type="dxa" w:w="7992"/>
            <w:vAlign w:val="center"/>
            <w:shd w:fill="F2F5F8"/>
          </w:tcPr>
          <w:p>
            <w:pPr>
              <w:spacing w:after="40"/>
            </w:pPr>
            <w:r>
              <w:rPr>
                <w:sz w:val="16"/>
              </w:rPr>
              <w:t>Guilbaud Wilcinot · Ingeniería Informática · gu.wilcinot@duocuc.cl</w:t>
            </w:r>
          </w:p>
        </w:tc>
      </w:tr>
      <w:tr>
        <w:tc>
          <w:tcPr>
            <w:tcW w:type="dxa" w:w="2376"/>
            <w:vAlign w:val="center"/>
          </w:tcPr>
          <w:p>
            <w:pPr>
              <w:spacing w:after="40"/>
            </w:pPr>
            <w:r>
              <w:rPr>
                <w:sz w:val="16"/>
              </w:rPr>
              <w:t>Período de referencia</w:t>
            </w:r>
          </w:p>
        </w:tc>
        <w:tc>
          <w:tcPr>
            <w:tcW w:type="dxa" w:w="7992"/>
            <w:vAlign w:val="center"/>
          </w:tcPr>
          <w:p>
            <w:pPr>
              <w:spacing w:after="40"/>
            </w:pPr>
            <w:r>
              <w:rPr>
                <w:sz w:val="16"/>
              </w:rPr>
              <w:t>15 de septiembre al 4 de diciembre de 2026 (cierre planificado durante la primera semana de diciembre)</w:t>
            </w:r>
          </w:p>
        </w:tc>
      </w:tr>
      <w:tr>
        <w:tc>
          <w:tcPr>
            <w:tcW w:type="dxa" w:w="2376"/>
            <w:vAlign w:val="center"/>
            <w:shd w:fill="F2F5F8"/>
          </w:tcPr>
          <w:p>
            <w:pPr>
              <w:spacing w:after="40"/>
            </w:pPr>
            <w:r>
              <w:rPr>
                <w:sz w:val="16"/>
              </w:rPr>
              <w:t>Estado de esta revisión</w:t>
            </w:r>
          </w:p>
        </w:tc>
        <w:tc>
          <w:tcPr>
            <w:tcW w:type="dxa" w:w="7992"/>
            <w:vAlign w:val="center"/>
            <w:shd w:fill="F2F5F8"/>
          </w:tcPr>
          <w:p>
            <w:pPr>
              <w:spacing w:after="40"/>
            </w:pPr>
            <w:r>
              <w:rPr>
                <w:sz w:val="16"/>
              </w:rPr>
              <w:t>Plan propuesto; la situación actual, la dedicación y varias decisiones requieren validación con la contraparte y coordinación académica.</w:t>
            </w:r>
          </w:p>
        </w:tc>
      </w:tr>
    </w:tbl>
    <w:p>
      <w:pPr>
        <w:spacing w:after="20"/>
      </w:pPr>
    </w:p>
    <w:p>
      <w:pPr>
        <w:pStyle w:val="Heading1"/>
      </w:pPr>
      <w:r>
        <w:t>Resumen ejecutivo</w:t>
      </w:r>
    </w:p>
    <w:p>
      <w:r>
        <w:t>El proyecto propone una aplicación web responsiva para ordenar la asignación, el seguimiento y la trazabilidad de las actividades e inspecciones del Departamento de Control de Calidad de Ancor Tecmin. La revisión concentra el alcance inicial en un producto mínimo viable (MVP), adelanta las comprobaciones con usuarios y distribuye pruebas, documentación y despliegue a lo largo del cronograma hasta el 4 de diciembre de 2026.</w:t>
      </w:r>
    </w:p>
    <w:p>
      <w:r>
        <w:t>Los antecedentes disponibles no describen con evidencia el proceso vigente, sus medios, volúmenes ni tiempos. Por eso, el diagnóstico se plantea como una brecha que debe verificarse en el levantamiento y el flujo actual se deja como registro de observación pendiente. También quedan pendientes la dedicación semanal acordada, la confirmación de las reuniones y la autorización del ambiente de despliegue.</w:t>
      </w:r>
    </w:p>
    <w:p>
      <w:pPr>
        <w:pStyle w:val="Heading1"/>
      </w:pPr>
      <w:r>
        <w:t>1. Problema y contexto</w:t>
      </w:r>
    </w:p>
    <w:p>
      <w:pPr>
        <w:pStyle w:val="Heading2"/>
      </w:pPr>
      <w:r>
        <w:t>1.1 Diagnóstico de la necesidad</w:t>
      </w:r>
    </w:p>
    <w:p>
      <w:r>
        <w:t>La necesidad se sitúa en la asignación y el seguimiento de actividades e inspecciones del Departamento de Control de Calidad. La retroalimentación académica señala que el anteproyecto anterior no documentaba cómo se inicia hoy una actividad, por qué medio se comunica, dónde se registra, quién actualiza su estado ni cómo se conserva su historial. Tampoco se aportaron cantidades diarias, tiempos de consolidación ni ejemplos verificables de duplicidad o pérdida de información.</w:t>
      </w:r>
    </w:p>
    <w:p>
      <w:r>
        <w:t>En consecuencia, esos efectos no se afirman como hechos comprobados. Durante el levantamiento se registrarán el flujo observado, sus participantes, herramientas y documentos, frecuencia de uso, tiempos y excepciones. La contraparte revisará el registro antes de fijar requisitos y medir cualquier mejora.</w:t>
      </w:r>
    </w:p>
    <w:p>
      <w:pPr>
        <w:pStyle w:val="Heading3"/>
      </w:pPr>
      <w:r>
        <w:t>Registro para validar el proceso actual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c>
          <w:tcPr>
            <w:tcW w:type="dxa" w:w="1944"/>
            <w:shd w:fill="002B49"/>
            <w:vAlign w:val="center"/>
          </w:tcPr>
          <w:p>
            <w:r>
              <w:rPr>
                <w:b/>
                <w:color w:val="FFFFFF"/>
                <w:sz w:val="16"/>
              </w:rPr>
              <w:t>Paso por observar</w:t>
            </w:r>
          </w:p>
        </w:tc>
        <w:tc>
          <w:tcPr>
            <w:tcW w:type="dxa" w:w="6192"/>
            <w:shd w:fill="002B49"/>
            <w:vAlign w:val="center"/>
          </w:tcPr>
          <w:p>
            <w:r>
              <w:rPr>
                <w:b/>
                <w:color w:val="FFFFFF"/>
                <w:sz w:val="16"/>
              </w:rPr>
              <w:t>Dato que debe levantarse</w:t>
            </w:r>
          </w:p>
        </w:tc>
        <w:tc>
          <w:tcPr>
            <w:tcW w:type="dxa" w:w="2232"/>
            <w:shd w:fill="002B49"/>
            <w:vAlign w:val="center"/>
          </w:tcPr>
          <w:p>
            <w:r>
              <w:rPr>
                <w:b/>
                <w:color w:val="FFFFFF"/>
                <w:sz w:val="16"/>
              </w:rPr>
              <w:t>Estado</w:t>
            </w:r>
          </w:p>
        </w:tc>
      </w:tr>
      <w:tr>
        <w:tc>
          <w:tcPr>
            <w:tcW w:type="dxa" w:w="1944"/>
            <w:vAlign w:val="center"/>
          </w:tcPr>
          <w:p>
            <w:pPr>
              <w:spacing w:after="40"/>
            </w:pPr>
            <w:r>
              <w:rPr>
                <w:sz w:val="16"/>
              </w:rPr>
              <w:t>Inicio de una actividad o inspección</w:t>
            </w:r>
          </w:p>
        </w:tc>
        <w:tc>
          <w:tcPr>
            <w:tcW w:type="dxa" w:w="6192"/>
            <w:vAlign w:val="center"/>
          </w:tcPr>
          <w:p>
            <w:pPr>
              <w:spacing w:after="40"/>
            </w:pPr>
            <w:r>
              <w:rPr>
                <w:sz w:val="16"/>
              </w:rPr>
              <w:t>Evento que la origina y datos mínimos que se reciben</w:t>
            </w:r>
          </w:p>
        </w:tc>
        <w:tc>
          <w:tcPr>
            <w:tcW w:type="dxa" w:w="2232"/>
            <w:vAlign w:val="center"/>
          </w:tcPr>
          <w:p>
            <w:pPr>
              <w:spacing w:after="40"/>
            </w:pPr>
            <w:r>
              <w:rPr>
                <w:sz w:val="16"/>
              </w:rPr>
              <w:t>Pendiente de entrevista y observación</w:t>
            </w:r>
          </w:p>
        </w:tc>
      </w:tr>
      <w:tr>
        <w:tc>
          <w:tcPr>
            <w:tcW w:type="dxa" w:w="1944"/>
            <w:vAlign w:val="center"/>
            <w:shd w:fill="F2F5F8"/>
          </w:tcPr>
          <w:p>
            <w:pPr>
              <w:spacing w:after="40"/>
            </w:pPr>
            <w:r>
              <w:rPr>
                <w:sz w:val="16"/>
              </w:rPr>
              <w:t>Asignación</w:t>
            </w:r>
          </w:p>
        </w:tc>
        <w:tc>
          <w:tcPr>
            <w:tcW w:type="dxa" w:w="6192"/>
            <w:vAlign w:val="center"/>
            <w:shd w:fill="F2F5F8"/>
          </w:tcPr>
          <w:p>
            <w:pPr>
              <w:spacing w:after="40"/>
            </w:pPr>
            <w:r>
              <w:rPr>
                <w:sz w:val="16"/>
              </w:rPr>
              <w:t>Quién decide el responsable, plazo y prioridad; medio utilizado</w:t>
            </w:r>
          </w:p>
        </w:tc>
        <w:tc>
          <w:tcPr>
            <w:tcW w:type="dxa" w:w="2232"/>
            <w:vAlign w:val="center"/>
            <w:shd w:fill="F2F5F8"/>
          </w:tcPr>
          <w:p>
            <w:pPr>
              <w:spacing w:after="40"/>
            </w:pPr>
            <w:r>
              <w:rPr>
                <w:sz w:val="16"/>
              </w:rPr>
              <w:t>Pendiente de validar</w:t>
            </w:r>
          </w:p>
        </w:tc>
      </w:tr>
      <w:tr>
        <w:tc>
          <w:tcPr>
            <w:tcW w:type="dxa" w:w="1944"/>
            <w:vAlign w:val="center"/>
          </w:tcPr>
          <w:p>
            <w:pPr>
              <w:spacing w:after="40"/>
            </w:pPr>
            <w:r>
              <w:rPr>
                <w:sz w:val="16"/>
              </w:rPr>
              <w:t>Comunicación</w:t>
            </w:r>
          </w:p>
        </w:tc>
        <w:tc>
          <w:tcPr>
            <w:tcW w:type="dxa" w:w="6192"/>
            <w:vAlign w:val="center"/>
          </w:tcPr>
          <w:p>
            <w:pPr>
              <w:spacing w:after="40"/>
            </w:pPr>
            <w:r>
              <w:rPr>
                <w:sz w:val="16"/>
              </w:rPr>
              <w:t>Cómo se informa la asignación o sus cambios y cómo se confirma recepción</w:t>
            </w:r>
          </w:p>
        </w:tc>
        <w:tc>
          <w:tcPr>
            <w:tcW w:type="dxa" w:w="2232"/>
            <w:vAlign w:val="center"/>
          </w:tcPr>
          <w:p>
            <w:pPr>
              <w:spacing w:after="40"/>
            </w:pPr>
            <w:r>
              <w:rPr>
                <w:sz w:val="16"/>
              </w:rPr>
              <w:t>Pendiente de acordar con la contraparte</w:t>
            </w:r>
          </w:p>
        </w:tc>
      </w:tr>
      <w:tr>
        <w:tc>
          <w:tcPr>
            <w:tcW w:type="dxa" w:w="1944"/>
            <w:vAlign w:val="center"/>
            <w:shd w:fill="F2F5F8"/>
          </w:tcPr>
          <w:p>
            <w:pPr>
              <w:spacing w:after="40"/>
            </w:pPr>
            <w:r>
              <w:rPr>
                <w:sz w:val="16"/>
              </w:rPr>
              <w:t>Ejecución y registro</w:t>
            </w:r>
          </w:p>
        </w:tc>
        <w:tc>
          <w:tcPr>
            <w:tcW w:type="dxa" w:w="6192"/>
            <w:vAlign w:val="center"/>
            <w:shd w:fill="F2F5F8"/>
          </w:tcPr>
          <w:p>
            <w:pPr>
              <w:spacing w:after="40"/>
            </w:pPr>
            <w:r>
              <w:rPr>
                <w:sz w:val="16"/>
              </w:rPr>
              <w:t>Dónde se registran resultado, estado, observaciones y evidencia</w:t>
            </w:r>
          </w:p>
        </w:tc>
        <w:tc>
          <w:tcPr>
            <w:tcW w:type="dxa" w:w="2232"/>
            <w:vAlign w:val="center"/>
            <w:shd w:fill="F2F5F8"/>
          </w:tcPr>
          <w:p>
            <w:pPr>
              <w:spacing w:after="40"/>
            </w:pPr>
            <w:r>
              <w:rPr>
                <w:sz w:val="16"/>
              </w:rPr>
              <w:t>Pendiente de validar</w:t>
            </w:r>
          </w:p>
        </w:tc>
      </w:tr>
      <w:tr>
        <w:tc>
          <w:tcPr>
            <w:tcW w:type="dxa" w:w="1944"/>
            <w:vAlign w:val="center"/>
          </w:tcPr>
          <w:p>
            <w:pPr>
              <w:spacing w:after="40"/>
            </w:pPr>
            <w:r>
              <w:rPr>
                <w:sz w:val="16"/>
              </w:rPr>
              <w:t>Seguimiento y cierre</w:t>
            </w:r>
          </w:p>
        </w:tc>
        <w:tc>
          <w:tcPr>
            <w:tcW w:type="dxa" w:w="6192"/>
            <w:vAlign w:val="center"/>
          </w:tcPr>
          <w:p>
            <w:pPr>
              <w:spacing w:after="40"/>
            </w:pPr>
            <w:r>
              <w:rPr>
                <w:sz w:val="16"/>
              </w:rPr>
              <w:t>Cómo se detectan atrasos, quién revisa y dónde queda el historial</w:t>
            </w:r>
          </w:p>
        </w:tc>
        <w:tc>
          <w:tcPr>
            <w:tcW w:type="dxa" w:w="2232"/>
            <w:vAlign w:val="center"/>
          </w:tcPr>
          <w:p>
            <w:pPr>
              <w:spacing w:after="40"/>
            </w:pPr>
            <w:r>
              <w:rPr>
                <w:sz w:val="16"/>
              </w:rPr>
              <w:t>Pendiente de validar</w:t>
            </w:r>
          </w:p>
        </w:tc>
      </w:tr>
      <w:tr>
        <w:tc>
          <w:tcPr>
            <w:tcW w:type="dxa" w:w="1944"/>
            <w:vAlign w:val="center"/>
            <w:shd w:fill="F2F5F8"/>
          </w:tcPr>
          <w:p>
            <w:pPr>
              <w:spacing w:after="40"/>
            </w:pPr>
            <w:r>
              <w:rPr>
                <w:sz w:val="16"/>
              </w:rPr>
              <w:t>Medición de línea base</w:t>
            </w:r>
          </w:p>
        </w:tc>
        <w:tc>
          <w:tcPr>
            <w:tcW w:type="dxa" w:w="6192"/>
            <w:vAlign w:val="center"/>
            <w:shd w:fill="F2F5F8"/>
          </w:tcPr>
          <w:p>
            <w:pPr>
              <w:spacing w:after="40"/>
            </w:pPr>
            <w:r>
              <w:rPr>
                <w:sz w:val="16"/>
              </w:rPr>
              <w:t>Volumen, personas participantes, tiempo de consolidación e incidencias observables</w:t>
            </w:r>
          </w:p>
        </w:tc>
        <w:tc>
          <w:tcPr>
            <w:tcW w:type="dxa" w:w="2232"/>
            <w:vAlign w:val="center"/>
            <w:shd w:fill="F2F5F8"/>
          </w:tcPr>
          <w:p>
            <w:pPr>
              <w:spacing w:after="40"/>
            </w:pPr>
            <w:r>
              <w:rPr>
                <w:sz w:val="16"/>
              </w:rPr>
              <w:t>Sin cifras documentadas; levantar evidencia</w:t>
            </w:r>
          </w:p>
        </w:tc>
      </w:tr>
    </w:tbl>
    <w:p>
      <w:pPr>
        <w:spacing w:after="20"/>
      </w:pPr>
    </w:p>
    <w:p>
      <w:r>
        <w:t>Flujo AS-IS: completar con los pasos observados, excepciones y medios actuales; incluir fecha, fuente de evidencia y validación de la contraparte. No se dibuja un flujo supuesto como si ya estuviera confirmado.</w:t>
      </w:r>
    </w:p>
    <w:p>
      <w:pPr>
        <w:pStyle w:val="Heading2"/>
      </w:pPr>
      <w:r>
        <w:t>1.2 Origen y oportunidad</w:t>
      </w:r>
    </w:p>
    <w:p>
      <w:r>
        <w:t>La oportunidad nace de una necesidad comunicada por Ancor Tecmin para el área de Control de Calidad durante la práctica profesional. El propósito organizacional indicado es ordenar la asignación diaria, mejorar el flujo de comunicación y conservar trazabilidad útil para el seguimiento. El alcance y la prioridad de cada necesidad se confirmarán mediante entrevistas y revisión de ejemplos autorizados.</w:t>
      </w:r>
    </w:p>
    <w:p>
      <w:pPr>
        <w:pStyle w:val="Heading2"/>
      </w:pPr>
      <w:r>
        <w:t>1.3 Beneficiarios</w:t>
      </w:r>
    </w:p>
    <w:p>
      <w:pPr>
        <w:pStyle w:val="ListBullet"/>
        <w:spacing w:after="40"/>
      </w:pPr>
      <w:r>
        <w:t>Beneficiarios directos: jefatura del Departamento de Control de Calidad y personal que registra, ejecuta o consulta actividades e inspecciones.</w:t>
      </w:r>
    </w:p>
    <w:p>
      <w:pPr>
        <w:pStyle w:val="ListBullet"/>
        <w:spacing w:after="40"/>
      </w:pPr>
      <w:r>
        <w:t>Beneficiarios indirectos: áreas que requieren información generada por Control de Calidad y la organización, si la centralización facilita consultas oportunas y análisis posteriores.</w:t>
      </w:r>
    </w:p>
    <w:p>
      <w:pPr>
        <w:pStyle w:val="ListBullet"/>
        <w:spacing w:after="40"/>
      </w:pPr>
      <w:r>
        <w:t>Usuarios previstos: personas que asignan actividades, personas que las ejecutan y personas que revisan su avance; confirmar con la contraparte los permisos de acceso que requiere cada operación.</w:t>
      </w:r>
    </w:p>
    <w:p>
      <w:pPr>
        <w:pStyle w:val="Heading1"/>
      </w:pPr>
      <w:r>
        <w:t>2. Solución tecnológica</w:t>
      </w:r>
    </w:p>
    <w:p>
      <w:pPr>
        <w:pStyle w:val="Heading2"/>
      </w:pPr>
      <w:r>
        <w:t>2.1 Descripción y alcance</w:t>
      </w:r>
    </w:p>
    <w:p>
      <w:r>
        <w:t>Se propone construir una aplicación web responsiva con una API y una base de datos central. Permitirá registrar actividades e inspecciones, asignar responsables y fechas, establecer prioridad, actualizar estados, guardar observaciones y consultar cambios anteriores. Un panel simple facilitará filtrar y revisar pendientes, avances y cierres. El flujo de comunicación se resolverá inicialmente mediante una bandeja de asignaciones y confirmación de recepción, sujeto a aprobación expresa de la contraparte; no se presuponen avisos externos.</w:t>
      </w:r>
    </w:p>
    <w:p>
      <w:pPr>
        <w:pStyle w:val="Heading3"/>
      </w:pPr>
      <w:r>
        <w:t>MVP propuesto</w:t>
      </w:r>
    </w:p>
    <w:p>
      <w:pPr>
        <w:pStyle w:val="ListBullet"/>
        <w:spacing w:after="40"/>
      </w:pPr>
      <w:r>
        <w:t>Registro y consulta de actividades e inspecciones con fecha, prioridad, responsable, estado y observaciones.</w:t>
      </w:r>
    </w:p>
    <w:p>
      <w:pPr>
        <w:pStyle w:val="ListBullet"/>
        <w:spacing w:after="40"/>
      </w:pPr>
      <w:r>
        <w:t>Asignación y actualización del estado, con registro de fecha y autoría de cada cambio para mantener trazabilidad.</w:t>
      </w:r>
    </w:p>
    <w:p>
      <w:pPr>
        <w:pStyle w:val="ListBullet"/>
        <w:spacing w:after="40"/>
      </w:pPr>
      <w:r>
        <w:t>Bandeja de tareas asignadas y confirmación de recepción como respuesta mínima a la necesidad de comunicación; validar alcance y forma con la contraparte.</w:t>
      </w:r>
    </w:p>
    <w:p>
      <w:pPr>
        <w:pStyle w:val="ListBullet"/>
        <w:spacing w:after="40"/>
      </w:pPr>
      <w:r>
        <w:t>Panel básico con filtros por estado, responsable y fecha; sin analítica avanzada.</w:t>
      </w:r>
    </w:p>
    <w:p>
      <w:pPr>
        <w:pStyle w:val="ListBullet"/>
        <w:spacing w:after="40"/>
      </w:pPr>
      <w:r>
        <w:t>Acceso protegido y validaciones de datos acordes con el entorno que autorice la organización.</w:t>
      </w:r>
    </w:p>
    <w:p>
      <w:pPr>
        <w:pStyle w:val="Heading3"/>
      </w:pPr>
      <w:r>
        <w:t>Fuera del MVP o sujeto a priorización</w:t>
      </w:r>
    </w:p>
    <w:p>
      <w:pPr>
        <w:pStyle w:val="ListBullet"/>
        <w:spacing w:after="40"/>
      </w:pPr>
      <w:r>
        <w:t>Adjuntos y almacenamiento de evidencias: diferidos hasta acordar ubicación, límites de tamaño, respaldo y permisos de uso.</w:t>
      </w:r>
    </w:p>
    <w:p>
      <w:pPr>
        <w:pStyle w:val="ListBullet"/>
        <w:spacing w:after="40"/>
      </w:pPr>
      <w:r>
        <w:t>Gráficos avanzados, reportes extensos y automatización documental: mejoras futuras, no necesarias para comprobar el flujo principal.</w:t>
      </w:r>
    </w:p>
    <w:p>
      <w:pPr>
        <w:pStyle w:val="ListBullet"/>
        <w:spacing w:after="40"/>
      </w:pPr>
      <w:r>
        <w:t>Notificaciones por correo u otros servicios externos: solo se incorporarán si la contraparte las solicita y autoriza.</w:t>
      </w:r>
    </w:p>
    <w:p>
      <w:pPr>
        <w:pStyle w:val="Heading2"/>
      </w:pPr>
      <w:r>
        <w:t>2.2 Arquitectura y tecnologías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c>
          <w:tcPr>
            <w:tcW w:type="dxa" w:w="1944"/>
            <w:shd w:fill="002B49"/>
            <w:vAlign w:val="center"/>
          </w:tcPr>
          <w:p>
            <w:r>
              <w:rPr>
                <w:b/>
                <w:color w:val="FFFFFF"/>
                <w:sz w:val="16"/>
              </w:rPr>
              <w:t>Componente</w:t>
            </w:r>
          </w:p>
        </w:tc>
        <w:tc>
          <w:tcPr>
            <w:tcW w:type="dxa" w:w="2592"/>
            <w:shd w:fill="002B49"/>
            <w:vAlign w:val="center"/>
          </w:tcPr>
          <w:p>
            <w:r>
              <w:rPr>
                <w:b/>
                <w:color w:val="FFFFFF"/>
                <w:sz w:val="16"/>
              </w:rPr>
              <w:t>Tecnología preliminar</w:t>
            </w:r>
          </w:p>
        </w:tc>
        <w:tc>
          <w:tcPr>
            <w:tcW w:type="dxa" w:w="5832"/>
            <w:shd w:fill="002B49"/>
            <w:vAlign w:val="center"/>
          </w:tcPr>
          <w:p>
            <w:r>
              <w:rPr>
                <w:b/>
                <w:color w:val="FFFFFF"/>
                <w:sz w:val="16"/>
              </w:rPr>
              <w:t>Uso y fundamento</w:t>
            </w:r>
          </w:p>
        </w:tc>
      </w:tr>
      <w:tr>
        <w:tc>
          <w:tcPr>
            <w:tcW w:type="dxa" w:w="1944"/>
            <w:vAlign w:val="center"/>
          </w:tcPr>
          <w:p>
            <w:pPr>
              <w:spacing w:after="40"/>
            </w:pPr>
            <w:r>
              <w:rPr>
                <w:sz w:val="16"/>
              </w:rPr>
              <w:t>Interfaz web</w:t>
            </w:r>
          </w:p>
        </w:tc>
        <w:tc>
          <w:tcPr>
            <w:tcW w:type="dxa" w:w="2592"/>
            <w:vAlign w:val="center"/>
          </w:tcPr>
          <w:p>
            <w:pPr>
              <w:spacing w:after="40"/>
            </w:pPr>
            <w:r>
              <w:rPr>
                <w:sz w:val="16"/>
              </w:rPr>
              <w:t>React + Vite</w:t>
            </w:r>
          </w:p>
        </w:tc>
        <w:tc>
          <w:tcPr>
            <w:tcW w:type="dxa" w:w="5832"/>
            <w:vAlign w:val="center"/>
          </w:tcPr>
          <w:p>
            <w:pPr>
              <w:spacing w:after="40"/>
            </w:pPr>
            <w:r>
              <w:rPr>
                <w:sz w:val="16"/>
              </w:rPr>
              <w:t>Interfaz modular y responsiva; Vite agiliza el ciclo local de desarrollo. El prototipo existente usa esta base.</w:t>
            </w:r>
          </w:p>
        </w:tc>
      </w:tr>
      <w:tr>
        <w:tc>
          <w:tcPr>
            <w:tcW w:type="dxa" w:w="1944"/>
            <w:vAlign w:val="center"/>
            <w:shd w:fill="F2F5F8"/>
          </w:tcPr>
          <w:p>
            <w:pPr>
              <w:spacing w:after="40"/>
            </w:pPr>
            <w:r>
              <w:rPr>
                <w:sz w:val="16"/>
              </w:rPr>
              <w:t>API y lógica</w:t>
            </w:r>
          </w:p>
        </w:tc>
        <w:tc>
          <w:tcPr>
            <w:tcW w:type="dxa" w:w="2592"/>
            <w:vAlign w:val="center"/>
            <w:shd w:fill="F2F5F8"/>
          </w:tcPr>
          <w:p>
            <w:pPr>
              <w:spacing w:after="40"/>
            </w:pPr>
            <w:r>
              <w:rPr>
                <w:sz w:val="16"/>
              </w:rPr>
              <w:t>Python + Django REST Framework</w:t>
            </w:r>
          </w:p>
        </w:tc>
        <w:tc>
          <w:tcPr>
            <w:tcW w:type="dxa" w:w="5832"/>
            <w:vAlign w:val="center"/>
            <w:shd w:fill="F2F5F8"/>
          </w:tcPr>
          <w:p>
            <w:pPr>
              <w:spacing w:after="40"/>
            </w:pPr>
            <w:r>
              <w:rPr>
                <w:sz w:val="16"/>
              </w:rPr>
              <w:t>Exponer operaciones mediante API REST y organizar reglas de negocio en un marco conocido para servicios web.</w:t>
            </w:r>
          </w:p>
        </w:tc>
      </w:tr>
      <w:tr>
        <w:tc>
          <w:tcPr>
            <w:tcW w:type="dxa" w:w="1944"/>
            <w:vAlign w:val="center"/>
          </w:tcPr>
          <w:p>
            <w:pPr>
              <w:spacing w:after="40"/>
            </w:pPr>
            <w:r>
              <w:rPr>
                <w:sz w:val="16"/>
              </w:rPr>
              <w:t>Persistencia</w:t>
            </w:r>
          </w:p>
        </w:tc>
        <w:tc>
          <w:tcPr>
            <w:tcW w:type="dxa" w:w="2592"/>
            <w:vAlign w:val="center"/>
          </w:tcPr>
          <w:p>
            <w:pPr>
              <w:spacing w:after="40"/>
            </w:pPr>
            <w:r>
              <w:rPr>
                <w:sz w:val="16"/>
              </w:rPr>
              <w:t>PostgreSQL</w:t>
            </w:r>
          </w:p>
        </w:tc>
        <w:tc>
          <w:tcPr>
            <w:tcW w:type="dxa" w:w="5832"/>
            <w:vAlign w:val="center"/>
          </w:tcPr>
          <w:p>
            <w:pPr>
              <w:spacing w:after="40"/>
            </w:pPr>
            <w:r>
              <w:rPr>
                <w:sz w:val="16"/>
              </w:rPr>
              <w:t>Almacenar entidades relacionadas y cambios con integridad relacional.</w:t>
            </w:r>
          </w:p>
        </w:tc>
      </w:tr>
      <w:tr>
        <w:tc>
          <w:tcPr>
            <w:tcW w:type="dxa" w:w="1944"/>
            <w:vAlign w:val="center"/>
            <w:shd w:fill="F2F5F8"/>
          </w:tcPr>
          <w:p>
            <w:pPr>
              <w:spacing w:after="40"/>
            </w:pPr>
            <w:r>
              <w:rPr>
                <w:sz w:val="16"/>
              </w:rPr>
              <w:t>Comunicación entre capas</w:t>
            </w:r>
          </w:p>
        </w:tc>
        <w:tc>
          <w:tcPr>
            <w:tcW w:type="dxa" w:w="2592"/>
            <w:vAlign w:val="center"/>
            <w:shd w:fill="F2F5F8"/>
          </w:tcPr>
          <w:p>
            <w:pPr>
              <w:spacing w:after="40"/>
            </w:pPr>
            <w:r>
              <w:rPr>
                <w:sz w:val="16"/>
              </w:rPr>
              <w:t>API REST sobre HTTPS en el entorno autorizado</w:t>
            </w:r>
          </w:p>
        </w:tc>
        <w:tc>
          <w:tcPr>
            <w:tcW w:type="dxa" w:w="5832"/>
            <w:vAlign w:val="center"/>
            <w:shd w:fill="F2F5F8"/>
          </w:tcPr>
          <w:p>
            <w:pPr>
              <w:spacing w:after="40"/>
            </w:pPr>
            <w:r>
              <w:rPr>
                <w:sz w:val="16"/>
              </w:rPr>
              <w:t>Separar interfaz y servicio; definir contratos de endpoints y documentarlos.</w:t>
            </w:r>
          </w:p>
        </w:tc>
      </w:tr>
      <w:tr>
        <w:tc>
          <w:tcPr>
            <w:tcW w:type="dxa" w:w="1944"/>
            <w:vAlign w:val="center"/>
          </w:tcPr>
          <w:p>
            <w:pPr>
              <w:spacing w:after="40"/>
            </w:pPr>
            <w:r>
              <w:rPr>
                <w:sz w:val="16"/>
              </w:rPr>
              <w:t>Control de versiones</w:t>
            </w:r>
          </w:p>
        </w:tc>
        <w:tc>
          <w:tcPr>
            <w:tcW w:type="dxa" w:w="2592"/>
            <w:vAlign w:val="center"/>
          </w:tcPr>
          <w:p>
            <w:pPr>
              <w:spacing w:after="40"/>
            </w:pPr>
            <w:r>
              <w:rPr>
                <w:sz w:val="16"/>
              </w:rPr>
              <w:t>Git y repositorio institucional/autorizado</w:t>
            </w:r>
          </w:p>
        </w:tc>
        <w:tc>
          <w:tcPr>
            <w:tcW w:type="dxa" w:w="5832"/>
            <w:vAlign w:val="center"/>
          </w:tcPr>
          <w:p>
            <w:pPr>
              <w:spacing w:after="40"/>
            </w:pPr>
            <w:r>
              <w:rPr>
                <w:sz w:val="16"/>
              </w:rPr>
              <w:t>Mantener historial de cambios y una versión recuperable del código.</w:t>
            </w:r>
          </w:p>
        </w:tc>
      </w:tr>
      <w:tr>
        <w:tc>
          <w:tcPr>
            <w:tcW w:type="dxa" w:w="1944"/>
            <w:vAlign w:val="center"/>
            <w:shd w:fill="F2F5F8"/>
          </w:tcPr>
          <w:p>
            <w:pPr>
              <w:spacing w:after="40"/>
            </w:pPr>
            <w:r>
              <w:rPr>
                <w:sz w:val="16"/>
              </w:rPr>
              <w:t>Diseño y comprobación</w:t>
            </w:r>
          </w:p>
        </w:tc>
        <w:tc>
          <w:tcPr>
            <w:tcW w:type="dxa" w:w="2592"/>
            <w:vAlign w:val="center"/>
            <w:shd w:fill="F2F5F8"/>
          </w:tcPr>
          <w:p>
            <w:pPr>
              <w:spacing w:after="40"/>
            </w:pPr>
            <w:r>
              <w:rPr>
                <w:sz w:val="16"/>
              </w:rPr>
              <w:t>Figma y Postman</w:t>
            </w:r>
          </w:p>
        </w:tc>
        <w:tc>
          <w:tcPr>
            <w:tcW w:type="dxa" w:w="5832"/>
            <w:vAlign w:val="center"/>
            <w:shd w:fill="F2F5F8"/>
          </w:tcPr>
          <w:p>
            <w:pPr>
              <w:spacing w:after="40"/>
            </w:pPr>
            <w:r>
              <w:rPr>
                <w:sz w:val="16"/>
              </w:rPr>
              <w:t>Prototipar pantallas y documentar/comprobar solicitudes de la API.</w:t>
            </w:r>
          </w:p>
        </w:tc>
      </w:tr>
      <w:tr>
        <w:tc>
          <w:tcPr>
            <w:tcW w:type="dxa" w:w="1944"/>
            <w:vAlign w:val="center"/>
          </w:tcPr>
          <w:p>
            <w:pPr>
              <w:spacing w:after="40"/>
            </w:pPr>
            <w:r>
              <w:rPr>
                <w:sz w:val="16"/>
              </w:rPr>
              <w:t>Archivos adjuntos</w:t>
            </w:r>
          </w:p>
        </w:tc>
        <w:tc>
          <w:tcPr>
            <w:tcW w:type="dxa" w:w="2592"/>
            <w:vAlign w:val="center"/>
          </w:tcPr>
          <w:p>
            <w:pPr>
              <w:spacing w:after="40"/>
            </w:pPr>
            <w:r>
              <w:rPr>
                <w:sz w:val="16"/>
              </w:rPr>
              <w:t>No incluidos en el MVP</w:t>
            </w:r>
          </w:p>
        </w:tc>
        <w:tc>
          <w:tcPr>
            <w:tcW w:type="dxa" w:w="5832"/>
            <w:vAlign w:val="center"/>
          </w:tcPr>
          <w:p>
            <w:pPr>
              <w:spacing w:after="40"/>
            </w:pPr>
            <w:r>
              <w:rPr>
                <w:sz w:val="16"/>
              </w:rPr>
              <w:t>El almacenamiento se decidirá solo si se aprueba esta funcionalidad y se acuerdan seguridad, retención y respaldo.</w:t>
            </w:r>
          </w:p>
        </w:tc>
      </w:tr>
    </w:tbl>
    <w:p>
      <w:pPr>
        <w:spacing w:after="20"/>
      </w:pPr>
    </w:p>
    <w:p>
      <w:r>
        <w:t>Estado técnico comprobable: el README del frontend describe un prototipo con datos locales de demostración. No está conectado a una API ni a PostgreSQL y el acceso actual no constituye autenticación real; esas integraciones forman parte del trabajo propuesto, no de funcionalidades ya entregadas.</w:t>
      </w:r>
    </w:p>
    <w:p>
      <w:r>
        <w:t>Autenticación: se propone usar sesiones seguras de Django para la API y el almacenamiento hash de contraseñas incluido en el framework. Si la aplicación separada en React requiere tokens, evaluar JWT de corta duración como alternativa. La decisión y las condiciones de autorización deben validarse con la contraparte y las políticas de la empresa antes del desarrollo.</w:t>
      </w:r>
    </w:p>
    <w:p>
      <w:pPr>
        <w:pStyle w:val="Heading3"/>
      </w:pPr>
      <w:r>
        <w:t>Flujo incremental del proyecto</w:t>
      </w:r>
    </w:p>
    <w:p>
      <w:r>
        <w:drawing>
          <wp:inline xmlns:a="http://schemas.openxmlformats.org/drawingml/2006/main" xmlns:pic="http://schemas.openxmlformats.org/drawingml/2006/picture">
            <wp:extent cx="6355080" cy="1469611"/>
            <wp:docPr id="1" name="Picture 1"/>
            <wp:cNvGraphicFramePr>
              <a:graphicFrameLocks noChangeAspect="1"/>
            </wp:cNvGraphicFramePr>
            <a:graphic>
              <a:graphicData uri="http://schemas.openxmlformats.org/drawingml/2006/picture">
                <pic:pic>
                  <pic:nvPicPr>
                    <pic:cNvPr id="0" name="flujo_revision2.png"/>
                    <pic:cNvPicPr/>
                  </pic:nvPicPr>
                  <pic:blipFill>
                    <a:blip r:embed="rId11"/>
                    <a:stretch>
                      <a:fillRect/>
                    </a:stretch>
                  </pic:blipFill>
                  <pic:spPr>
                    <a:xfrm>
                      <a:off x="0" y="0"/>
                      <a:ext cx="6355080" cy="1469611"/>
                    </a:xfrm>
                    <a:prstGeom prst="rect"/>
                  </pic:spPr>
                </pic:pic>
              </a:graphicData>
            </a:graphic>
          </wp:inline>
        </w:drawing>
      </w:r>
    </w:p>
    <w:p>
      <w:pPr>
        <w:jc w:val="center"/>
      </w:pPr>
      <w:r>
        <w:rPr>
          <w:i/>
          <w:sz w:val="16"/>
        </w:rPr>
        <w:t>Figura 2. Flujo incremental propuesto con validaciones entre incrementos.</w:t>
      </w:r>
    </w:p>
    <w:p>
      <w:pPr>
        <w:pStyle w:val="Heading2"/>
      </w:pPr>
      <w:r>
        <w:t>2.3 Despliegue y plan de decisión</w:t>
      </w:r>
    </w:p>
    <w:p>
      <w:r>
        <w:t>Ambiente principal: pendiente de autorización de Ancor Tecmin. Antes de iniciar la integración se solicitará por escrito el ambiente de prueba, la ubicación de despliegue, la persona que autoriza y las condiciones para datos y credenciales. La fecha límite propuesta para decidir es el 9 de octubre de 2026, antes del primer incremento de desarrollo. Para adjuntos futuros, se recomienda almacenamiento privado en infraestructura aprobada, con límites de tamaño, acceso restringido y respaldo; no se usarán servicios externos sin autorización.</w:t>
      </w:r>
    </w:p>
    <w:p>
      <w:pPr>
        <w:pStyle w:val="ListBullet"/>
        <w:spacing w:after="40"/>
      </w:pPr>
      <w:r>
        <w:t>Plan A: ambiente de prueba o servidor administrado por la empresa, si existe autorización y acceso a tiempo.</w:t>
      </w:r>
    </w:p>
    <w:p>
      <w:pPr>
        <w:pStyle w:val="ListBullet"/>
        <w:spacing w:after="40"/>
      </w:pPr>
      <w:r>
        <w:t>Plan B: despliegue demostrativo en un servicio de nivel gratuito o entorno local portable, únicamente con autorización expresa y datos ficticios.</w:t>
      </w:r>
    </w:p>
    <w:p>
      <w:pPr>
        <w:pStyle w:val="ListBullet"/>
        <w:spacing w:after="40"/>
      </w:pPr>
      <w:r>
        <w:t>Si ninguno se autoriza, entregar una versión ejecutable en ambiente local, guía de instalación y evidencia de pruebas; ajustar el objetivo de implementación con la contraparte.</w:t>
      </w:r>
    </w:p>
    <w:p>
      <w:pPr>
        <w:pStyle w:val="Heading1"/>
      </w:pPr>
      <w:r>
        <w:t>3. Objetivos y productos</w:t>
      </w:r>
    </w:p>
    <w:p>
      <w:pPr>
        <w:pStyle w:val="Heading2"/>
      </w:pPr>
      <w:r>
        <w:t>3.1 Objetivo general</w:t>
      </w:r>
    </w:p>
    <w:p>
      <w:r>
        <w:t>Desarrollar y validar durante el período de práctica, con cierre planificado para el 4 de diciembre de 2026, una aplicación web para ordenar la asignación, el seguimiento y la trazabilidad de las actividades e inspecciones diarias del Departamento de Control de Calidad de Ancor Tecmin, y desplegarla en un ambiente autorizado o entregar una versión reproducible con guía de instalación si la autorización no estuviera disponible.</w:t>
      </w:r>
    </w:p>
    <w:p>
      <w:pPr>
        <w:pStyle w:val="Heading2"/>
      </w:pPr>
      <w:r>
        <w:t>3.2 Objetivos específicos</w:t>
      </w:r>
    </w:p>
    <w:p>
      <w:pPr>
        <w:pStyle w:val="ListBullet"/>
        <w:spacing w:after="40"/>
      </w:pPr>
      <w:r>
        <w:t>Documentar y validar el proceso actual, sus necesidades funcionales y no funcionales, y un backlog priorizado con criterios de aceptación.</w:t>
      </w:r>
    </w:p>
    <w:p>
      <w:pPr>
        <w:pStyle w:val="ListBullet"/>
        <w:spacing w:after="40"/>
      </w:pPr>
      <w:r>
        <w:t>Diseñar y validar la arquitectura, el modelo de datos, la interacción principal y las condiciones de acceso, almacenamiento y despliegue.</w:t>
      </w:r>
    </w:p>
    <w:p>
      <w:pPr>
        <w:pStyle w:val="ListBullet"/>
        <w:spacing w:after="40"/>
      </w:pPr>
      <w:r>
        <w:t>Construir e integrar incrementalmente el registro, asignación, comunicación acordada, estados, historial y panel básico.</w:t>
      </w:r>
    </w:p>
    <w:p>
      <w:pPr>
        <w:pStyle w:val="ListBullet"/>
        <w:spacing w:after="40"/>
      </w:pPr>
      <w:r>
        <w:t>Probar cada incremento con datos autorizados, corregir incidencias, validar la versión final y entregar evidencias, manuales y guía de instalación o despliegue.</w:t>
      </w:r>
    </w:p>
    <w:p>
      <w:pPr>
        <w:pStyle w:val="Heading2"/>
      </w:pPr>
      <w:r>
        <w:t>3.3 Entregables y evidencia de aceptación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c>
          <w:tcPr>
            <w:tcW w:type="dxa" w:w="1800"/>
            <w:shd w:fill="002B49"/>
            <w:vAlign w:val="center"/>
          </w:tcPr>
          <w:p>
            <w:r>
              <w:rPr>
                <w:b/>
                <w:color w:val="FFFFFF"/>
                <w:sz w:val="16"/>
              </w:rPr>
              <w:t>Objetivo</w:t>
            </w:r>
          </w:p>
        </w:tc>
        <w:tc>
          <w:tcPr>
            <w:tcW w:type="dxa" w:w="2592"/>
            <w:shd w:fill="002B49"/>
            <w:vAlign w:val="center"/>
          </w:tcPr>
          <w:p>
            <w:r>
              <w:rPr>
                <w:b/>
                <w:color w:val="FFFFFF"/>
                <w:sz w:val="16"/>
              </w:rPr>
              <w:t>Entregable</w:t>
            </w:r>
          </w:p>
        </w:tc>
        <w:tc>
          <w:tcPr>
            <w:tcW w:type="dxa" w:w="5976"/>
            <w:shd w:fill="002B49"/>
            <w:vAlign w:val="center"/>
          </w:tcPr>
          <w:p>
            <w:r>
              <w:rPr>
                <w:b/>
                <w:color w:val="FFFFFF"/>
                <w:sz w:val="16"/>
              </w:rPr>
              <w:t>Evidencia verificable</w:t>
            </w:r>
          </w:p>
        </w:tc>
      </w:tr>
      <w:tr>
        <w:tc>
          <w:tcPr>
            <w:tcW w:type="dxa" w:w="1800"/>
            <w:vAlign w:val="center"/>
          </w:tcPr>
          <w:p>
            <w:pPr>
              <w:spacing w:after="40"/>
            </w:pPr>
            <w:r>
              <w:rPr>
                <w:sz w:val="16"/>
              </w:rPr>
              <w:t>OE1 · Levantamiento</w:t>
            </w:r>
          </w:p>
        </w:tc>
        <w:tc>
          <w:tcPr>
            <w:tcW w:type="dxa" w:w="2592"/>
            <w:vAlign w:val="center"/>
          </w:tcPr>
          <w:p>
            <w:pPr>
              <w:spacing w:after="40"/>
            </w:pPr>
            <w:r>
              <w:rPr>
                <w:sz w:val="16"/>
              </w:rPr>
              <w:t>Documento del proceso y requisitos priorizados</w:t>
            </w:r>
          </w:p>
        </w:tc>
        <w:tc>
          <w:tcPr>
            <w:tcW w:type="dxa" w:w="5976"/>
            <w:vAlign w:val="center"/>
          </w:tcPr>
          <w:p>
            <w:pPr>
              <w:spacing w:after="40"/>
            </w:pPr>
            <w:r>
              <w:rPr>
                <w:sz w:val="16"/>
              </w:rPr>
              <w:t>Actas/notas de reunión; flujo AS-IS validado; requisitos funcionales y no funcionales; historias de usuario y criterios; backlog priorizado.</w:t>
            </w:r>
          </w:p>
        </w:tc>
      </w:tr>
      <w:tr>
        <w:tc>
          <w:tcPr>
            <w:tcW w:type="dxa" w:w="1800"/>
            <w:vAlign w:val="center"/>
            <w:shd w:fill="F2F5F8"/>
          </w:tcPr>
          <w:p>
            <w:pPr>
              <w:spacing w:after="40"/>
            </w:pPr>
            <w:r>
              <w:rPr>
                <w:sz w:val="16"/>
              </w:rPr>
              <w:t>OE2 · Diseño</w:t>
            </w:r>
          </w:p>
        </w:tc>
        <w:tc>
          <w:tcPr>
            <w:tcW w:type="dxa" w:w="2592"/>
            <w:vAlign w:val="center"/>
            <w:shd w:fill="F2F5F8"/>
          </w:tcPr>
          <w:p>
            <w:pPr>
              <w:spacing w:after="40"/>
            </w:pPr>
            <w:r>
              <w:rPr>
                <w:sz w:val="16"/>
              </w:rPr>
              <w:t>Diseño de arquitectura, datos e interfaz</w:t>
            </w:r>
          </w:p>
        </w:tc>
        <w:tc>
          <w:tcPr>
            <w:tcW w:type="dxa" w:w="5976"/>
            <w:vAlign w:val="center"/>
            <w:shd w:fill="F2F5F8"/>
          </w:tcPr>
          <w:p>
            <w:pPr>
              <w:spacing w:after="40"/>
            </w:pPr>
            <w:r>
              <w:rPr>
                <w:sz w:val="16"/>
              </w:rPr>
              <w:t>Diagrama de arquitectura; modelo entidad-relación; prototipo navegable revisado; decisión documentada sobre comunicación, acceso y despliegue.</w:t>
            </w:r>
          </w:p>
        </w:tc>
      </w:tr>
      <w:tr>
        <w:tc>
          <w:tcPr>
            <w:tcW w:type="dxa" w:w="1800"/>
            <w:vAlign w:val="center"/>
          </w:tcPr>
          <w:p>
            <w:pPr>
              <w:spacing w:after="40"/>
            </w:pPr>
            <w:r>
              <w:rPr>
                <w:sz w:val="16"/>
              </w:rPr>
              <w:t>OE3 · Construcción</w:t>
            </w:r>
          </w:p>
        </w:tc>
        <w:tc>
          <w:tcPr>
            <w:tcW w:type="dxa" w:w="2592"/>
            <w:vAlign w:val="center"/>
          </w:tcPr>
          <w:p>
            <w:pPr>
              <w:spacing w:after="40"/>
            </w:pPr>
            <w:r>
              <w:rPr>
                <w:sz w:val="16"/>
              </w:rPr>
              <w:t>Aplicación web funcional y código versionado</w:t>
            </w:r>
          </w:p>
        </w:tc>
        <w:tc>
          <w:tcPr>
            <w:tcW w:type="dxa" w:w="5976"/>
            <w:vAlign w:val="center"/>
          </w:tcPr>
          <w:p>
            <w:pPr>
              <w:spacing w:after="40"/>
            </w:pPr>
            <w:r>
              <w:rPr>
                <w:sz w:val="16"/>
              </w:rPr>
              <w:t>Repositorio con historial; endpoints documentados; colección Postman; demostración de cada módulo e incremento.</w:t>
            </w:r>
          </w:p>
        </w:tc>
      </w:tr>
      <w:tr>
        <w:tc>
          <w:tcPr>
            <w:tcW w:type="dxa" w:w="1800"/>
            <w:vAlign w:val="center"/>
            <w:shd w:fill="F2F5F8"/>
          </w:tcPr>
          <w:p>
            <w:pPr>
              <w:spacing w:after="40"/>
            </w:pPr>
            <w:r>
              <w:rPr>
                <w:sz w:val="16"/>
              </w:rPr>
              <w:t>OE4 · Validación y cierre</w:t>
            </w:r>
          </w:p>
        </w:tc>
        <w:tc>
          <w:tcPr>
            <w:tcW w:type="dxa" w:w="2592"/>
            <w:vAlign w:val="center"/>
            <w:shd w:fill="F2F5F8"/>
          </w:tcPr>
          <w:p>
            <w:pPr>
              <w:spacing w:after="40"/>
            </w:pPr>
            <w:r>
              <w:rPr>
                <w:sz w:val="16"/>
              </w:rPr>
              <w:t>Resultados de prueba, versión validada, manual y guía técnica</w:t>
            </w:r>
          </w:p>
        </w:tc>
        <w:tc>
          <w:tcPr>
            <w:tcW w:type="dxa" w:w="5976"/>
            <w:vAlign w:val="center"/>
            <w:shd w:fill="F2F5F8"/>
          </w:tcPr>
          <w:p>
            <w:pPr>
              <w:spacing w:after="40"/>
            </w:pPr>
            <w:r>
              <w:rPr>
                <w:sz w:val="16"/>
              </w:rPr>
              <w:t>Casos con esperado/obtenido; incidencias cerradas o aceptadas; acta de validación; URL autorizada o instrucciones reproducibles.</w:t>
            </w:r>
          </w:p>
        </w:tc>
      </w:tr>
    </w:tbl>
    <w:p>
      <w:pPr>
        <w:spacing w:after="20"/>
      </w:pPr>
    </w:p>
    <w:p>
      <w:pPr>
        <w:pStyle w:val="Heading1"/>
      </w:pPr>
      <w:r>
        <w:t>4. Requisitos iniciales para validación</w:t>
      </w:r>
    </w:p>
    <w:p>
      <w:r>
        <w:t>Los siguientes requisitos son una base de conversación derivada de la propuesta. Deben confirmarse con usuarios del área antes de tratarlos como aprobados.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c>
          <w:tcPr>
            <w:tcW w:type="dxa" w:w="792"/>
            <w:shd w:fill="002B49"/>
            <w:vAlign w:val="center"/>
          </w:tcPr>
          <w:p>
            <w:r>
              <w:rPr>
                <w:b/>
                <w:color w:val="FFFFFF"/>
                <w:sz w:val="16"/>
              </w:rPr>
              <w:t>ID</w:t>
            </w:r>
          </w:p>
        </w:tc>
        <w:tc>
          <w:tcPr>
            <w:tcW w:type="dxa" w:w="3672"/>
            <w:shd w:fill="002B49"/>
            <w:vAlign w:val="center"/>
          </w:tcPr>
          <w:p>
            <w:r>
              <w:rPr>
                <w:b/>
                <w:color w:val="FFFFFF"/>
                <w:sz w:val="16"/>
              </w:rPr>
              <w:t>Requisito funcional inicial</w:t>
            </w:r>
          </w:p>
        </w:tc>
        <w:tc>
          <w:tcPr>
            <w:tcW w:type="dxa" w:w="5904"/>
            <w:shd w:fill="002B49"/>
            <w:vAlign w:val="center"/>
          </w:tcPr>
          <w:p>
            <w:r>
              <w:rPr>
                <w:b/>
                <w:color w:val="FFFFFF"/>
                <w:sz w:val="16"/>
              </w:rPr>
              <w:t>Criterio de aceptación propuesto</w:t>
            </w:r>
          </w:p>
        </w:tc>
      </w:tr>
      <w:tr>
        <w:tc>
          <w:tcPr>
            <w:tcW w:type="dxa" w:w="792"/>
            <w:vAlign w:val="center"/>
          </w:tcPr>
          <w:p>
            <w:pPr>
              <w:spacing w:after="40"/>
            </w:pPr>
            <w:r>
              <w:rPr>
                <w:sz w:val="16"/>
              </w:rPr>
              <w:t>RF01</w:t>
            </w:r>
          </w:p>
        </w:tc>
        <w:tc>
          <w:tcPr>
            <w:tcW w:type="dxa" w:w="3672"/>
            <w:vAlign w:val="center"/>
          </w:tcPr>
          <w:p>
            <w:pPr>
              <w:spacing w:after="40"/>
            </w:pPr>
            <w:r>
              <w:rPr>
                <w:sz w:val="16"/>
              </w:rPr>
              <w:t>Registrar actividad o inspección con campos acordados.</w:t>
            </w:r>
          </w:p>
        </w:tc>
        <w:tc>
          <w:tcPr>
            <w:tcW w:type="dxa" w:w="5904"/>
            <w:vAlign w:val="center"/>
          </w:tcPr>
          <w:p>
            <w:pPr>
              <w:spacing w:after="40"/>
            </w:pPr>
            <w:r>
              <w:rPr>
                <w:sz w:val="16"/>
              </w:rPr>
              <w:t>Al guardar, el registro aparece en la consulta y valida campos obligatorios.</w:t>
            </w:r>
          </w:p>
        </w:tc>
      </w:tr>
      <w:tr>
        <w:tc>
          <w:tcPr>
            <w:tcW w:type="dxa" w:w="792"/>
            <w:vAlign w:val="center"/>
            <w:shd w:fill="F2F5F8"/>
          </w:tcPr>
          <w:p>
            <w:pPr>
              <w:spacing w:after="40"/>
            </w:pPr>
            <w:r>
              <w:rPr>
                <w:sz w:val="16"/>
              </w:rPr>
              <w:t>RF02</w:t>
            </w:r>
          </w:p>
        </w:tc>
        <w:tc>
          <w:tcPr>
            <w:tcW w:type="dxa" w:w="3672"/>
            <w:vAlign w:val="center"/>
            <w:shd w:fill="F2F5F8"/>
          </w:tcPr>
          <w:p>
            <w:pPr>
              <w:spacing w:after="40"/>
            </w:pPr>
            <w:r>
              <w:rPr>
                <w:sz w:val="16"/>
              </w:rPr>
              <w:t>Asignar responsable, fecha y prioridad.</w:t>
            </w:r>
          </w:p>
        </w:tc>
        <w:tc>
          <w:tcPr>
            <w:tcW w:type="dxa" w:w="5904"/>
            <w:vAlign w:val="center"/>
            <w:shd w:fill="F2F5F8"/>
          </w:tcPr>
          <w:p>
            <w:pPr>
              <w:spacing w:after="40"/>
            </w:pPr>
            <w:r>
              <w:rPr>
                <w:sz w:val="16"/>
              </w:rPr>
              <w:t>La asignación queda visible en la bandeja correspondiente y conserva quién y cuándo la realizó.</w:t>
            </w:r>
          </w:p>
        </w:tc>
      </w:tr>
      <w:tr>
        <w:tc>
          <w:tcPr>
            <w:tcW w:type="dxa" w:w="792"/>
            <w:vAlign w:val="center"/>
          </w:tcPr>
          <w:p>
            <w:pPr>
              <w:spacing w:after="40"/>
            </w:pPr>
            <w:r>
              <w:rPr>
                <w:sz w:val="16"/>
              </w:rPr>
              <w:t>RF03</w:t>
            </w:r>
          </w:p>
        </w:tc>
        <w:tc>
          <w:tcPr>
            <w:tcW w:type="dxa" w:w="3672"/>
            <w:vAlign w:val="center"/>
          </w:tcPr>
          <w:p>
            <w:pPr>
              <w:spacing w:after="40"/>
            </w:pPr>
            <w:r>
              <w:rPr>
                <w:sz w:val="16"/>
              </w:rPr>
              <w:t>Actualizar estado y observaciones.</w:t>
            </w:r>
          </w:p>
        </w:tc>
        <w:tc>
          <w:tcPr>
            <w:tcW w:type="dxa" w:w="5904"/>
            <w:vAlign w:val="center"/>
          </w:tcPr>
          <w:p>
            <w:pPr>
              <w:spacing w:after="40"/>
            </w:pPr>
            <w:r>
              <w:rPr>
                <w:sz w:val="16"/>
              </w:rPr>
              <w:t>Cada cambio se guarda con fecha y autoría; el historial permite reconstruir la secuencia.</w:t>
            </w:r>
          </w:p>
        </w:tc>
      </w:tr>
      <w:tr>
        <w:tc>
          <w:tcPr>
            <w:tcW w:type="dxa" w:w="792"/>
            <w:vAlign w:val="center"/>
            <w:shd w:fill="F2F5F8"/>
          </w:tcPr>
          <w:p>
            <w:pPr>
              <w:spacing w:after="40"/>
            </w:pPr>
            <w:r>
              <w:rPr>
                <w:sz w:val="16"/>
              </w:rPr>
              <w:t>RF04</w:t>
            </w:r>
          </w:p>
        </w:tc>
        <w:tc>
          <w:tcPr>
            <w:tcW w:type="dxa" w:w="3672"/>
            <w:vAlign w:val="center"/>
            <w:shd w:fill="F2F5F8"/>
          </w:tcPr>
          <w:p>
            <w:pPr>
              <w:spacing w:after="40"/>
            </w:pPr>
            <w:r>
              <w:rPr>
                <w:sz w:val="16"/>
              </w:rPr>
              <w:t>Comunicar nuevas asignaciones y cambios acordados.</w:t>
            </w:r>
          </w:p>
        </w:tc>
        <w:tc>
          <w:tcPr>
            <w:tcW w:type="dxa" w:w="5904"/>
            <w:vAlign w:val="center"/>
            <w:shd w:fill="F2F5F8"/>
          </w:tcPr>
          <w:p>
            <w:pPr>
              <w:spacing w:after="40"/>
            </w:pPr>
            <w:r>
              <w:rPr>
                <w:sz w:val="16"/>
              </w:rPr>
              <w:t>Una persona destinataria puede ver la asignación y confirmar recepción; validar si basta la bandeja o se requiere aviso externo.</w:t>
            </w:r>
          </w:p>
        </w:tc>
      </w:tr>
      <w:tr>
        <w:tc>
          <w:tcPr>
            <w:tcW w:type="dxa" w:w="792"/>
            <w:vAlign w:val="center"/>
          </w:tcPr>
          <w:p>
            <w:pPr>
              <w:spacing w:after="40"/>
            </w:pPr>
            <w:r>
              <w:rPr>
                <w:sz w:val="16"/>
              </w:rPr>
              <w:t>RF05</w:t>
            </w:r>
          </w:p>
        </w:tc>
        <w:tc>
          <w:tcPr>
            <w:tcW w:type="dxa" w:w="3672"/>
            <w:vAlign w:val="center"/>
          </w:tcPr>
          <w:p>
            <w:pPr>
              <w:spacing w:after="40"/>
            </w:pPr>
            <w:r>
              <w:rPr>
                <w:sz w:val="16"/>
              </w:rPr>
              <w:t>Consultar y filtrar el panel básico.</w:t>
            </w:r>
          </w:p>
        </w:tc>
        <w:tc>
          <w:tcPr>
            <w:tcW w:type="dxa" w:w="5904"/>
            <w:vAlign w:val="center"/>
          </w:tcPr>
          <w:p>
            <w:pPr>
              <w:spacing w:after="40"/>
            </w:pPr>
            <w:r>
              <w:rPr>
                <w:sz w:val="16"/>
              </w:rPr>
              <w:t>Los filtros por estado, responsable y fecha reflejan los registros que cumplen las condiciones.</w:t>
            </w:r>
          </w:p>
        </w:tc>
      </w:tr>
      <w:tr>
        <w:tc>
          <w:tcPr>
            <w:tcW w:type="dxa" w:w="792"/>
            <w:vAlign w:val="center"/>
            <w:shd w:fill="F2F5F8"/>
          </w:tcPr>
          <w:p>
            <w:pPr>
              <w:spacing w:after="40"/>
            </w:pPr>
            <w:r>
              <w:rPr>
                <w:sz w:val="16"/>
              </w:rPr>
              <w:t>RF06</w:t>
            </w:r>
          </w:p>
        </w:tc>
        <w:tc>
          <w:tcPr>
            <w:tcW w:type="dxa" w:w="3672"/>
            <w:vAlign w:val="center"/>
            <w:shd w:fill="F2F5F8"/>
          </w:tcPr>
          <w:p>
            <w:pPr>
              <w:spacing w:after="40"/>
            </w:pPr>
            <w:r>
              <w:rPr>
                <w:sz w:val="16"/>
              </w:rPr>
              <w:t>Consultar historial de una actividad.</w:t>
            </w:r>
          </w:p>
        </w:tc>
        <w:tc>
          <w:tcPr>
            <w:tcW w:type="dxa" w:w="5904"/>
            <w:vAlign w:val="center"/>
            <w:shd w:fill="F2F5F8"/>
          </w:tcPr>
          <w:p>
            <w:pPr>
              <w:spacing w:after="40"/>
            </w:pPr>
            <w:r>
              <w:rPr>
                <w:sz w:val="16"/>
              </w:rPr>
              <w:t>Se muestran cambios relevantes en orden cronológico y se distingue el estado actual.</w:t>
            </w:r>
          </w:p>
        </w:tc>
      </w:tr>
    </w:tbl>
    <w:p>
      <w:pPr>
        <w:spacing w:after="2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c>
          <w:tcPr>
            <w:tcW w:type="dxa" w:w="792"/>
            <w:shd w:fill="002B49"/>
            <w:vAlign w:val="center"/>
          </w:tcPr>
          <w:p>
            <w:r>
              <w:rPr>
                <w:b/>
                <w:color w:val="FFFFFF"/>
                <w:sz w:val="16"/>
              </w:rPr>
              <w:t>ID</w:t>
            </w:r>
          </w:p>
        </w:tc>
        <w:tc>
          <w:tcPr>
            <w:tcW w:type="dxa" w:w="3672"/>
            <w:shd w:fill="002B49"/>
            <w:vAlign w:val="center"/>
          </w:tcPr>
          <w:p>
            <w:r>
              <w:rPr>
                <w:b/>
                <w:color w:val="FFFFFF"/>
                <w:sz w:val="16"/>
              </w:rPr>
              <w:t>Requisito no funcional inicial</w:t>
            </w:r>
          </w:p>
        </w:tc>
        <w:tc>
          <w:tcPr>
            <w:tcW w:type="dxa" w:w="5904"/>
            <w:shd w:fill="002B49"/>
            <w:vAlign w:val="center"/>
          </w:tcPr>
          <w:p>
            <w:r>
              <w:rPr>
                <w:b/>
                <w:color w:val="FFFFFF"/>
                <w:sz w:val="16"/>
              </w:rPr>
              <w:t>Verificación propuesta</w:t>
            </w:r>
          </w:p>
        </w:tc>
      </w:tr>
      <w:tr>
        <w:tc>
          <w:tcPr>
            <w:tcW w:type="dxa" w:w="792"/>
            <w:vAlign w:val="center"/>
          </w:tcPr>
          <w:p>
            <w:pPr>
              <w:spacing w:after="40"/>
            </w:pPr>
            <w:r>
              <w:rPr>
                <w:sz w:val="16"/>
              </w:rPr>
              <w:t>RNF01</w:t>
            </w:r>
          </w:p>
        </w:tc>
        <w:tc>
          <w:tcPr>
            <w:tcW w:type="dxa" w:w="3672"/>
            <w:vAlign w:val="center"/>
          </w:tcPr>
          <w:p>
            <w:pPr>
              <w:spacing w:after="40"/>
            </w:pPr>
            <w:r>
              <w:rPr>
                <w:sz w:val="16"/>
              </w:rPr>
              <w:t>Proteger el acceso y limitar exposición de datos.</w:t>
            </w:r>
          </w:p>
        </w:tc>
        <w:tc>
          <w:tcPr>
            <w:tcW w:type="dxa" w:w="5904"/>
            <w:vAlign w:val="center"/>
          </w:tcPr>
          <w:p>
            <w:pPr>
              <w:spacing w:after="40"/>
            </w:pPr>
            <w:r>
              <w:rPr>
                <w:sz w:val="16"/>
              </w:rPr>
              <w:t>Revisar el mecanismo aprobado, probar acceso autorizado/no autorizado y usar datos ficticios en pruebas.</w:t>
            </w:r>
          </w:p>
        </w:tc>
      </w:tr>
      <w:tr>
        <w:tc>
          <w:tcPr>
            <w:tcW w:type="dxa" w:w="792"/>
            <w:vAlign w:val="center"/>
            <w:shd w:fill="F2F5F8"/>
          </w:tcPr>
          <w:p>
            <w:pPr>
              <w:spacing w:after="40"/>
            </w:pPr>
            <w:r>
              <w:rPr>
                <w:sz w:val="16"/>
              </w:rPr>
              <w:t>RNF02</w:t>
            </w:r>
          </w:p>
        </w:tc>
        <w:tc>
          <w:tcPr>
            <w:tcW w:type="dxa" w:w="3672"/>
            <w:vAlign w:val="center"/>
            <w:shd w:fill="F2F5F8"/>
          </w:tcPr>
          <w:p>
            <w:pPr>
              <w:spacing w:after="40"/>
            </w:pPr>
            <w:r>
              <w:rPr>
                <w:sz w:val="16"/>
              </w:rPr>
              <w:t>Mantener integridad del historial.</w:t>
            </w:r>
          </w:p>
        </w:tc>
        <w:tc>
          <w:tcPr>
            <w:tcW w:type="dxa" w:w="5904"/>
            <w:vAlign w:val="center"/>
            <w:shd w:fill="F2F5F8"/>
          </w:tcPr>
          <w:p>
            <w:pPr>
              <w:spacing w:after="40"/>
            </w:pPr>
            <w:r>
              <w:rPr>
                <w:sz w:val="16"/>
              </w:rPr>
              <w:t>Comprobar que crear/actualizar registra los cambios y que errores no dejan estados parciales.</w:t>
            </w:r>
          </w:p>
        </w:tc>
      </w:tr>
      <w:tr>
        <w:tc>
          <w:tcPr>
            <w:tcW w:type="dxa" w:w="792"/>
            <w:vAlign w:val="center"/>
          </w:tcPr>
          <w:p>
            <w:pPr>
              <w:spacing w:after="40"/>
            </w:pPr>
            <w:r>
              <w:rPr>
                <w:sz w:val="16"/>
              </w:rPr>
              <w:t>RNF03</w:t>
            </w:r>
          </w:p>
        </w:tc>
        <w:tc>
          <w:tcPr>
            <w:tcW w:type="dxa" w:w="3672"/>
            <w:vAlign w:val="center"/>
          </w:tcPr>
          <w:p>
            <w:pPr>
              <w:spacing w:after="40"/>
            </w:pPr>
            <w:r>
              <w:rPr>
                <w:sz w:val="16"/>
              </w:rPr>
              <w:t>Usabilidad en escritorio y móvil.</w:t>
            </w:r>
          </w:p>
        </w:tc>
        <w:tc>
          <w:tcPr>
            <w:tcW w:type="dxa" w:w="5904"/>
            <w:vAlign w:val="center"/>
          </w:tcPr>
          <w:p>
            <w:pPr>
              <w:spacing w:after="40"/>
            </w:pPr>
            <w:r>
              <w:rPr>
                <w:sz w:val="16"/>
              </w:rPr>
              <w:t>Ejecutar tareas principales en ambos tamaños y registrar incidencias.</w:t>
            </w:r>
          </w:p>
        </w:tc>
      </w:tr>
      <w:tr>
        <w:tc>
          <w:tcPr>
            <w:tcW w:type="dxa" w:w="792"/>
            <w:vAlign w:val="center"/>
            <w:shd w:fill="F2F5F8"/>
          </w:tcPr>
          <w:p>
            <w:pPr>
              <w:spacing w:after="40"/>
            </w:pPr>
            <w:r>
              <w:rPr>
                <w:sz w:val="16"/>
              </w:rPr>
              <w:t>RNF04</w:t>
            </w:r>
          </w:p>
        </w:tc>
        <w:tc>
          <w:tcPr>
            <w:tcW w:type="dxa" w:w="3672"/>
            <w:vAlign w:val="center"/>
            <w:shd w:fill="F2F5F8"/>
          </w:tcPr>
          <w:p>
            <w:pPr>
              <w:spacing w:after="40"/>
            </w:pPr>
            <w:r>
              <w:rPr>
                <w:sz w:val="16"/>
              </w:rPr>
              <w:t>Instalación reproducible.</w:t>
            </w:r>
          </w:p>
        </w:tc>
        <w:tc>
          <w:tcPr>
            <w:tcW w:type="dxa" w:w="5904"/>
            <w:vAlign w:val="center"/>
            <w:shd w:fill="F2F5F8"/>
          </w:tcPr>
          <w:p>
            <w:pPr>
              <w:spacing w:after="40"/>
            </w:pPr>
            <w:r>
              <w:rPr>
                <w:sz w:val="16"/>
              </w:rPr>
              <w:t>Seguir la guía desde un entorno limpio y registrar dependencias y configuración.</w:t>
            </w:r>
          </w:p>
        </w:tc>
      </w:tr>
      <w:tr>
        <w:tc>
          <w:tcPr>
            <w:tcW w:type="dxa" w:w="792"/>
            <w:vAlign w:val="center"/>
          </w:tcPr>
          <w:p>
            <w:pPr>
              <w:spacing w:after="40"/>
            </w:pPr>
            <w:r>
              <w:rPr>
                <w:sz w:val="16"/>
              </w:rPr>
              <w:t>RNF05</w:t>
            </w:r>
          </w:p>
        </w:tc>
        <w:tc>
          <w:tcPr>
            <w:tcW w:type="dxa" w:w="3672"/>
            <w:vAlign w:val="center"/>
          </w:tcPr>
          <w:p>
            <w:pPr>
              <w:spacing w:after="40"/>
            </w:pPr>
            <w:r>
              <w:rPr>
                <w:sz w:val="16"/>
              </w:rPr>
              <w:t>Resguardar la información.</w:t>
            </w:r>
          </w:p>
        </w:tc>
        <w:tc>
          <w:tcPr>
            <w:tcW w:type="dxa" w:w="5904"/>
            <w:vAlign w:val="center"/>
          </w:tcPr>
          <w:p>
            <w:pPr>
              <w:spacing w:after="40"/>
            </w:pPr>
            <w:r>
              <w:rPr>
                <w:sz w:val="16"/>
              </w:rPr>
              <w:t>Definir política de respaldo y recuperación para el ambiente autorizado antes de operar con datos reales.</w:t>
            </w:r>
          </w:p>
        </w:tc>
      </w:tr>
    </w:tbl>
    <w:p>
      <w:pPr>
        <w:spacing w:after="20"/>
      </w:pPr>
    </w:p>
    <w:p>
      <w:pPr>
        <w:pStyle w:val="Heading3"/>
      </w:pPr>
      <w:r>
        <w:t>Historias de usuario iniciales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c>
          <w:tcPr>
            <w:tcW w:type="dxa" w:w="3744"/>
            <w:shd w:fill="002B49"/>
            <w:vAlign w:val="center"/>
          </w:tcPr>
          <w:p>
            <w:r>
              <w:rPr>
                <w:b/>
                <w:color w:val="FFFFFF"/>
                <w:sz w:val="16"/>
              </w:rPr>
              <w:t>Historia</w:t>
            </w:r>
          </w:p>
        </w:tc>
        <w:tc>
          <w:tcPr>
            <w:tcW w:type="dxa" w:w="5400"/>
            <w:shd w:fill="002B49"/>
            <w:vAlign w:val="center"/>
          </w:tcPr>
          <w:p>
            <w:r>
              <w:rPr>
                <w:b/>
                <w:color w:val="FFFFFF"/>
                <w:sz w:val="16"/>
              </w:rPr>
              <w:t>Criterio de aceptación resumido</w:t>
            </w:r>
          </w:p>
        </w:tc>
        <w:tc>
          <w:tcPr>
            <w:tcW w:type="dxa" w:w="1224"/>
            <w:shd w:fill="002B49"/>
            <w:vAlign w:val="center"/>
          </w:tcPr>
          <w:p>
            <w:r>
              <w:rPr>
                <w:b/>
                <w:color w:val="FFFFFF"/>
                <w:sz w:val="16"/>
              </w:rPr>
              <w:t>Prioridad</w:t>
            </w:r>
          </w:p>
        </w:tc>
      </w:tr>
      <w:tr>
        <w:tc>
          <w:tcPr>
            <w:tcW w:type="dxa" w:w="3744"/>
            <w:vAlign w:val="center"/>
          </w:tcPr>
          <w:p>
            <w:pPr>
              <w:spacing w:after="40"/>
            </w:pPr>
            <w:r>
              <w:rPr>
                <w:sz w:val="16"/>
              </w:rPr>
              <w:t>Como persona que coordina actividades, quiero asignar una inspección con fecha y prioridad para que su ejecución quede organizada.</w:t>
            </w:r>
          </w:p>
        </w:tc>
        <w:tc>
          <w:tcPr>
            <w:tcW w:type="dxa" w:w="5400"/>
            <w:vAlign w:val="center"/>
          </w:tcPr>
          <w:p>
            <w:pPr>
              <w:spacing w:after="40"/>
            </w:pPr>
            <w:r>
              <w:rPr>
                <w:sz w:val="16"/>
              </w:rPr>
              <w:t>El registro muestra responsable, fecha, prioridad y estado inicial; la asignación aparece en la bandeja acordada.</w:t>
            </w:r>
          </w:p>
        </w:tc>
        <w:tc>
          <w:tcPr>
            <w:tcW w:type="dxa" w:w="1224"/>
            <w:vAlign w:val="center"/>
          </w:tcPr>
          <w:p>
            <w:pPr>
              <w:spacing w:after="40"/>
            </w:pPr>
            <w:r>
              <w:rPr>
                <w:sz w:val="16"/>
              </w:rPr>
              <w:t>MVP</w:t>
            </w:r>
          </w:p>
        </w:tc>
      </w:tr>
      <w:tr>
        <w:tc>
          <w:tcPr>
            <w:tcW w:type="dxa" w:w="3744"/>
            <w:vAlign w:val="center"/>
            <w:shd w:fill="F2F5F8"/>
          </w:tcPr>
          <w:p>
            <w:pPr>
              <w:spacing w:after="40"/>
            </w:pPr>
            <w:r>
              <w:rPr>
                <w:sz w:val="16"/>
              </w:rPr>
              <w:t>Como persona que ejecuta una inspección, quiero actualizar su estado y agregar observaciones para dejar constancia del avance.</w:t>
            </w:r>
          </w:p>
        </w:tc>
        <w:tc>
          <w:tcPr>
            <w:tcW w:type="dxa" w:w="5400"/>
            <w:vAlign w:val="center"/>
            <w:shd w:fill="F2F5F8"/>
          </w:tcPr>
          <w:p>
            <w:pPr>
              <w:spacing w:after="40"/>
            </w:pPr>
            <w:r>
              <w:rPr>
                <w:sz w:val="16"/>
              </w:rPr>
              <w:t>Se conserva el estado vigente y cada cambio aparece en el historial con fecha.</w:t>
            </w:r>
          </w:p>
        </w:tc>
        <w:tc>
          <w:tcPr>
            <w:tcW w:type="dxa" w:w="1224"/>
            <w:vAlign w:val="center"/>
            <w:shd w:fill="F2F5F8"/>
          </w:tcPr>
          <w:p>
            <w:pPr>
              <w:spacing w:after="40"/>
            </w:pPr>
            <w:r>
              <w:rPr>
                <w:sz w:val="16"/>
              </w:rPr>
              <w:t>MVP</w:t>
            </w:r>
          </w:p>
        </w:tc>
      </w:tr>
      <w:tr>
        <w:tc>
          <w:tcPr>
            <w:tcW w:type="dxa" w:w="3744"/>
            <w:vAlign w:val="center"/>
          </w:tcPr>
          <w:p>
            <w:pPr>
              <w:spacing w:after="40"/>
            </w:pPr>
            <w:r>
              <w:rPr>
                <w:sz w:val="16"/>
              </w:rPr>
              <w:t>Como persona asignada, quiero confirmar que recibí una tarea para que la coordinación pueda verificar la comunicación.</w:t>
            </w:r>
          </w:p>
        </w:tc>
        <w:tc>
          <w:tcPr>
            <w:tcW w:type="dxa" w:w="5400"/>
            <w:vAlign w:val="center"/>
          </w:tcPr>
          <w:p>
            <w:pPr>
              <w:spacing w:after="40"/>
            </w:pPr>
            <w:r>
              <w:rPr>
                <w:sz w:val="16"/>
              </w:rPr>
              <w:t>La confirmación queda asociada a la asignación; la contraparte valida que este mecanismo satisface la necesidad.</w:t>
            </w:r>
          </w:p>
        </w:tc>
        <w:tc>
          <w:tcPr>
            <w:tcW w:type="dxa" w:w="1224"/>
            <w:vAlign w:val="center"/>
          </w:tcPr>
          <w:p>
            <w:pPr>
              <w:spacing w:after="40"/>
            </w:pPr>
            <w:r>
              <w:rPr>
                <w:sz w:val="16"/>
              </w:rPr>
              <w:t>MVP sujeto a validación</w:t>
            </w:r>
          </w:p>
        </w:tc>
      </w:tr>
      <w:tr>
        <w:tc>
          <w:tcPr>
            <w:tcW w:type="dxa" w:w="3744"/>
            <w:vAlign w:val="center"/>
            <w:shd w:fill="F2F5F8"/>
          </w:tcPr>
          <w:p>
            <w:pPr>
              <w:spacing w:after="40"/>
            </w:pPr>
            <w:r>
              <w:rPr>
                <w:sz w:val="16"/>
              </w:rPr>
              <w:t>Como persona que revisa el trabajo, quiero filtrar registros por estado y fecha para conocer qué requiere atención.</w:t>
            </w:r>
          </w:p>
        </w:tc>
        <w:tc>
          <w:tcPr>
            <w:tcW w:type="dxa" w:w="5400"/>
            <w:vAlign w:val="center"/>
            <w:shd w:fill="F2F5F8"/>
          </w:tcPr>
          <w:p>
            <w:pPr>
              <w:spacing w:after="40"/>
            </w:pPr>
            <w:r>
              <w:rPr>
                <w:sz w:val="16"/>
              </w:rPr>
              <w:t>El resultado coincide con los filtros seleccionados y permite abrir el detalle.</w:t>
            </w:r>
          </w:p>
        </w:tc>
        <w:tc>
          <w:tcPr>
            <w:tcW w:type="dxa" w:w="1224"/>
            <w:vAlign w:val="center"/>
            <w:shd w:fill="F2F5F8"/>
          </w:tcPr>
          <w:p>
            <w:pPr>
              <w:spacing w:after="40"/>
            </w:pPr>
            <w:r>
              <w:rPr>
                <w:sz w:val="16"/>
              </w:rPr>
              <w:t>MVP básico</w:t>
            </w:r>
          </w:p>
        </w:tc>
      </w:tr>
    </w:tbl>
    <w:p>
      <w:pPr>
        <w:spacing w:after="20"/>
      </w:pPr>
    </w:p>
    <w:p>
      <w:pPr>
        <w:pStyle w:val="Heading3"/>
      </w:pPr>
      <w:r>
        <w:t>Backlog inicial priorizado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69"/>
        <w:gridCol w:w="2469"/>
        <w:gridCol w:w="2469"/>
        <w:gridCol w:w="2469"/>
      </w:tblGrid>
      <w:tr>
        <w:tc>
          <w:tcPr>
            <w:tcW w:type="dxa" w:w="720"/>
            <w:shd w:fill="002B49"/>
            <w:vAlign w:val="center"/>
          </w:tcPr>
          <w:p>
            <w:r>
              <w:rPr>
                <w:b/>
                <w:color w:val="FFFFFF"/>
                <w:sz w:val="15"/>
              </w:rPr>
              <w:t>Orden</w:t>
            </w:r>
          </w:p>
        </w:tc>
        <w:tc>
          <w:tcPr>
            <w:tcW w:type="dxa" w:w="3168"/>
            <w:shd w:fill="002B49"/>
            <w:vAlign w:val="center"/>
          </w:tcPr>
          <w:p>
            <w:r>
              <w:rPr>
                <w:b/>
                <w:color w:val="FFFFFF"/>
                <w:sz w:val="15"/>
              </w:rPr>
              <w:t>Elemento de trabajo</w:t>
            </w:r>
          </w:p>
        </w:tc>
        <w:tc>
          <w:tcPr>
            <w:tcW w:type="dxa" w:w="5256"/>
            <w:shd w:fill="002B49"/>
            <w:vAlign w:val="center"/>
          </w:tcPr>
          <w:p>
            <w:r>
              <w:rPr>
                <w:b/>
                <w:color w:val="FFFFFF"/>
                <w:sz w:val="15"/>
              </w:rPr>
              <w:t>Condición de cierre</w:t>
            </w:r>
          </w:p>
        </w:tc>
        <w:tc>
          <w:tcPr>
            <w:tcW w:type="dxa" w:w="1152"/>
            <w:shd w:fill="002B49"/>
            <w:vAlign w:val="center"/>
          </w:tcPr>
          <w:p>
            <w:r>
              <w:rPr>
                <w:b/>
                <w:color w:val="FFFFFF"/>
                <w:sz w:val="15"/>
              </w:rPr>
              <w:t>Ventana</w:t>
            </w:r>
          </w:p>
        </w:tc>
      </w:tr>
      <w:tr>
        <w:tc>
          <w:tcPr>
            <w:tcW w:type="dxa" w:w="720"/>
            <w:vAlign w:val="center"/>
          </w:tcPr>
          <w:p>
            <w:pPr>
              <w:spacing w:after="40"/>
            </w:pPr>
            <w:r>
              <w:rPr>
                <w:sz w:val="15"/>
              </w:rPr>
              <w:t>1</w:t>
            </w:r>
          </w:p>
        </w:tc>
        <w:tc>
          <w:tcPr>
            <w:tcW w:type="dxa" w:w="3168"/>
            <w:vAlign w:val="center"/>
          </w:tcPr>
          <w:p>
            <w:pPr>
              <w:spacing w:after="40"/>
            </w:pPr>
            <w:r>
              <w:rPr>
                <w:sz w:val="15"/>
              </w:rPr>
              <w:t>Validar proceso actual y línea base</w:t>
            </w:r>
          </w:p>
        </w:tc>
        <w:tc>
          <w:tcPr>
            <w:tcW w:type="dxa" w:w="5256"/>
            <w:vAlign w:val="center"/>
          </w:tcPr>
          <w:p>
            <w:pPr>
              <w:spacing w:after="40"/>
            </w:pPr>
            <w:r>
              <w:rPr>
                <w:sz w:val="15"/>
              </w:rPr>
              <w:t>Flujo AS-IS y datos disponibles revisados por la contraparte; faltantes documentados.</w:t>
            </w:r>
          </w:p>
        </w:tc>
        <w:tc>
          <w:tcPr>
            <w:tcW w:type="dxa" w:w="1152"/>
            <w:vAlign w:val="center"/>
          </w:tcPr>
          <w:p>
            <w:pPr>
              <w:spacing w:after="40"/>
            </w:pPr>
            <w:r>
              <w:rPr>
                <w:sz w:val="15"/>
              </w:rPr>
              <w:t>6–9 oct</w:t>
            </w:r>
          </w:p>
        </w:tc>
      </w:tr>
      <w:tr>
        <w:tc>
          <w:tcPr>
            <w:tcW w:type="dxa" w:w="720"/>
            <w:vAlign w:val="center"/>
            <w:shd w:fill="F2F5F8"/>
          </w:tcPr>
          <w:p>
            <w:pPr>
              <w:spacing w:after="40"/>
            </w:pPr>
            <w:r>
              <w:rPr>
                <w:sz w:val="15"/>
              </w:rPr>
              <w:t>2</w:t>
            </w:r>
          </w:p>
        </w:tc>
        <w:tc>
          <w:tcPr>
            <w:tcW w:type="dxa" w:w="3168"/>
            <w:vAlign w:val="center"/>
            <w:shd w:fill="F2F5F8"/>
          </w:tcPr>
          <w:p>
            <w:pPr>
              <w:spacing w:after="40"/>
            </w:pPr>
            <w:r>
              <w:rPr>
                <w:sz w:val="15"/>
              </w:rPr>
              <w:t>Aprobar requisitos y alcance MVP</w:t>
            </w:r>
          </w:p>
        </w:tc>
        <w:tc>
          <w:tcPr>
            <w:tcW w:type="dxa" w:w="5256"/>
            <w:vAlign w:val="center"/>
            <w:shd w:fill="F2F5F8"/>
          </w:tcPr>
          <w:p>
            <w:pPr>
              <w:spacing w:after="40"/>
            </w:pPr>
            <w:r>
              <w:rPr>
                <w:sz w:val="15"/>
              </w:rPr>
              <w:t>Historias, criterios de aceptación y exclusiones priorizados y registrados.</w:t>
            </w:r>
          </w:p>
        </w:tc>
        <w:tc>
          <w:tcPr>
            <w:tcW w:type="dxa" w:w="1152"/>
            <w:vAlign w:val="center"/>
            <w:shd w:fill="F2F5F8"/>
          </w:tcPr>
          <w:p>
            <w:pPr>
              <w:spacing w:after="40"/>
            </w:pPr>
            <w:r>
              <w:rPr>
                <w:sz w:val="15"/>
              </w:rPr>
              <w:t>6–9 oct</w:t>
            </w:r>
          </w:p>
        </w:tc>
      </w:tr>
      <w:tr>
        <w:tc>
          <w:tcPr>
            <w:tcW w:type="dxa" w:w="720"/>
            <w:vAlign w:val="center"/>
          </w:tcPr>
          <w:p>
            <w:pPr>
              <w:spacing w:after="40"/>
            </w:pPr>
            <w:r>
              <w:rPr>
                <w:sz w:val="15"/>
              </w:rPr>
              <w:t>3</w:t>
            </w:r>
          </w:p>
        </w:tc>
        <w:tc>
          <w:tcPr>
            <w:tcW w:type="dxa" w:w="3168"/>
            <w:vAlign w:val="center"/>
          </w:tcPr>
          <w:p>
            <w:pPr>
              <w:spacing w:after="40"/>
            </w:pPr>
            <w:r>
              <w:rPr>
                <w:sz w:val="15"/>
              </w:rPr>
              <w:t>Definir arquitectura, datos y API</w:t>
            </w:r>
          </w:p>
        </w:tc>
        <w:tc>
          <w:tcPr>
            <w:tcW w:type="dxa" w:w="5256"/>
            <w:vAlign w:val="center"/>
          </w:tcPr>
          <w:p>
            <w:pPr>
              <w:spacing w:after="40"/>
            </w:pPr>
            <w:r>
              <w:rPr>
                <w:sz w:val="15"/>
              </w:rPr>
              <w:t>Diagrama y modelo revisados; contratos iniciales documentados.</w:t>
            </w:r>
          </w:p>
        </w:tc>
        <w:tc>
          <w:tcPr>
            <w:tcW w:type="dxa" w:w="1152"/>
            <w:vAlign w:val="center"/>
          </w:tcPr>
          <w:p>
            <w:pPr>
              <w:spacing w:after="40"/>
            </w:pPr>
            <w:r>
              <w:rPr>
                <w:sz w:val="15"/>
              </w:rPr>
              <w:t>13–16 oct</w:t>
            </w:r>
          </w:p>
        </w:tc>
      </w:tr>
      <w:tr>
        <w:tc>
          <w:tcPr>
            <w:tcW w:type="dxa" w:w="720"/>
            <w:vAlign w:val="center"/>
            <w:shd w:fill="F2F5F8"/>
          </w:tcPr>
          <w:p>
            <w:pPr>
              <w:spacing w:after="40"/>
            </w:pPr>
            <w:r>
              <w:rPr>
                <w:sz w:val="15"/>
              </w:rPr>
              <w:t>4</w:t>
            </w:r>
          </w:p>
        </w:tc>
        <w:tc>
          <w:tcPr>
            <w:tcW w:type="dxa" w:w="3168"/>
            <w:vAlign w:val="center"/>
            <w:shd w:fill="F2F5F8"/>
          </w:tcPr>
          <w:p>
            <w:pPr>
              <w:spacing w:after="40"/>
            </w:pPr>
            <w:r>
              <w:rPr>
                <w:sz w:val="15"/>
              </w:rPr>
              <w:t>Resolver ambiente de prueba y despliegue</w:t>
            </w:r>
          </w:p>
        </w:tc>
        <w:tc>
          <w:tcPr>
            <w:tcW w:type="dxa" w:w="5256"/>
            <w:vAlign w:val="center"/>
            <w:shd w:fill="F2F5F8"/>
          </w:tcPr>
          <w:p>
            <w:pPr>
              <w:spacing w:after="40"/>
            </w:pPr>
            <w:r>
              <w:rPr>
                <w:sz w:val="15"/>
              </w:rPr>
              <w:t>Autorización, acceso, datos permitidos y plan alternativo registrados.</w:t>
            </w:r>
          </w:p>
        </w:tc>
        <w:tc>
          <w:tcPr>
            <w:tcW w:type="dxa" w:w="1152"/>
            <w:vAlign w:val="center"/>
            <w:shd w:fill="F2F5F8"/>
          </w:tcPr>
          <w:p>
            <w:pPr>
              <w:spacing w:after="40"/>
            </w:pPr>
            <w:r>
              <w:rPr>
                <w:sz w:val="15"/>
              </w:rPr>
              <w:t>Antes del 9 oct</w:t>
            </w:r>
          </w:p>
        </w:tc>
      </w:tr>
      <w:tr>
        <w:tc>
          <w:tcPr>
            <w:tcW w:type="dxa" w:w="720"/>
            <w:vAlign w:val="center"/>
          </w:tcPr>
          <w:p>
            <w:pPr>
              <w:spacing w:after="40"/>
            </w:pPr>
            <w:r>
              <w:rPr>
                <w:sz w:val="15"/>
              </w:rPr>
              <w:t>5</w:t>
            </w:r>
          </w:p>
        </w:tc>
        <w:tc>
          <w:tcPr>
            <w:tcW w:type="dxa" w:w="3168"/>
            <w:vAlign w:val="center"/>
          </w:tcPr>
          <w:p>
            <w:pPr>
              <w:spacing w:after="40"/>
            </w:pPr>
            <w:r>
              <w:rPr>
                <w:sz w:val="15"/>
              </w:rPr>
              <w:t>Preparar estructura de aplicación y persistencia</w:t>
            </w:r>
          </w:p>
        </w:tc>
        <w:tc>
          <w:tcPr>
            <w:tcW w:type="dxa" w:w="5256"/>
            <w:vAlign w:val="center"/>
          </w:tcPr>
          <w:p>
            <w:pPr>
              <w:spacing w:after="40"/>
            </w:pPr>
            <w:r>
              <w:rPr>
                <w:sz w:val="15"/>
              </w:rPr>
              <w:t>Aplicación ejecutable; migración inicial y prueba temprana de instalación.</w:t>
            </w:r>
          </w:p>
        </w:tc>
        <w:tc>
          <w:tcPr>
            <w:tcW w:type="dxa" w:w="1152"/>
            <w:vAlign w:val="center"/>
          </w:tcPr>
          <w:p>
            <w:pPr>
              <w:spacing w:after="40"/>
            </w:pPr>
            <w:r>
              <w:rPr>
                <w:sz w:val="15"/>
              </w:rPr>
              <w:t>19–23 oct</w:t>
            </w:r>
          </w:p>
        </w:tc>
      </w:tr>
      <w:tr>
        <w:tc>
          <w:tcPr>
            <w:tcW w:type="dxa" w:w="720"/>
            <w:vAlign w:val="center"/>
            <w:shd w:fill="F2F5F8"/>
          </w:tcPr>
          <w:p>
            <w:pPr>
              <w:spacing w:after="40"/>
            </w:pPr>
            <w:r>
              <w:rPr>
                <w:sz w:val="15"/>
              </w:rPr>
              <w:t>6</w:t>
            </w:r>
          </w:p>
        </w:tc>
        <w:tc>
          <w:tcPr>
            <w:tcW w:type="dxa" w:w="3168"/>
            <w:vAlign w:val="center"/>
            <w:shd w:fill="F2F5F8"/>
          </w:tcPr>
          <w:p>
            <w:pPr>
              <w:spacing w:after="40"/>
            </w:pPr>
            <w:r>
              <w:rPr>
                <w:sz w:val="15"/>
              </w:rPr>
              <w:t>Construir registro, asignación y estados</w:t>
            </w:r>
          </w:p>
        </w:tc>
        <w:tc>
          <w:tcPr>
            <w:tcW w:type="dxa" w:w="5256"/>
            <w:vAlign w:val="center"/>
            <w:shd w:fill="F2F5F8"/>
          </w:tcPr>
          <w:p>
            <w:pPr>
              <w:spacing w:after="40"/>
            </w:pPr>
            <w:r>
              <w:rPr>
                <w:sz w:val="15"/>
              </w:rPr>
              <w:t>Flujo principal demostrable y cubierto por pruebas básicas.</w:t>
            </w:r>
          </w:p>
        </w:tc>
        <w:tc>
          <w:tcPr>
            <w:tcW w:type="dxa" w:w="1152"/>
            <w:vAlign w:val="center"/>
            <w:shd w:fill="F2F5F8"/>
          </w:tcPr>
          <w:p>
            <w:pPr>
              <w:spacing w:after="40"/>
            </w:pPr>
            <w:r>
              <w:rPr>
                <w:sz w:val="15"/>
              </w:rPr>
              <w:t>26–30 oct</w:t>
            </w:r>
          </w:p>
        </w:tc>
      </w:tr>
      <w:tr>
        <w:tc>
          <w:tcPr>
            <w:tcW w:type="dxa" w:w="720"/>
            <w:vAlign w:val="center"/>
          </w:tcPr>
          <w:p>
            <w:pPr>
              <w:spacing w:after="40"/>
            </w:pPr>
            <w:r>
              <w:rPr>
                <w:sz w:val="15"/>
              </w:rPr>
              <w:t>7</w:t>
            </w:r>
          </w:p>
        </w:tc>
        <w:tc>
          <w:tcPr>
            <w:tcW w:type="dxa" w:w="3168"/>
            <w:vAlign w:val="center"/>
          </w:tcPr>
          <w:p>
            <w:pPr>
              <w:spacing w:after="40"/>
            </w:pPr>
            <w:r>
              <w:rPr>
                <w:sz w:val="15"/>
              </w:rPr>
              <w:t>Construir historial y comunicación acordada</w:t>
            </w:r>
          </w:p>
        </w:tc>
        <w:tc>
          <w:tcPr>
            <w:tcW w:type="dxa" w:w="5256"/>
            <w:vAlign w:val="center"/>
          </w:tcPr>
          <w:p>
            <w:pPr>
              <w:spacing w:after="40"/>
            </w:pPr>
            <w:r>
              <w:rPr>
                <w:sz w:val="15"/>
              </w:rPr>
              <w:t>Cambios trazables; bandeja/confirmación validada con la contraparte.</w:t>
            </w:r>
          </w:p>
        </w:tc>
        <w:tc>
          <w:tcPr>
            <w:tcW w:type="dxa" w:w="1152"/>
            <w:vAlign w:val="center"/>
          </w:tcPr>
          <w:p>
            <w:pPr>
              <w:spacing w:after="40"/>
            </w:pPr>
            <w:r>
              <w:rPr>
                <w:sz w:val="15"/>
              </w:rPr>
              <w:t>2–6 nov</w:t>
            </w:r>
          </w:p>
        </w:tc>
      </w:tr>
      <w:tr>
        <w:tc>
          <w:tcPr>
            <w:tcW w:type="dxa" w:w="720"/>
            <w:vAlign w:val="center"/>
            <w:shd w:fill="F2F5F8"/>
          </w:tcPr>
          <w:p>
            <w:pPr>
              <w:spacing w:after="40"/>
            </w:pPr>
            <w:r>
              <w:rPr>
                <w:sz w:val="15"/>
              </w:rPr>
              <w:t>8</w:t>
            </w:r>
          </w:p>
        </w:tc>
        <w:tc>
          <w:tcPr>
            <w:tcW w:type="dxa" w:w="3168"/>
            <w:vAlign w:val="center"/>
            <w:shd w:fill="F2F5F8"/>
          </w:tcPr>
          <w:p>
            <w:pPr>
              <w:spacing w:after="40"/>
            </w:pPr>
            <w:r>
              <w:rPr>
                <w:sz w:val="15"/>
              </w:rPr>
              <w:t>Construir panel básico y filtros</w:t>
            </w:r>
          </w:p>
        </w:tc>
        <w:tc>
          <w:tcPr>
            <w:tcW w:type="dxa" w:w="5256"/>
            <w:vAlign w:val="center"/>
            <w:shd w:fill="F2F5F8"/>
          </w:tcPr>
          <w:p>
            <w:pPr>
              <w:spacing w:after="40"/>
            </w:pPr>
            <w:r>
              <w:rPr>
                <w:sz w:val="15"/>
              </w:rPr>
              <w:t>Resumen y filtros comprobados con conjunto de datos de prueba.</w:t>
            </w:r>
          </w:p>
        </w:tc>
        <w:tc>
          <w:tcPr>
            <w:tcW w:type="dxa" w:w="1152"/>
            <w:vAlign w:val="center"/>
            <w:shd w:fill="F2F5F8"/>
          </w:tcPr>
          <w:p>
            <w:pPr>
              <w:spacing w:after="40"/>
            </w:pPr>
            <w:r>
              <w:rPr>
                <w:sz w:val="15"/>
              </w:rPr>
              <w:t>2–6 nov</w:t>
            </w:r>
          </w:p>
        </w:tc>
      </w:tr>
      <w:tr>
        <w:tc>
          <w:tcPr>
            <w:tcW w:type="dxa" w:w="720"/>
            <w:vAlign w:val="center"/>
          </w:tcPr>
          <w:p>
            <w:pPr>
              <w:spacing w:after="40"/>
            </w:pPr>
            <w:r>
              <w:rPr>
                <w:sz w:val="15"/>
              </w:rPr>
              <w:t>9</w:t>
            </w:r>
          </w:p>
        </w:tc>
        <w:tc>
          <w:tcPr>
            <w:tcW w:type="dxa" w:w="3168"/>
            <w:vAlign w:val="center"/>
          </w:tcPr>
          <w:p>
            <w:pPr>
              <w:spacing w:after="40"/>
            </w:pPr>
            <w:r>
              <w:rPr>
                <w:sz w:val="15"/>
              </w:rPr>
              <w:t>Integrar, probar y corregir</w:t>
            </w:r>
          </w:p>
        </w:tc>
        <w:tc>
          <w:tcPr>
            <w:tcW w:type="dxa" w:w="5256"/>
            <w:vAlign w:val="center"/>
          </w:tcPr>
          <w:p>
            <w:pPr>
              <w:spacing w:after="40"/>
            </w:pPr>
            <w:r>
              <w:rPr>
                <w:sz w:val="15"/>
              </w:rPr>
              <w:t>Pruebas funcionales y de aceptación; fallas críticas resueltas o aceptadas.</w:t>
            </w:r>
          </w:p>
        </w:tc>
        <w:tc>
          <w:tcPr>
            <w:tcW w:type="dxa" w:w="1152"/>
            <w:vAlign w:val="center"/>
          </w:tcPr>
          <w:p>
            <w:pPr>
              <w:spacing w:after="40"/>
            </w:pPr>
            <w:r>
              <w:rPr>
                <w:sz w:val="15"/>
              </w:rPr>
              <w:t>9–20 nov</w:t>
            </w:r>
          </w:p>
        </w:tc>
      </w:tr>
      <w:tr>
        <w:tc>
          <w:tcPr>
            <w:tcW w:type="dxa" w:w="720"/>
            <w:vAlign w:val="center"/>
            <w:shd w:fill="F2F5F8"/>
          </w:tcPr>
          <w:p>
            <w:pPr>
              <w:spacing w:after="40"/>
            </w:pPr>
            <w:r>
              <w:rPr>
                <w:sz w:val="15"/>
              </w:rPr>
              <w:t>10</w:t>
            </w:r>
          </w:p>
        </w:tc>
        <w:tc>
          <w:tcPr>
            <w:tcW w:type="dxa" w:w="3168"/>
            <w:vAlign w:val="center"/>
            <w:shd w:fill="F2F5F8"/>
          </w:tcPr>
          <w:p>
            <w:pPr>
              <w:spacing w:after="40"/>
            </w:pPr>
            <w:r>
              <w:rPr>
                <w:sz w:val="15"/>
              </w:rPr>
              <w:t>Documentar, desplegar y entregar</w:t>
            </w:r>
          </w:p>
        </w:tc>
        <w:tc>
          <w:tcPr>
            <w:tcW w:type="dxa" w:w="5256"/>
            <w:vAlign w:val="center"/>
            <w:shd w:fill="F2F5F8"/>
          </w:tcPr>
          <w:p>
            <w:pPr>
              <w:spacing w:after="40"/>
            </w:pPr>
            <w:r>
              <w:rPr>
                <w:sz w:val="15"/>
              </w:rPr>
              <w:t>Manuales, guía reproducible, evidencias y acta de cierre disponibles.</w:t>
            </w:r>
          </w:p>
        </w:tc>
        <w:tc>
          <w:tcPr>
            <w:tcW w:type="dxa" w:w="1152"/>
            <w:vAlign w:val="center"/>
            <w:shd w:fill="F2F5F8"/>
          </w:tcPr>
          <w:p>
            <w:pPr>
              <w:spacing w:after="40"/>
            </w:pPr>
            <w:r>
              <w:rPr>
                <w:sz w:val="15"/>
              </w:rPr>
              <w:t>23 nov–4 dic</w:t>
            </w:r>
          </w:p>
        </w:tc>
      </w:tr>
    </w:tbl>
    <w:p>
      <w:pPr>
        <w:spacing w:after="20"/>
      </w:pPr>
    </w:p>
    <w:p>
      <w:pPr>
        <w:pStyle w:val="Heading1"/>
      </w:pPr>
      <w:r>
        <w:t>5. Método de trabajo y coordinación</w:t>
      </w:r>
    </w:p>
    <w:p>
      <w:pPr>
        <w:pStyle w:val="Heading2"/>
      </w:pPr>
      <w:r>
        <w:t>5.1 Kanban y registro del avance</w:t>
      </w:r>
    </w:p>
    <w:p>
      <w:r>
        <w:t>Se propone gestionar el backlog en GitHub Projects, vinculado al repositorio autorizado. Si la organización exige otra herramienta, se trasladará el mismo esquema. Columnas: Backlog priorizado, Listo, En curso, En revisión, Validación con contraparte y Terminado. Cada tarjeta tendrá descripción, criterio de aceptación, prioridad, fecha objetivo y enlace a evidencia. Límite inicial propuesto de trabajo en curso: dos elementos simultáneos; se revisará tras las primeras dos semanas.</w:t>
      </w:r>
    </w:p>
    <w:p>
      <w:r>
        <w:t>Los cambios de alcance se anotarán con motivo, impacto en tiempo y decisión de aceptación. Cada incremento tendrá una demostración breve y una revisión del backlog; las incidencias tendrán severidad, evidencia y estado de resolución. Se proponen reuniones semanales de 30 minutos los viernes con Martín Alejandro Silva Abarca, contraparte del área, y una revisión semanal de 20 a 30 minutos con Cristian Espinoza, docente revisor. Los horarios y la modalidad deben acordarse; registrar acuerdos y observaciones en actas.</w:t>
      </w:r>
    </w:p>
    <w:p>
      <w:pPr>
        <w:pStyle w:val="Heading2"/>
      </w:pPr>
      <w:r>
        <w:t>5.2 Dedicación y seguimiento académico</w:t>
      </w:r>
    </w:p>
    <w:p>
      <w:r>
        <w:t>La cantidad de horas semanales reservadas para el proyecto no aparece en los antecedentes y debe completarse con la dedicación real antes de aprobar el cronograma. En cada revisión se informarán horas planificadas y efectivas, actividades cerradas, evidencia, bloqueos y variación frente a la semana. Las entregas académicas del proceso CITT se incorporarán al tablero cuando se confirme su calendario.</w:t>
      </w:r>
    </w:p>
    <w:p>
      <w:pPr>
        <w:pStyle w:val="Heading1"/>
      </w:pPr>
      <w:r>
        <w:t>6. Planificación actualizada</w:t>
      </w:r>
    </w:p>
    <w:p>
      <w:r>
        <w:t>Esta reprogramación se prepara al 6 de octubre. Cierra el viernes 4 de diciembre de 2026, ubica validaciones durante el desarrollo y reserva la última semana para correcciones y contingencia. El lunes 12 de octubre es feriado y no se programa trabajo ese día. Las revisiones propuestas quedan sujetas a confirmación. El estado del trabajo entre el 15 de septiembre y el 5 de octubre debe contrastarse con evidencia antes de marcarlo como completado.</w:t>
      </w:r>
    </w:p>
    <w:p>
      <w:r>
        <w:drawing>
          <wp:inline xmlns:a="http://schemas.openxmlformats.org/drawingml/2006/main" xmlns:pic="http://schemas.openxmlformats.org/drawingml/2006/picture">
            <wp:extent cx="6355080" cy="3018663"/>
            <wp:docPr id="2" name="Picture 2"/>
            <wp:cNvGraphicFramePr>
              <a:graphicFrameLocks noChangeAspect="1"/>
            </wp:cNvGraphicFramePr>
            <a:graphic>
              <a:graphicData uri="http://schemas.openxmlformats.org/drawingml/2006/picture">
                <pic:pic>
                  <pic:nvPicPr>
                    <pic:cNvPr id="0" name="gantt_revision2.png"/>
                    <pic:cNvPicPr/>
                  </pic:nvPicPr>
                  <pic:blipFill>
                    <a:blip r:embed="rId12"/>
                    <a:stretch>
                      <a:fillRect/>
                    </a:stretch>
                  </pic:blipFill>
                  <pic:spPr>
                    <a:xfrm>
                      <a:off x="0" y="0"/>
                      <a:ext cx="6355080" cy="3018663"/>
                    </a:xfrm>
                    <a:prstGeom prst="rect"/>
                  </pic:spPr>
                </pic:pic>
              </a:graphicData>
            </a:graphic>
          </wp:inline>
        </w:drawing>
      </w:r>
    </w:p>
    <w:p>
      <w:pPr>
        <w:jc w:val="center"/>
      </w:pPr>
      <w:r>
        <w:rPr>
          <w:i/>
          <w:sz w:val="16"/>
        </w:rPr>
        <w:t>Figura 1. Cronograma revisado por incrementos. El feriado del 12 de octubre no contiene actividad; revisiones y validaciones propuestas requieren confirmación.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c>
          <w:tcPr>
            <w:tcW w:type="dxa" w:w="1512"/>
            <w:shd w:fill="002B49"/>
            <w:vAlign w:val="center"/>
          </w:tcPr>
          <w:p>
            <w:r>
              <w:rPr>
                <w:b/>
                <w:color w:val="FFFFFF"/>
                <w:sz w:val="15"/>
              </w:rPr>
              <w:t>Período</w:t>
            </w:r>
          </w:p>
        </w:tc>
        <w:tc>
          <w:tcPr>
            <w:tcW w:type="dxa" w:w="6048"/>
            <w:shd w:fill="002B49"/>
            <w:vAlign w:val="center"/>
          </w:tcPr>
          <w:p>
            <w:r>
              <w:rPr>
                <w:b/>
                <w:color w:val="FFFFFF"/>
                <w:sz w:val="15"/>
              </w:rPr>
              <w:t>Trabajo y producto verificable</w:t>
            </w:r>
          </w:p>
        </w:tc>
        <w:tc>
          <w:tcPr>
            <w:tcW w:type="dxa" w:w="2808"/>
            <w:shd w:fill="002B49"/>
            <w:vAlign w:val="center"/>
          </w:tcPr>
          <w:p>
            <w:r>
              <w:rPr>
                <w:b/>
                <w:color w:val="FFFFFF"/>
                <w:sz w:val="15"/>
              </w:rPr>
              <w:t>Punto de control</w:t>
            </w:r>
          </w:p>
        </w:tc>
      </w:tr>
      <w:tr>
        <w:tc>
          <w:tcPr>
            <w:tcW w:type="dxa" w:w="1512"/>
            <w:vAlign w:val="center"/>
          </w:tcPr>
          <w:p>
            <w:pPr>
              <w:spacing w:after="40"/>
            </w:pPr>
            <w:r>
              <w:rPr>
                <w:sz w:val="15"/>
              </w:rPr>
              <w:t>15 sep–5 oct</w:t>
            </w:r>
          </w:p>
        </w:tc>
        <w:tc>
          <w:tcPr>
            <w:tcW w:type="dxa" w:w="6048"/>
            <w:vAlign w:val="center"/>
          </w:tcPr>
          <w:p>
            <w:pPr>
              <w:spacing w:after="40"/>
            </w:pPr>
            <w:r>
              <w:rPr>
                <w:sz w:val="15"/>
              </w:rPr>
              <w:t>Cotejar el avance planificado con actas, notas, artefactos y registros del tablero.</w:t>
            </w:r>
          </w:p>
        </w:tc>
        <w:tc>
          <w:tcPr>
            <w:tcW w:type="dxa" w:w="2808"/>
            <w:vAlign w:val="center"/>
          </w:tcPr>
          <w:p>
            <w:pPr>
              <w:spacing w:after="40"/>
            </w:pPr>
            <w:r>
              <w:rPr>
                <w:sz w:val="15"/>
              </w:rPr>
              <w:t>La retroalimentación solicita evidencia de levantamiento y análisis; marcar solo lo que esté respaldado.</w:t>
            </w:r>
          </w:p>
        </w:tc>
      </w:tr>
      <w:tr>
        <w:tc>
          <w:tcPr>
            <w:tcW w:type="dxa" w:w="1512"/>
            <w:vAlign w:val="center"/>
            <w:shd w:fill="F2F5F8"/>
          </w:tcPr>
          <w:p>
            <w:pPr>
              <w:spacing w:after="40"/>
            </w:pPr>
            <w:r>
              <w:rPr>
                <w:sz w:val="15"/>
              </w:rPr>
              <w:t>6–9 oct</w:t>
            </w:r>
          </w:p>
        </w:tc>
        <w:tc>
          <w:tcPr>
            <w:tcW w:type="dxa" w:w="6048"/>
            <w:vAlign w:val="center"/>
            <w:shd w:fill="F2F5F8"/>
          </w:tcPr>
          <w:p>
            <w:pPr>
              <w:spacing w:after="40"/>
            </w:pPr>
            <w:r>
              <w:rPr>
                <w:sz w:val="15"/>
              </w:rPr>
              <w:t>Entrevistas/observación; flujo AS-IS; requisitos e historias; backlog MVP; decisión de ambiente y acceso.</w:t>
            </w:r>
          </w:p>
        </w:tc>
        <w:tc>
          <w:tcPr>
            <w:tcW w:type="dxa" w:w="2808"/>
            <w:vAlign w:val="center"/>
            <w:shd w:fill="F2F5F8"/>
          </w:tcPr>
          <w:p>
            <w:pPr>
              <w:spacing w:after="40"/>
            </w:pPr>
            <w:r>
              <w:rPr>
                <w:sz w:val="15"/>
              </w:rPr>
              <w:t>Validar proceso y requisitos; fecha propuesta de decisión del despliegue: 9 oct.</w:t>
            </w:r>
          </w:p>
        </w:tc>
      </w:tr>
      <w:tr>
        <w:tc>
          <w:tcPr>
            <w:tcW w:type="dxa" w:w="1512"/>
            <w:vAlign w:val="center"/>
          </w:tcPr>
          <w:p>
            <w:pPr>
              <w:spacing w:after="40"/>
            </w:pPr>
            <w:r>
              <w:rPr>
                <w:sz w:val="15"/>
              </w:rPr>
              <w:t>12–16 oct</w:t>
            </w:r>
          </w:p>
        </w:tc>
        <w:tc>
          <w:tcPr>
            <w:tcW w:type="dxa" w:w="6048"/>
            <w:vAlign w:val="center"/>
          </w:tcPr>
          <w:p>
            <w:pPr>
              <w:spacing w:after="40"/>
            </w:pPr>
            <w:r>
              <w:rPr>
                <w:sz w:val="15"/>
              </w:rPr>
              <w:t>El 12 oct es feriado. Diseñar arquitectura, datos y prototipo del 13 al 16 oct.</w:t>
            </w:r>
          </w:p>
        </w:tc>
        <w:tc>
          <w:tcPr>
            <w:tcW w:type="dxa" w:w="2808"/>
            <w:vAlign w:val="center"/>
          </w:tcPr>
          <w:p>
            <w:pPr>
              <w:spacing w:after="40"/>
            </w:pPr>
            <w:r>
              <w:rPr>
                <w:sz w:val="15"/>
              </w:rPr>
              <w:t>Revisión de diseño con contraparte y docente; registrar acuerdos y cambios.</w:t>
            </w:r>
          </w:p>
        </w:tc>
      </w:tr>
      <w:tr>
        <w:tc>
          <w:tcPr>
            <w:tcW w:type="dxa" w:w="1512"/>
            <w:vAlign w:val="center"/>
            <w:shd w:fill="F2F5F8"/>
          </w:tcPr>
          <w:p>
            <w:pPr>
              <w:spacing w:after="40"/>
            </w:pPr>
            <w:r>
              <w:rPr>
                <w:sz w:val="15"/>
              </w:rPr>
              <w:t>19–23 oct</w:t>
            </w:r>
          </w:p>
        </w:tc>
        <w:tc>
          <w:tcPr>
            <w:tcW w:type="dxa" w:w="6048"/>
            <w:vAlign w:val="center"/>
            <w:shd w:fill="F2F5F8"/>
          </w:tcPr>
          <w:p>
            <w:pPr>
              <w:spacing w:after="40"/>
            </w:pPr>
            <w:r>
              <w:rPr>
                <w:sz w:val="15"/>
              </w:rPr>
              <w:t>Incremento 1: estructura de aplicación, persistencia y primera prueba de instalación/despliegue.</w:t>
            </w:r>
          </w:p>
        </w:tc>
        <w:tc>
          <w:tcPr>
            <w:tcW w:type="dxa" w:w="2808"/>
            <w:vAlign w:val="center"/>
            <w:shd w:fill="F2F5F8"/>
          </w:tcPr>
          <w:p>
            <w:pPr>
              <w:spacing w:after="40"/>
            </w:pPr>
            <w:r>
              <w:rPr>
                <w:sz w:val="15"/>
              </w:rPr>
              <w:t>Demostración del incremento y decisión temprana sobre viabilidad técnica.</w:t>
            </w:r>
          </w:p>
        </w:tc>
      </w:tr>
      <w:tr>
        <w:tc>
          <w:tcPr>
            <w:tcW w:type="dxa" w:w="1512"/>
            <w:vAlign w:val="center"/>
          </w:tcPr>
          <w:p>
            <w:pPr>
              <w:spacing w:after="40"/>
            </w:pPr>
            <w:r>
              <w:rPr>
                <w:sz w:val="15"/>
              </w:rPr>
              <w:t>26–30 oct</w:t>
            </w:r>
          </w:p>
        </w:tc>
        <w:tc>
          <w:tcPr>
            <w:tcW w:type="dxa" w:w="6048"/>
            <w:vAlign w:val="center"/>
          </w:tcPr>
          <w:p>
            <w:pPr>
              <w:spacing w:after="40"/>
            </w:pPr>
            <w:r>
              <w:rPr>
                <w:sz w:val="15"/>
              </w:rPr>
              <w:t>Incremento 2: registro, asignación, prioridad, fechas y estados. Prueba de flujo de punta a punta.</w:t>
            </w:r>
          </w:p>
        </w:tc>
        <w:tc>
          <w:tcPr>
            <w:tcW w:type="dxa" w:w="2808"/>
            <w:vAlign w:val="center"/>
          </w:tcPr>
          <w:p>
            <w:pPr>
              <w:spacing w:after="40"/>
            </w:pPr>
            <w:r>
              <w:rPr>
                <w:sz w:val="15"/>
              </w:rPr>
              <w:t>Validación parcial con usuarios del área; backlog actualizado.</w:t>
            </w:r>
          </w:p>
        </w:tc>
      </w:tr>
      <w:tr>
        <w:tc>
          <w:tcPr>
            <w:tcW w:type="dxa" w:w="1512"/>
            <w:vAlign w:val="center"/>
            <w:shd w:fill="F2F5F8"/>
          </w:tcPr>
          <w:p>
            <w:pPr>
              <w:spacing w:after="40"/>
            </w:pPr>
            <w:r>
              <w:rPr>
                <w:sz w:val="15"/>
              </w:rPr>
              <w:t>2–6 nov</w:t>
            </w:r>
          </w:p>
        </w:tc>
        <w:tc>
          <w:tcPr>
            <w:tcW w:type="dxa" w:w="6048"/>
            <w:vAlign w:val="center"/>
            <w:shd w:fill="F2F5F8"/>
          </w:tcPr>
          <w:p>
            <w:pPr>
              <w:spacing w:after="40"/>
            </w:pPr>
            <w:r>
              <w:rPr>
                <w:sz w:val="15"/>
              </w:rPr>
              <w:t>Incremento 3: historial, bandeja/confirmación de comunicación acordada y panel básico.</w:t>
            </w:r>
          </w:p>
        </w:tc>
        <w:tc>
          <w:tcPr>
            <w:tcW w:type="dxa" w:w="2808"/>
            <w:vAlign w:val="center"/>
            <w:shd w:fill="F2F5F8"/>
          </w:tcPr>
          <w:p>
            <w:pPr>
              <w:spacing w:after="40"/>
            </w:pPr>
            <w:r>
              <w:rPr>
                <w:sz w:val="15"/>
              </w:rPr>
              <w:t>Demostración; confirmar que el flujo de comunicación responde a lo solicitado.</w:t>
            </w:r>
          </w:p>
        </w:tc>
      </w:tr>
      <w:tr>
        <w:tc>
          <w:tcPr>
            <w:tcW w:type="dxa" w:w="1512"/>
            <w:vAlign w:val="center"/>
          </w:tcPr>
          <w:p>
            <w:pPr>
              <w:spacing w:after="40"/>
            </w:pPr>
            <w:r>
              <w:rPr>
                <w:sz w:val="15"/>
              </w:rPr>
              <w:t>9–13 nov</w:t>
            </w:r>
          </w:p>
        </w:tc>
        <w:tc>
          <w:tcPr>
            <w:tcW w:type="dxa" w:w="6048"/>
            <w:vAlign w:val="center"/>
          </w:tcPr>
          <w:p>
            <w:pPr>
              <w:spacing w:after="40"/>
            </w:pPr>
            <w:r>
              <w:rPr>
                <w:sz w:val="15"/>
              </w:rPr>
              <w:t>Integración y pruebas funcionales; corregir fallas críticas; revisar alcance y avance contra el plan.</w:t>
            </w:r>
          </w:p>
        </w:tc>
        <w:tc>
          <w:tcPr>
            <w:tcW w:type="dxa" w:w="2808"/>
            <w:vAlign w:val="center"/>
          </w:tcPr>
          <w:p>
            <w:pPr>
              <w:spacing w:after="40"/>
            </w:pPr>
            <w:r>
              <w:rPr>
                <w:sz w:val="15"/>
              </w:rPr>
              <w:t>Revisión académica propuesta y demostración intermedia; registrar acta.</w:t>
            </w:r>
          </w:p>
        </w:tc>
      </w:tr>
      <w:tr>
        <w:tc>
          <w:tcPr>
            <w:tcW w:type="dxa" w:w="1512"/>
            <w:vAlign w:val="center"/>
            <w:shd w:fill="F2F5F8"/>
          </w:tcPr>
          <w:p>
            <w:pPr>
              <w:spacing w:after="40"/>
            </w:pPr>
            <w:r>
              <w:rPr>
                <w:sz w:val="15"/>
              </w:rPr>
              <w:t>16–20 nov</w:t>
            </w:r>
          </w:p>
        </w:tc>
        <w:tc>
          <w:tcPr>
            <w:tcW w:type="dxa" w:w="6048"/>
            <w:vAlign w:val="center"/>
            <w:shd w:fill="F2F5F8"/>
          </w:tcPr>
          <w:p>
            <w:pPr>
              <w:spacing w:after="40"/>
            </w:pPr>
            <w:r>
              <w:rPr>
                <w:sz w:val="15"/>
              </w:rPr>
              <w:t>Ajustes aprobados, prueba con datos autorizados y ensayo del despliegue en el ambiente acordado.</w:t>
            </w:r>
          </w:p>
        </w:tc>
        <w:tc>
          <w:tcPr>
            <w:tcW w:type="dxa" w:w="2808"/>
            <w:vAlign w:val="center"/>
            <w:shd w:fill="F2F5F8"/>
          </w:tcPr>
          <w:p>
            <w:pPr>
              <w:spacing w:after="40"/>
            </w:pPr>
            <w:r>
              <w:rPr>
                <w:sz w:val="15"/>
              </w:rPr>
              <w:t>Validación de contraparte; decisión de liberar, corregir o usar plan alternativo.</w:t>
            </w:r>
          </w:p>
        </w:tc>
      </w:tr>
      <w:tr>
        <w:tc>
          <w:tcPr>
            <w:tcW w:type="dxa" w:w="1512"/>
            <w:vAlign w:val="center"/>
          </w:tcPr>
          <w:p>
            <w:pPr>
              <w:spacing w:after="40"/>
            </w:pPr>
            <w:r>
              <w:rPr>
                <w:sz w:val="15"/>
              </w:rPr>
              <w:t>23–27 nov</w:t>
            </w:r>
          </w:p>
        </w:tc>
        <w:tc>
          <w:tcPr>
            <w:tcW w:type="dxa" w:w="6048"/>
            <w:vAlign w:val="center"/>
          </w:tcPr>
          <w:p>
            <w:pPr>
              <w:spacing w:after="40"/>
            </w:pPr>
            <w:r>
              <w:rPr>
                <w:sz w:val="15"/>
              </w:rPr>
              <w:t>Regresión, pruebas de aceptación, manual de usuario y documentación técnica en paralelo.</w:t>
            </w:r>
          </w:p>
        </w:tc>
        <w:tc>
          <w:tcPr>
            <w:tcW w:type="dxa" w:w="2808"/>
            <w:vAlign w:val="center"/>
          </w:tcPr>
          <w:p>
            <w:pPr>
              <w:spacing w:after="40"/>
            </w:pPr>
            <w:r>
              <w:rPr>
                <w:sz w:val="15"/>
              </w:rPr>
              <w:t>Revisión de borradores y lista de pendientes de cierre.</w:t>
            </w:r>
          </w:p>
        </w:tc>
      </w:tr>
      <w:tr>
        <w:tc>
          <w:tcPr>
            <w:tcW w:type="dxa" w:w="1512"/>
            <w:vAlign w:val="center"/>
            <w:shd w:fill="F2F5F8"/>
          </w:tcPr>
          <w:p>
            <w:pPr>
              <w:spacing w:after="40"/>
            </w:pPr>
            <w:r>
              <w:rPr>
                <w:sz w:val="15"/>
              </w:rPr>
              <w:t>30 nov–4 dic</w:t>
            </w:r>
          </w:p>
        </w:tc>
        <w:tc>
          <w:tcPr>
            <w:tcW w:type="dxa" w:w="6048"/>
            <w:vAlign w:val="center"/>
            <w:shd w:fill="F2F5F8"/>
          </w:tcPr>
          <w:p>
            <w:pPr>
              <w:spacing w:after="40"/>
            </w:pPr>
            <w:r>
              <w:rPr>
                <w:sz w:val="15"/>
              </w:rPr>
              <w:t>Correcciones finales, despliegue autorizado o instalación reproducible, respaldo, entrega y cierre.</w:t>
            </w:r>
          </w:p>
        </w:tc>
        <w:tc>
          <w:tcPr>
            <w:tcW w:type="dxa" w:w="2808"/>
            <w:vAlign w:val="center"/>
            <w:shd w:fill="F2F5F8"/>
          </w:tcPr>
          <w:p>
            <w:pPr>
              <w:spacing w:after="40"/>
            </w:pPr>
            <w:r>
              <w:rPr>
                <w:sz w:val="15"/>
              </w:rPr>
              <w:t>Hito de entrega hasta la primera semana de diciembre; dejar acta y evidencias.</w:t>
            </w:r>
          </w:p>
        </w:tc>
      </w:tr>
    </w:tbl>
    <w:p>
      <w:pPr>
        <w:spacing w:after="20"/>
      </w:pPr>
    </w:p>
    <w:p>
      <w:r>
        <w:t>Hitos para detectar atrasos: 9 de octubre (alcance, requisitos y ambiente); 23 de octubre (primera prueba desplegable); 30 de octubre (flujo principal de actividades); 6 de noviembre (comunicación y panel); 20 de noviembre (validación y despliegue ensayado); 27 de noviembre (documentación y pruebas listas); 4 de diciembre (entrega). Si un hito se desvía, repriorizar el backlog y registrar explícitamente qué función secundaria pasa a evolución futura.</w:t>
      </w:r>
    </w:p>
    <w:p>
      <w:pPr>
        <w:pStyle w:val="Heading1"/>
      </w:pPr>
      <w:r>
        <w:t>7. Factibilidad y riesgos</w:t>
      </w:r>
    </w:p>
    <w:p>
      <w:pPr>
        <w:pStyle w:val="Heading2"/>
      </w:pPr>
      <w:r>
        <w:t>7.1 Recursos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39"/>
        <w:gridCol w:w="4939"/>
      </w:tblGrid>
      <w:tr>
        <w:tc>
          <w:tcPr>
            <w:tcW w:type="dxa" w:w="4752"/>
            <w:shd w:fill="002B49"/>
            <w:vAlign w:val="center"/>
          </w:tcPr>
          <w:p>
            <w:r>
              <w:rPr>
                <w:b/>
                <w:color w:val="FFFFFF"/>
                <w:sz w:val="16"/>
              </w:rPr>
              <w:t>Disponibles o informados</w:t>
            </w:r>
          </w:p>
        </w:tc>
        <w:tc>
          <w:tcPr>
            <w:tcW w:type="dxa" w:w="5616"/>
            <w:shd w:fill="002B49"/>
            <w:vAlign w:val="center"/>
          </w:tcPr>
          <w:p>
            <w:r>
              <w:rPr>
                <w:b/>
                <w:color w:val="FFFFFF"/>
                <w:sz w:val="16"/>
              </w:rPr>
              <w:t>Por gestionar y fecha objetivo</w:t>
            </w:r>
          </w:p>
        </w:tc>
      </w:tr>
      <w:tr>
        <w:tc>
          <w:tcPr>
            <w:tcW w:type="dxa" w:w="4752"/>
            <w:vAlign w:val="center"/>
          </w:tcPr>
          <w:p>
            <w:pPr>
              <w:spacing w:after="40"/>
            </w:pPr>
            <w:r>
              <w:rPr>
                <w:sz w:val="16"/>
              </w:rPr>
              <w:t>Equipo computacional e internet; orientación académica; contraparte del área; prototipo frontend existente; herramientas de desarrollo de costo cero o planes institucionales.</w:t>
            </w:r>
          </w:p>
        </w:tc>
        <w:tc>
          <w:tcPr>
            <w:tcW w:type="dxa" w:w="5616"/>
            <w:vAlign w:val="center"/>
          </w:tcPr>
          <w:p>
            <w:pPr>
              <w:spacing w:after="40"/>
            </w:pPr>
            <w:r>
              <w:rPr>
                <w:sz w:val="16"/>
              </w:rPr>
              <w:t>Ambiente de pruebas/despliegue, autorización, acceso a ejemplos de proceso y datos de prueba, mecanismo de acceso, almacenamiento y respaldos. Solicitar antes del 9 de octubre.</w:t>
            </w:r>
          </w:p>
        </w:tc>
      </w:tr>
    </w:tbl>
    <w:p>
      <w:pPr>
        <w:spacing w:after="20"/>
      </w:pPr>
    </w:p>
    <w:p>
      <w:r>
        <w:t>La disponibilidad de licencias, herramientas y servicios debe confirmarse con la empresa antes de usar información organizacional. En ausencia de autorización, trabajar con datos ficticios y mantener la aplicación fuera de producción.</w:t>
      </w:r>
    </w:p>
    <w:p>
      <w:pPr>
        <w:pStyle w:val="Heading2"/>
      </w:pPr>
      <w:r>
        <w:t>7.2 Matriz resumida de riesgos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76"/>
        <w:gridCol w:w="1976"/>
        <w:gridCol w:w="1976"/>
        <w:gridCol w:w="1976"/>
        <w:gridCol w:w="1976"/>
      </w:tblGrid>
      <w:tr>
        <w:tc>
          <w:tcPr>
            <w:tcW w:type="dxa" w:w="2880"/>
            <w:shd w:fill="002B49"/>
            <w:vAlign w:val="center"/>
          </w:tcPr>
          <w:p>
            <w:r>
              <w:rPr>
                <w:b/>
                <w:color w:val="FFFFFF"/>
                <w:sz w:val="15"/>
              </w:rPr>
              <w:t>Riesgo</w:t>
            </w:r>
          </w:p>
        </w:tc>
        <w:tc>
          <w:tcPr>
            <w:tcW w:type="dxa" w:w="461"/>
            <w:shd w:fill="002B49"/>
            <w:vAlign w:val="center"/>
          </w:tcPr>
          <w:p>
            <w:r>
              <w:rPr>
                <w:b/>
                <w:color w:val="FFFFFF"/>
                <w:sz w:val="15"/>
              </w:rPr>
              <w:t>P</w:t>
            </w:r>
          </w:p>
        </w:tc>
        <w:tc>
          <w:tcPr>
            <w:tcW w:type="dxa" w:w="461"/>
            <w:shd w:fill="002B49"/>
            <w:vAlign w:val="center"/>
          </w:tcPr>
          <w:p>
            <w:r>
              <w:rPr>
                <w:b/>
                <w:color w:val="FFFFFF"/>
                <w:sz w:val="15"/>
              </w:rPr>
              <w:t>I</w:t>
            </w:r>
          </w:p>
        </w:tc>
        <w:tc>
          <w:tcPr>
            <w:tcW w:type="dxa" w:w="1037"/>
            <w:shd w:fill="002B49"/>
            <w:vAlign w:val="center"/>
          </w:tcPr>
          <w:p>
            <w:r>
              <w:rPr>
                <w:b/>
                <w:color w:val="FFFFFF"/>
                <w:sz w:val="15"/>
              </w:rPr>
              <w:t>Sev.</w:t>
            </w:r>
          </w:p>
        </w:tc>
        <w:tc>
          <w:tcPr>
            <w:tcW w:type="dxa" w:w="5530"/>
            <w:shd w:fill="002B49"/>
            <w:vAlign w:val="center"/>
          </w:tcPr>
          <w:p>
            <w:r>
              <w:rPr>
                <w:b/>
                <w:color w:val="FFFFFF"/>
                <w:sz w:val="15"/>
              </w:rPr>
              <w:t>Tratamiento</w:t>
            </w:r>
          </w:p>
        </w:tc>
      </w:tr>
      <w:tr>
        <w:tc>
          <w:tcPr>
            <w:tcW w:type="dxa" w:w="2880"/>
            <w:vAlign w:val="center"/>
          </w:tcPr>
          <w:p>
            <w:pPr>
              <w:spacing w:after="40"/>
            </w:pPr>
            <w:r>
              <w:rPr>
                <w:sz w:val="15"/>
              </w:rPr>
              <w:t>Ambiente de despliegue no autorizado a tiempo</w:t>
            </w:r>
          </w:p>
        </w:tc>
        <w:tc>
          <w:tcPr>
            <w:tcW w:type="dxa" w:w="461"/>
            <w:vAlign w:val="center"/>
          </w:tcPr>
          <w:p>
            <w:pPr>
              <w:spacing w:after="40"/>
            </w:pPr>
            <w:r>
              <w:rPr>
                <w:sz w:val="15"/>
              </w:rPr>
              <w:t>3</w:t>
            </w:r>
          </w:p>
        </w:tc>
        <w:tc>
          <w:tcPr>
            <w:tcW w:type="dxa" w:w="461"/>
            <w:vAlign w:val="center"/>
          </w:tcPr>
          <w:p>
            <w:pPr>
              <w:spacing w:after="40"/>
            </w:pPr>
            <w:r>
              <w:rPr>
                <w:sz w:val="15"/>
              </w:rPr>
              <w:t>5</w:t>
            </w:r>
          </w:p>
        </w:tc>
        <w:tc>
          <w:tcPr>
            <w:tcW w:type="dxa" w:w="1037"/>
            <w:vAlign w:val="center"/>
          </w:tcPr>
          <w:p>
            <w:pPr>
              <w:spacing w:after="40"/>
            </w:pPr>
            <w:r>
              <w:rPr>
                <w:sz w:val="15"/>
              </w:rPr>
              <w:t>15 · Crítico</w:t>
            </w:r>
          </w:p>
        </w:tc>
        <w:tc>
          <w:tcPr>
            <w:tcW w:type="dxa" w:w="5530"/>
            <w:vAlign w:val="center"/>
          </w:tcPr>
          <w:p>
            <w:pPr>
              <w:spacing w:after="40"/>
            </w:pPr>
            <w:r>
              <w:rPr>
                <w:sz w:val="15"/>
              </w:rPr>
              <w:t>Solicitar decisión antes del 9 oct; probar temprano; activar versión local reproducible si no se autoriza.</w:t>
            </w:r>
          </w:p>
        </w:tc>
      </w:tr>
      <w:tr>
        <w:tc>
          <w:tcPr>
            <w:tcW w:type="dxa" w:w="2880"/>
            <w:vAlign w:val="center"/>
            <w:shd w:fill="F2F5F8"/>
          </w:tcPr>
          <w:p>
            <w:pPr>
              <w:spacing w:after="40"/>
            </w:pPr>
            <w:r>
              <w:rPr>
                <w:sz w:val="15"/>
              </w:rPr>
              <w:t>Validación tardía deja cambios sin tiempo de implementación</w:t>
            </w:r>
          </w:p>
        </w:tc>
        <w:tc>
          <w:tcPr>
            <w:tcW w:type="dxa" w:w="461"/>
            <w:vAlign w:val="center"/>
            <w:shd w:fill="F2F5F8"/>
          </w:tcPr>
          <w:p>
            <w:pPr>
              <w:spacing w:after="40"/>
            </w:pPr>
            <w:r>
              <w:rPr>
                <w:sz w:val="15"/>
              </w:rPr>
              <w:t>3</w:t>
            </w:r>
          </w:p>
        </w:tc>
        <w:tc>
          <w:tcPr>
            <w:tcW w:type="dxa" w:w="461"/>
            <w:vAlign w:val="center"/>
            <w:shd w:fill="F2F5F8"/>
          </w:tcPr>
          <w:p>
            <w:pPr>
              <w:spacing w:after="40"/>
            </w:pPr>
            <w:r>
              <w:rPr>
                <w:sz w:val="15"/>
              </w:rPr>
              <w:t>4</w:t>
            </w:r>
          </w:p>
        </w:tc>
        <w:tc>
          <w:tcPr>
            <w:tcW w:type="dxa" w:w="1037"/>
            <w:vAlign w:val="center"/>
            <w:shd w:fill="F2F5F8"/>
          </w:tcPr>
          <w:p>
            <w:pPr>
              <w:spacing w:after="40"/>
            </w:pPr>
            <w:r>
              <w:rPr>
                <w:sz w:val="15"/>
              </w:rPr>
              <w:t>12 · Alto</w:t>
            </w:r>
          </w:p>
        </w:tc>
        <w:tc>
          <w:tcPr>
            <w:tcW w:type="dxa" w:w="5530"/>
            <w:vAlign w:val="center"/>
            <w:shd w:fill="F2F5F8"/>
          </w:tcPr>
          <w:p>
            <w:pPr>
              <w:spacing w:after="40"/>
            </w:pPr>
            <w:r>
              <w:rPr>
                <w:sz w:val="15"/>
              </w:rPr>
              <w:t>Revisiones por incremento, decisiones por escrito y priorización de cambios.</w:t>
            </w:r>
          </w:p>
        </w:tc>
      </w:tr>
      <w:tr>
        <w:tc>
          <w:tcPr>
            <w:tcW w:type="dxa" w:w="2880"/>
            <w:vAlign w:val="center"/>
          </w:tcPr>
          <w:p>
            <w:pPr>
              <w:spacing w:after="40"/>
            </w:pPr>
            <w:r>
              <w:rPr>
                <w:sz w:val="15"/>
              </w:rPr>
              <w:t>Cronograma sin holgura o hitos de control</w:t>
            </w:r>
          </w:p>
        </w:tc>
        <w:tc>
          <w:tcPr>
            <w:tcW w:type="dxa" w:w="461"/>
            <w:vAlign w:val="center"/>
          </w:tcPr>
          <w:p>
            <w:pPr>
              <w:spacing w:after="40"/>
            </w:pPr>
            <w:r>
              <w:rPr>
                <w:sz w:val="15"/>
              </w:rPr>
              <w:t>4</w:t>
            </w:r>
          </w:p>
        </w:tc>
        <w:tc>
          <w:tcPr>
            <w:tcW w:type="dxa" w:w="461"/>
            <w:vAlign w:val="center"/>
          </w:tcPr>
          <w:p>
            <w:pPr>
              <w:spacing w:after="40"/>
            </w:pPr>
            <w:r>
              <w:rPr>
                <w:sz w:val="15"/>
              </w:rPr>
              <w:t>4</w:t>
            </w:r>
          </w:p>
        </w:tc>
        <w:tc>
          <w:tcPr>
            <w:tcW w:type="dxa" w:w="1037"/>
            <w:vAlign w:val="center"/>
          </w:tcPr>
          <w:p>
            <w:pPr>
              <w:spacing w:after="40"/>
            </w:pPr>
            <w:r>
              <w:rPr>
                <w:sz w:val="15"/>
              </w:rPr>
              <w:t>16 · Crítico</w:t>
            </w:r>
          </w:p>
        </w:tc>
        <w:tc>
          <w:tcPr>
            <w:tcW w:type="dxa" w:w="5530"/>
            <w:vAlign w:val="center"/>
          </w:tcPr>
          <w:p>
            <w:pPr>
              <w:spacing w:after="40"/>
            </w:pPr>
            <w:r>
              <w:rPr>
                <w:sz w:val="15"/>
              </w:rPr>
              <w:t>Seguimiento semanal contra evidencia; mantener reserva de corrección al cierre.</w:t>
            </w:r>
          </w:p>
        </w:tc>
      </w:tr>
      <w:tr>
        <w:tc>
          <w:tcPr>
            <w:tcW w:type="dxa" w:w="2880"/>
            <w:vAlign w:val="center"/>
            <w:shd w:fill="F2F5F8"/>
          </w:tcPr>
          <w:p>
            <w:pPr>
              <w:spacing w:after="40"/>
            </w:pPr>
            <w:r>
              <w:rPr>
                <w:sz w:val="15"/>
              </w:rPr>
              <w:t>Cambios de requisitos durante el desarrollo</w:t>
            </w:r>
          </w:p>
        </w:tc>
        <w:tc>
          <w:tcPr>
            <w:tcW w:type="dxa" w:w="461"/>
            <w:vAlign w:val="center"/>
            <w:shd w:fill="F2F5F8"/>
          </w:tcPr>
          <w:p>
            <w:pPr>
              <w:spacing w:after="40"/>
            </w:pPr>
            <w:r>
              <w:rPr>
                <w:sz w:val="15"/>
              </w:rPr>
              <w:t>3</w:t>
            </w:r>
          </w:p>
        </w:tc>
        <w:tc>
          <w:tcPr>
            <w:tcW w:type="dxa" w:w="461"/>
            <w:vAlign w:val="center"/>
            <w:shd w:fill="F2F5F8"/>
          </w:tcPr>
          <w:p>
            <w:pPr>
              <w:spacing w:after="40"/>
            </w:pPr>
            <w:r>
              <w:rPr>
                <w:sz w:val="15"/>
              </w:rPr>
              <w:t>3</w:t>
            </w:r>
          </w:p>
        </w:tc>
        <w:tc>
          <w:tcPr>
            <w:tcW w:type="dxa" w:w="1037"/>
            <w:vAlign w:val="center"/>
            <w:shd w:fill="F2F5F8"/>
          </w:tcPr>
          <w:p>
            <w:pPr>
              <w:spacing w:after="40"/>
            </w:pPr>
            <w:r>
              <w:rPr>
                <w:sz w:val="15"/>
              </w:rPr>
              <w:t>9 · Moderado</w:t>
            </w:r>
          </w:p>
        </w:tc>
        <w:tc>
          <w:tcPr>
            <w:tcW w:type="dxa" w:w="5530"/>
            <w:vAlign w:val="center"/>
            <w:shd w:fill="F2F5F8"/>
          </w:tcPr>
          <w:p>
            <w:pPr>
              <w:spacing w:after="40"/>
            </w:pPr>
            <w:r>
              <w:rPr>
                <w:sz w:val="15"/>
              </w:rPr>
              <w:t>Registrar impacto y repriorizar; proteger el flujo central del MVP.</w:t>
            </w:r>
          </w:p>
        </w:tc>
      </w:tr>
      <w:tr>
        <w:tc>
          <w:tcPr>
            <w:tcW w:type="dxa" w:w="2880"/>
            <w:vAlign w:val="center"/>
          </w:tcPr>
          <w:p>
            <w:pPr>
              <w:spacing w:after="40"/>
            </w:pPr>
            <w:r>
              <w:rPr>
                <w:sz w:val="15"/>
              </w:rPr>
              <w:t>Baja disponibilidad de usuarios para validar</w:t>
            </w:r>
          </w:p>
        </w:tc>
        <w:tc>
          <w:tcPr>
            <w:tcW w:type="dxa" w:w="461"/>
            <w:vAlign w:val="center"/>
          </w:tcPr>
          <w:p>
            <w:pPr>
              <w:spacing w:after="40"/>
            </w:pPr>
            <w:r>
              <w:rPr>
                <w:sz w:val="15"/>
              </w:rPr>
              <w:t>3</w:t>
            </w:r>
          </w:p>
        </w:tc>
        <w:tc>
          <w:tcPr>
            <w:tcW w:type="dxa" w:w="461"/>
            <w:vAlign w:val="center"/>
          </w:tcPr>
          <w:p>
            <w:pPr>
              <w:spacing w:after="40"/>
            </w:pPr>
            <w:r>
              <w:rPr>
                <w:sz w:val="15"/>
              </w:rPr>
              <w:t>4</w:t>
            </w:r>
          </w:p>
        </w:tc>
        <w:tc>
          <w:tcPr>
            <w:tcW w:type="dxa" w:w="1037"/>
            <w:vAlign w:val="center"/>
          </w:tcPr>
          <w:p>
            <w:pPr>
              <w:spacing w:after="40"/>
            </w:pPr>
            <w:r>
              <w:rPr>
                <w:sz w:val="15"/>
              </w:rPr>
              <w:t>12 · Alto</w:t>
            </w:r>
          </w:p>
        </w:tc>
        <w:tc>
          <w:tcPr>
            <w:tcW w:type="dxa" w:w="5530"/>
            <w:vAlign w:val="center"/>
          </w:tcPr>
          <w:p>
            <w:pPr>
              <w:spacing w:after="40"/>
            </w:pPr>
            <w:r>
              <w:rPr>
                <w:sz w:val="15"/>
              </w:rPr>
              <w:t>Agendar con anticipación; enviar material antes de la reunión; registrar respuesta asíncrona acordada.</w:t>
            </w:r>
          </w:p>
        </w:tc>
      </w:tr>
      <w:tr>
        <w:tc>
          <w:tcPr>
            <w:tcW w:type="dxa" w:w="2880"/>
            <w:vAlign w:val="center"/>
            <w:shd w:fill="F2F5F8"/>
          </w:tcPr>
          <w:p>
            <w:pPr>
              <w:spacing w:after="40"/>
            </w:pPr>
            <w:r>
              <w:rPr>
                <w:sz w:val="15"/>
              </w:rPr>
              <w:t>Restricciones de confidencialidad o acceso a datos</w:t>
            </w:r>
          </w:p>
        </w:tc>
        <w:tc>
          <w:tcPr>
            <w:tcW w:type="dxa" w:w="461"/>
            <w:vAlign w:val="center"/>
            <w:shd w:fill="F2F5F8"/>
          </w:tcPr>
          <w:p>
            <w:pPr>
              <w:spacing w:after="40"/>
            </w:pPr>
            <w:r>
              <w:rPr>
                <w:sz w:val="15"/>
              </w:rPr>
              <w:t>2</w:t>
            </w:r>
          </w:p>
        </w:tc>
        <w:tc>
          <w:tcPr>
            <w:tcW w:type="dxa" w:w="461"/>
            <w:vAlign w:val="center"/>
            <w:shd w:fill="F2F5F8"/>
          </w:tcPr>
          <w:p>
            <w:pPr>
              <w:spacing w:after="40"/>
            </w:pPr>
            <w:r>
              <w:rPr>
                <w:sz w:val="15"/>
              </w:rPr>
              <w:t>5</w:t>
            </w:r>
          </w:p>
        </w:tc>
        <w:tc>
          <w:tcPr>
            <w:tcW w:type="dxa" w:w="1037"/>
            <w:vAlign w:val="center"/>
            <w:shd w:fill="F2F5F8"/>
          </w:tcPr>
          <w:p>
            <w:pPr>
              <w:spacing w:after="40"/>
            </w:pPr>
            <w:r>
              <w:rPr>
                <w:sz w:val="15"/>
              </w:rPr>
              <w:t>10 · Alto</w:t>
            </w:r>
          </w:p>
        </w:tc>
        <w:tc>
          <w:tcPr>
            <w:tcW w:type="dxa" w:w="5530"/>
            <w:vAlign w:val="center"/>
            <w:shd w:fill="F2F5F8"/>
          </w:tcPr>
          <w:p>
            <w:pPr>
              <w:spacing w:after="40"/>
            </w:pPr>
            <w:r>
              <w:rPr>
                <w:sz w:val="15"/>
              </w:rPr>
              <w:t>Usar datos ficticios; confirmar qué información puede procesarse y dónde.</w:t>
            </w:r>
          </w:p>
        </w:tc>
      </w:tr>
      <w:tr>
        <w:tc>
          <w:tcPr>
            <w:tcW w:type="dxa" w:w="2880"/>
            <w:vAlign w:val="center"/>
          </w:tcPr>
          <w:p>
            <w:pPr>
              <w:spacing w:after="40"/>
            </w:pPr>
            <w:r>
              <w:rPr>
                <w:sz w:val="15"/>
              </w:rPr>
              <w:t>Mecanismo de comunicación no satisface la necesidad</w:t>
            </w:r>
          </w:p>
        </w:tc>
        <w:tc>
          <w:tcPr>
            <w:tcW w:type="dxa" w:w="461"/>
            <w:vAlign w:val="center"/>
          </w:tcPr>
          <w:p>
            <w:pPr>
              <w:spacing w:after="40"/>
            </w:pPr>
            <w:r>
              <w:rPr>
                <w:sz w:val="15"/>
              </w:rPr>
              <w:t>3</w:t>
            </w:r>
          </w:p>
        </w:tc>
        <w:tc>
          <w:tcPr>
            <w:tcW w:type="dxa" w:w="461"/>
            <w:vAlign w:val="center"/>
          </w:tcPr>
          <w:p>
            <w:pPr>
              <w:spacing w:after="40"/>
            </w:pPr>
            <w:r>
              <w:rPr>
                <w:sz w:val="15"/>
              </w:rPr>
              <w:t>3</w:t>
            </w:r>
          </w:p>
        </w:tc>
        <w:tc>
          <w:tcPr>
            <w:tcW w:type="dxa" w:w="1037"/>
            <w:vAlign w:val="center"/>
          </w:tcPr>
          <w:p>
            <w:pPr>
              <w:spacing w:after="40"/>
            </w:pPr>
            <w:r>
              <w:rPr>
                <w:sz w:val="15"/>
              </w:rPr>
              <w:t>9 · Moderado</w:t>
            </w:r>
          </w:p>
        </w:tc>
        <w:tc>
          <w:tcPr>
            <w:tcW w:type="dxa" w:w="5530"/>
            <w:vAlign w:val="center"/>
          </w:tcPr>
          <w:p>
            <w:pPr>
              <w:spacing w:after="40"/>
            </w:pPr>
            <w:r>
              <w:rPr>
                <w:sz w:val="15"/>
              </w:rPr>
              <w:t>Acordar definición y criterio de aceptación antes de construirlo.</w:t>
            </w:r>
          </w:p>
        </w:tc>
      </w:tr>
      <w:tr>
        <w:tc>
          <w:tcPr>
            <w:tcW w:type="dxa" w:w="2880"/>
            <w:vAlign w:val="center"/>
            <w:shd w:fill="F2F5F8"/>
          </w:tcPr>
          <w:p>
            <w:pPr>
              <w:spacing w:after="40"/>
            </w:pPr>
            <w:r>
              <w:rPr>
                <w:sz w:val="15"/>
              </w:rPr>
              <w:t>Baja adopción de la herramienta</w:t>
            </w:r>
          </w:p>
        </w:tc>
        <w:tc>
          <w:tcPr>
            <w:tcW w:type="dxa" w:w="461"/>
            <w:vAlign w:val="center"/>
            <w:shd w:fill="F2F5F8"/>
          </w:tcPr>
          <w:p>
            <w:pPr>
              <w:spacing w:after="40"/>
            </w:pPr>
            <w:r>
              <w:rPr>
                <w:sz w:val="15"/>
              </w:rPr>
              <w:t>2</w:t>
            </w:r>
          </w:p>
        </w:tc>
        <w:tc>
          <w:tcPr>
            <w:tcW w:type="dxa" w:w="461"/>
            <w:vAlign w:val="center"/>
            <w:shd w:fill="F2F5F8"/>
          </w:tcPr>
          <w:p>
            <w:pPr>
              <w:spacing w:after="40"/>
            </w:pPr>
            <w:r>
              <w:rPr>
                <w:sz w:val="15"/>
              </w:rPr>
              <w:t>3</w:t>
            </w:r>
          </w:p>
        </w:tc>
        <w:tc>
          <w:tcPr>
            <w:tcW w:type="dxa" w:w="1037"/>
            <w:vAlign w:val="center"/>
            <w:shd w:fill="F2F5F8"/>
          </w:tcPr>
          <w:p>
            <w:pPr>
              <w:spacing w:after="40"/>
            </w:pPr>
            <w:r>
              <w:rPr>
                <w:sz w:val="15"/>
              </w:rPr>
              <w:t>6 · Moderado</w:t>
            </w:r>
          </w:p>
        </w:tc>
        <w:tc>
          <w:tcPr>
            <w:tcW w:type="dxa" w:w="5530"/>
            <w:vAlign w:val="center"/>
            <w:shd w:fill="F2F5F8"/>
          </w:tcPr>
          <w:p>
            <w:pPr>
              <w:spacing w:after="40"/>
            </w:pPr>
            <w:r>
              <w:rPr>
                <w:sz w:val="15"/>
              </w:rPr>
              <w:t>Incluir usuarios finales en demostraciones; mantener tareas principales simples y documentadas.</w:t>
            </w:r>
          </w:p>
        </w:tc>
      </w:tr>
    </w:tbl>
    <w:p>
      <w:pPr>
        <w:spacing w:after="20"/>
      </w:pPr>
    </w:p>
    <w:p>
      <w:r>
        <w:t>Severidad = probabilidad × impacto. Escala de 1 a 5 para ambos factores; niveles: bajo 1–4, moderado 5–9, alto 10–14 y crítico 15–25. Los puntajes son valoración inicial para revisión, no datos estadísticos.</w:t>
      </w:r>
    </w:p>
    <w:p>
      <w:pPr>
        <w:pStyle w:val="Heading1"/>
      </w:pPr>
      <w:r>
        <w:t>8. Competencias aplicadas</w:t>
      </w:r>
    </w:p>
    <w:p>
      <w:r>
        <w:t>El trabajo permite aplicar análisis de requerimientos mediante levantamiento y criterios de aceptación; diseño de software y datos mediante arquitectura y modelo relacional; programación mediante integración de interfaz y API; calidad mediante pruebas y control de incidencias; y gestión de proyectos mediante Kanban, control de versiones y seguimiento de hitos. Los nombres exactos de asignaturas de la malla deben confirmarse con el plan curricular del estudiante antes de la entrega académica.</w:t>
      </w:r>
    </w:p>
    <w:p>
      <w:pPr>
        <w:pStyle w:val="Heading1"/>
      </w:pPr>
      <w:r>
        <w:t>9. Pendientes de validación antes de presentar como versión cerrada</w:t>
      </w:r>
    </w:p>
    <w:p>
      <w:pPr>
        <w:pStyle w:val="ListBullet"/>
        <w:spacing w:after="40"/>
      </w:pPr>
      <w:r>
        <w:t>Documentar el proceso actual con entrevistas u observación, fuentes, ejemplos y validación de la contraparte; levantar volumen y tiempos si existen registros.</w:t>
      </w:r>
    </w:p>
    <w:p>
      <w:pPr>
        <w:pStyle w:val="ListBullet"/>
        <w:spacing w:after="40"/>
      </w:pPr>
      <w:r>
        <w:t>Acordar el mecanismo de comunicación y confirmar si bandeja y confirmación de recepción satisfacen la necesidad.</w:t>
      </w:r>
    </w:p>
    <w:p>
      <w:pPr>
        <w:pStyle w:val="ListBullet"/>
        <w:spacing w:after="40"/>
      </w:pPr>
      <w:r>
        <w:t>Completar la dedicación semanal real y registrar horas planificadas frente a efectivas.</w:t>
      </w:r>
    </w:p>
    <w:p>
      <w:pPr>
        <w:pStyle w:val="ListBullet"/>
        <w:spacing w:after="40"/>
      </w:pPr>
      <w:r>
        <w:t>Confirmar fechas y formato de reuniones con la contraparte y el docente; integrar entregas académicas al calendario.</w:t>
      </w:r>
    </w:p>
    <w:p>
      <w:pPr>
        <w:pStyle w:val="ListBullet"/>
        <w:spacing w:after="40"/>
      </w:pPr>
      <w:r>
        <w:t>Obtener correo corporativo y autorización de la contraparte para datos, pruebas y despliegue.</w:t>
      </w:r>
    </w:p>
    <w:p>
      <w:pPr>
        <w:pStyle w:val="ListBullet"/>
        <w:spacing w:after="40"/>
      </w:pPr>
      <w:r>
        <w:t>Confirmar la decisión de ambiente y su alternativa antes del 9 de octubre; registrar el resultado por escrito.</w:t>
      </w:r>
    </w:p>
    <w:p>
      <w:pPr>
        <w:pStyle w:val="ListBullet"/>
        <w:spacing w:after="40"/>
      </w:pPr>
      <w:r>
        <w:t>Acordar requisitos de acceso, almacenamiento de adjuntos (si se solicitan), seguridad y respaldo.</w:t>
      </w:r>
    </w:p>
    <w:p>
      <w:pPr>
        <w:pStyle w:val="ListBullet"/>
        <w:spacing w:after="40"/>
      </w:pPr>
      <w:r>
        <w:t>Verificar nombres de asignaturas de la malla para relacionarlas con las competencias.</w:t>
      </w:r>
    </w:p>
    <w:p>
      <w:pPr>
        <w:pStyle w:val="ListBullet"/>
        <w:spacing w:after="40"/>
      </w:pPr>
      <w:r>
        <w:t>Adjuntar evidencia real del avance informado para el período 15–25 de septiembre; actualizar estados, responsables de actividad y fechas en los registros de seguimiento que correspondan.</w:t>
      </w:r>
    </w:p>
    <w:p>
      <w:pPr>
        <w:pStyle w:val="Heading1"/>
      </w:pPr>
      <w:r>
        <w:t>10. Fuentes revisadas</w:t>
      </w:r>
    </w:p>
    <w:p>
      <w:pPr>
        <w:pStyle w:val="ListBullet"/>
        <w:spacing w:after="40"/>
      </w:pPr>
      <w:r>
        <w:t>Retroalimentacion_Grupo1.pdf, revisión académica del anteproyecto, 29 de septiembre de 2026.</w:t>
      </w:r>
    </w:p>
    <w:p>
      <w:pPr>
        <w:pStyle w:val="ListBullet"/>
        <w:spacing w:after="40"/>
      </w:pPr>
      <w:r>
        <w:t>Anteproyecto_Practica_CITT_DuocUC_ENTREGABLE.docx, propuesta técnica, cronograma, planificación de actividades y matriz de riesgos.</w:t>
      </w:r>
    </w:p>
    <w:p>
      <w:pPr>
        <w:pStyle w:val="ListBullet"/>
        <w:spacing w:after="40"/>
      </w:pPr>
      <w:r>
        <w:t>Anteproyecto_Practica_CITT_DuocUC_Completado (2).docx, formato institucional y antecedentes de origen.</w:t>
      </w:r>
    </w:p>
    <w:p>
      <w:pPr>
        <w:pStyle w:val="ListBullet"/>
        <w:spacing w:after="40"/>
      </w:pPr>
      <w:r>
        <w:t>CONTINUIDAD.md y README.md, descripción de archivos, generación del entregable, validaciones y pendientes documentados.</w:t>
      </w:r>
    </w:p>
    <w:p>
      <w:pPr>
        <w:pStyle w:val="ListBullet"/>
        <w:spacing w:after="40"/>
      </w:pPr>
      <w:r>
        <w:t>frontend/README.md, alcance del prototipo actual: datos locales de demostración, sin API ni base de datos integradas.</w:t>
      </w:r>
    </w:p>
    <w:p>
      <w:pPr>
        <w:pStyle w:val="ListBullet"/>
        <w:spacing w:after="40"/>
      </w:pPr>
      <w:r>
        <w:t>archivos_editables/tablas/Planificacion_actividades.xlsx y Matriz_riesgos.xlsx; archivos gráficos editables y PNG del proyecto.</w:t>
      </w:r>
    </w:p>
    <w:p>
      <w:r>
        <w:t>Nota de alcance editorial: algunas secciones solicitadas en el formato institucional se han reservado para edición posterior, de acuerdo con la instrucción recibida. La exclusión no sustituye la revisión de los datos pendientes que se enumeran arriba.</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 xml:space="preserve">Ancor Tecmin · Control de Calidad  |  Actualizado al 6 de octubre de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65562"/>
        <w:sz w:val="16"/>
      </w:rPr>
      <w:t>ANTEPROYECTO DE PRÁCTICA PROFESIONAL  |  CITT DUOC UC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de práctica profesional revisado</dc:title>
  <dc:subject>Gestión y trazabilidad de actividades e inspecciones de Control de Calidad</dc:subject>
  <dc:creator>Equipo de proyecto</dc:creator>
  <cp:keywords/>
  <dc:description>generated by python-docx</dc:description>
  <cp:lastModifiedBy/>
  <cp:revision>1</cp:revision>
  <dcterms:created xsi:type="dcterms:W3CDTF">2013-12-23T23:15:00Z</dcterms:created>
  <dcterms:modified xsi:type="dcterms:W3CDTF">2013-12-23T23:15:00Z</dcterms:modified>
  <cp:category/>
</cp:coreProperties>
</file>