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Resumen del proyecto</w:t>
        <w:br/>
        <w:t>Sistema de control de calidad</w:t>
        <w:br/>
        <w:t>Ancor Tecmin</w:t>
      </w:r>
    </w:p>
    <w:p>
      <w:pPr>
        <w:pStyle w:val="Subtitle"/>
      </w:pPr>
      <w:r>
        <w:t>Funcionamiento  Avances  Pendientes  Próximos pasos</w:t>
      </w:r>
    </w:p>
    <w:p>
      <w:r>
        <w:t>Estado al 14 de octubre de 2026</w:t>
      </w:r>
    </w:p>
    <w:p>
      <w:r>
        <w:t>El proyecto es una aplicación web para gestionar las solicitudes de inspección de Control de Calidad de Ancor Tecmin. Reúne los datos de cada solicitud, sus productos, el inspector asignado, los resultados y los documentos que respaldan las decisiones. Su propósito es que el equipo pueda seguir cada caso desde la recepción hasta el cierre y consultar quién hizo cada cambio.</w:t>
      </w:r>
    </w:p>
    <w:p>
      <w:r>
        <w:t>La versión local ya incorpora el circuito operativo conectado a una API, una demostración independiente y pruebas automatizadas satisfactorias. El siguiente paso es validar el proceso con la empresa y preparar las condiciones de operación: usuarios, formatos reales, correo, base de datos y despliegue.</w:t>
      </w:r>
    </w:p>
    <w:p>
      <w:pPr>
        <w:pStyle w:val="Heading2"/>
      </w:pPr>
      <w:r>
        <w:t>Qué buscamos resolver</w:t>
      </w:r>
    </w:p>
    <w:p>
      <w:r>
        <w:t>Buscamos ordenar la asignación y el seguimiento de inspecciones, hacer visibles los pendientes y conservar un historial consultable. La descripción del proceso actual de la empresa y sus cifras de volumen, tiempos e incidencias todavía deben validarse; los beneficios de reducción de errores o tiempos se medirán durante las pruebas con usuarios.</w:t>
      </w:r>
    </w:p>
    <w:p>
      <w:pPr>
        <w:pStyle w:val="Heading2"/>
      </w:pPr>
      <w:r>
        <w:t>Objetivos del sistema</w:t>
      </w:r>
    </w:p>
    <w:p>
      <w:pPr>
        <w:pStyle w:val="ListBullet"/>
      </w:pPr>
      <w:r>
        <w:t>Centralizar las SDI y sus productos, conservando los documentos de origen.</w:t>
      </w:r>
    </w:p>
    <w:p>
      <w:pPr>
        <w:pStyle w:val="ListBullet"/>
      </w:pPr>
      <w:r>
        <w:t>Asignar responsables y registrar inspecciones, cantidades y evidencias.</w:t>
      </w:r>
    </w:p>
    <w:p>
      <w:pPr>
        <w:pStyle w:val="ListBullet"/>
      </w:pPr>
      <w:r>
        <w:t>Resolver rechazos mediante reinspección o concesión y exigir revisión antes del cierre.</w:t>
      </w:r>
    </w:p>
    <w:p>
      <w:pPr>
        <w:pStyle w:val="ListBullet"/>
      </w:pPr>
      <w:r>
        <w:t>Mantener permisos por rol e historial de las operaciones.</w:t>
      </w:r>
    </w:p>
    <w:p>
      <w:pPr>
        <w:pStyle w:val="Heading2"/>
      </w:pPr>
      <w:r>
        <w:t>Quiénes participan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91"/>
        <w:gridCol w:w="6746"/>
      </w:tblGrid>
      <w:tr>
        <w:trPr>
          <w:cantSplit/>
          <w:tblHeader/>
        </w:trPr>
        <w:tc>
          <w:tcPr>
            <w:tcW w:type="dxa" w:w="2891"/>
            <w:vAlign w:val="center"/>
            <w:tcMar>
              <w:top w:w="90" w:type="dxa"/>
              <w:bottom w:w="90" w:type="dxa"/>
              <w:left w:w="110" w:type="dxa"/>
              <w:right w:w="110" w:type="dxa"/>
            </w:tcMar>
            <w:shd w:fill="002B49"/>
          </w:tcPr>
          <w:p>
            <w:pPr>
              <w:spacing w:after="0" w:line="252" w:lineRule="auto"/>
            </w:pPr>
            <w:r>
              <w:rPr>
                <w:b/>
                <w:color w:val="FFFFFF"/>
                <w:sz w:val="19"/>
              </w:rPr>
              <w:t>Perfil o participante</w:t>
            </w:r>
          </w:p>
        </w:tc>
        <w:tc>
          <w:tcPr>
            <w:tcW w:type="dxa" w:w="6746"/>
            <w:vAlign w:val="center"/>
            <w:tcMar>
              <w:top w:w="90" w:type="dxa"/>
              <w:bottom w:w="90" w:type="dxa"/>
              <w:left w:w="110" w:type="dxa"/>
              <w:right w:w="110" w:type="dxa"/>
            </w:tcMar>
            <w:shd w:fill="002B49"/>
          </w:tcPr>
          <w:p>
            <w:pPr>
              <w:spacing w:after="0" w:line="252" w:lineRule="auto"/>
            </w:pPr>
            <w:r>
              <w:rPr>
                <w:b/>
                <w:color w:val="FFFFFF"/>
                <w:sz w:val="19"/>
              </w:rPr>
              <w:t>Participación</w:t>
            </w:r>
          </w:p>
        </w:tc>
      </w:tr>
      <w:tr>
        <w:trPr>
          <w:cantSplit/>
        </w:trPr>
        <w:tc>
          <w:tcPr>
            <w:tcW w:type="dxa" w:w="2891"/>
            <w:vAlign w:val="center"/>
            <w:tcMar>
              <w:top w:w="90" w:type="dxa"/>
              <w:bottom w:w="90" w:type="dxa"/>
              <w:left w:w="110" w:type="dxa"/>
              <w:right w:w="110" w:type="dxa"/>
            </w:tcMar>
            <w:shd w:fill="FFFFFF"/>
          </w:tcPr>
          <w:p>
            <w:pPr>
              <w:spacing w:after="0" w:line="252" w:lineRule="auto"/>
            </w:pPr>
            <w:r>
              <w:rPr>
                <w:b w:val="0"/>
                <w:color w:val="000000"/>
                <w:sz w:val="19"/>
              </w:rPr>
              <w:t>Administrador</w:t>
            </w:r>
          </w:p>
        </w:tc>
        <w:tc>
          <w:tcPr>
            <w:tcW w:type="dxa" w:w="6746"/>
            <w:vAlign w:val="center"/>
            <w:tcMar>
              <w:top w:w="90" w:type="dxa"/>
              <w:bottom w:w="90" w:type="dxa"/>
              <w:left w:w="110" w:type="dxa"/>
              <w:right w:w="110" w:type="dxa"/>
            </w:tcMar>
            <w:shd w:fill="FFFFFF"/>
          </w:tcPr>
          <w:p>
            <w:pPr>
              <w:spacing w:after="0" w:line="252" w:lineRule="auto"/>
            </w:pPr>
            <w:r>
              <w:rPr>
                <w:b w:val="0"/>
                <w:color w:val="000000"/>
                <w:sz w:val="19"/>
              </w:rPr>
              <w:t>Gestión de usuarios, inspectores y operaciones autorizadas del sistema.</w:t>
            </w:r>
          </w:p>
        </w:tc>
      </w:tr>
      <w:tr>
        <w:trPr>
          <w:cantSplit/>
        </w:trPr>
        <w:tc>
          <w:tcPr>
            <w:tcW w:type="dxa" w:w="2891"/>
            <w:vAlign w:val="center"/>
            <w:tcMar>
              <w:top w:w="90" w:type="dxa"/>
              <w:bottom w:w="90" w:type="dxa"/>
              <w:left w:w="110" w:type="dxa"/>
              <w:right w:w="110" w:type="dxa"/>
            </w:tcMar>
            <w:shd w:fill="F2F5F7"/>
          </w:tcPr>
          <w:p>
            <w:pPr>
              <w:spacing w:after="0" w:line="252" w:lineRule="auto"/>
            </w:pPr>
            <w:r>
              <w:rPr>
                <w:b w:val="0"/>
                <w:color w:val="000000"/>
                <w:sz w:val="19"/>
              </w:rPr>
              <w:t>Jefe de Calidad y Supervisor</w:t>
            </w:r>
          </w:p>
        </w:tc>
        <w:tc>
          <w:tcPr>
            <w:tcW w:type="dxa" w:w="6746"/>
            <w:vAlign w:val="center"/>
            <w:tcMar>
              <w:top w:w="90" w:type="dxa"/>
              <w:bottom w:w="90" w:type="dxa"/>
              <w:left w:w="110" w:type="dxa"/>
              <w:right w:w="110" w:type="dxa"/>
            </w:tcMar>
            <w:shd w:fill="F2F5F7"/>
          </w:tcPr>
          <w:p>
            <w:pPr>
              <w:spacing w:after="0" w:line="252" w:lineRule="auto"/>
            </w:pPr>
            <w:r>
              <w:rPr>
                <w:b w:val="0"/>
                <w:color w:val="000000"/>
                <w:sz w:val="19"/>
              </w:rPr>
              <w:t>Revisan solicitudes, asignan inspectores, gestionan pendientes y revisan el cierre.</w:t>
            </w:r>
          </w:p>
        </w:tc>
      </w:tr>
      <w:tr>
        <w:trPr>
          <w:cantSplit/>
        </w:trPr>
        <w:tc>
          <w:tcPr>
            <w:tcW w:type="dxa" w:w="2891"/>
            <w:vAlign w:val="center"/>
            <w:tcMar>
              <w:top w:w="90" w:type="dxa"/>
              <w:bottom w:w="90" w:type="dxa"/>
              <w:left w:w="110" w:type="dxa"/>
              <w:right w:w="110" w:type="dxa"/>
            </w:tcMar>
            <w:shd w:fill="FFFFFF"/>
          </w:tcPr>
          <w:p>
            <w:pPr>
              <w:spacing w:after="0" w:line="252" w:lineRule="auto"/>
            </w:pPr>
            <w:r>
              <w:rPr>
                <w:b w:val="0"/>
                <w:color w:val="000000"/>
                <w:sz w:val="19"/>
              </w:rPr>
              <w:t>Inspector</w:t>
            </w:r>
          </w:p>
        </w:tc>
        <w:tc>
          <w:tcPr>
            <w:tcW w:type="dxa" w:w="6746"/>
            <w:vAlign w:val="center"/>
            <w:tcMar>
              <w:top w:w="90" w:type="dxa"/>
              <w:bottom w:w="90" w:type="dxa"/>
              <w:left w:w="110" w:type="dxa"/>
              <w:right w:w="110" w:type="dxa"/>
            </w:tcMar>
            <w:shd w:fill="FFFFFF"/>
          </w:tcPr>
          <w:p>
            <w:pPr>
              <w:spacing w:after="0" w:line="252" w:lineRule="auto"/>
            </w:pPr>
            <w:r>
              <w:rPr>
                <w:b w:val="0"/>
                <w:color w:val="000000"/>
                <w:sz w:val="19"/>
              </w:rPr>
              <w:t>Consulta las SDI asignadas y registra sus inspecciones y evidencias.</w:t>
            </w:r>
          </w:p>
        </w:tc>
      </w:tr>
      <w:tr>
        <w:trPr>
          <w:cantSplit/>
        </w:trPr>
        <w:tc>
          <w:tcPr>
            <w:tcW w:type="dxa" w:w="2891"/>
            <w:vAlign w:val="center"/>
            <w:tcMar>
              <w:top w:w="90" w:type="dxa"/>
              <w:bottom w:w="90" w:type="dxa"/>
              <w:left w:w="110" w:type="dxa"/>
              <w:right w:w="110" w:type="dxa"/>
            </w:tcMar>
            <w:shd w:fill="F2F5F7"/>
          </w:tcPr>
          <w:p>
            <w:pPr>
              <w:spacing w:after="0" w:line="252" w:lineRule="auto"/>
            </w:pPr>
            <w:r>
              <w:rPr>
                <w:b w:val="0"/>
                <w:color w:val="000000"/>
                <w:sz w:val="19"/>
              </w:rPr>
              <w:t>Producción o Bodega e Ingeniería</w:t>
            </w:r>
          </w:p>
        </w:tc>
        <w:tc>
          <w:tcPr>
            <w:tcW w:type="dxa" w:w="6746"/>
            <w:vAlign w:val="center"/>
            <w:tcMar>
              <w:top w:w="90" w:type="dxa"/>
              <w:bottom w:w="90" w:type="dxa"/>
              <w:left w:w="110" w:type="dxa"/>
              <w:right w:w="110" w:type="dxa"/>
            </w:tcMar>
            <w:shd w:fill="F2F5F7"/>
          </w:tcPr>
          <w:p>
            <w:pPr>
              <w:spacing w:after="0" w:line="252" w:lineRule="auto"/>
            </w:pPr>
            <w:r>
              <w:rPr>
                <w:b w:val="0"/>
                <w:color w:val="000000"/>
                <w:sz w:val="19"/>
              </w:rPr>
              <w:t>Aportan datos de origen o antecedentes de concesión. No tienen un rol independiente implementado actualmente.</w:t>
            </w:r>
          </w:p>
        </w:tc>
      </w:tr>
    </w:tbl>
    <w:p>
      <w:pPr>
        <w:spacing w:after="0"/>
      </w:pPr>
    </w:p>
    <w:p>
      <w:r>
        <w:br w:type="page"/>
      </w:r>
    </w:p>
    <w:p>
      <w:pPr>
        <w:pStyle w:val="Heading1"/>
      </w:pPr>
      <w:r>
        <w:t>Cómo funciona el proyecto</w:t>
      </w:r>
    </w:p>
    <w:p>
      <w:r>
        <w:t>SDI significa solicitud de inspección. Cada SDI agrupa uno o varios productos; cada producto puede tener una inspección inicial y posteriores reinspecciones. La solicitud, el producto y la inspección conservan sus propios estados y cantidades.</w:t>
      </w:r>
    </w:p>
    <w:p>
      <w:pPr>
        <w:pStyle w:val="Heading2"/>
      </w:pPr>
      <w:r>
        <w:t>Recorrido de una solicitud</w:t>
      </w:r>
    </w:p>
    <w:p>
      <w:pPr>
        <w:spacing w:after="160"/>
      </w:pPr>
      <w:r>
        <w:rPr>
          <w:b/>
        </w:rPr>
        <w:t>1. Recepción.</w:t>
      </w:r>
      <w:r>
        <w:t xml:space="preserve"> Gestión registra la SDI manualmente o carga un PDF. El sistema conserva el original y propone datos extraídos del texto. La recepción por correo tiene código disponible y requiere configurar el buzón.</w:t>
      </w:r>
    </w:p>
    <w:p>
      <w:pPr>
        <w:spacing w:after="160"/>
      </w:pPr>
      <w:r>
        <w:rPr>
          <w:b/>
        </w:rPr>
        <w:t>2. Revisión de datos.</w:t>
      </w:r>
      <w:r>
        <w:t xml:space="preserve"> Gestión corrige identificación, proyecto, solicitante, correo y productos. Confirma la cantidad indicada en origen y la cantidad que realmente se inspeccionará.</w:t>
      </w:r>
    </w:p>
    <w:p>
      <w:pPr>
        <w:spacing w:after="160"/>
      </w:pPr>
      <w:r>
        <w:rPr>
          <w:b/>
        </w:rPr>
        <w:t>3. Asignación.</w:t>
      </w:r>
      <w:r>
        <w:t xml:space="preserve"> Con los datos completos y un inspector activo, gestión asigna la SDI. Se crea una inspección inicial por producto y un aviso en la bandeja de salida.</w:t>
      </w:r>
    </w:p>
    <w:p>
      <w:pPr>
        <w:spacing w:after="160"/>
      </w:pPr>
      <w:r>
        <w:rPr>
          <w:b/>
        </w:rPr>
        <w:t>4. Inspección.</w:t>
      </w:r>
      <w:r>
        <w:t xml:space="preserve"> El inspector registra cantidades, observaciones y siete criterios visuales: rebabas, rayaduras, golpes, deformidad, pintura, burbujas y planitud. Puede adjuntar evidencias.</w:t>
      </w:r>
    </w:p>
    <w:p>
      <w:pPr>
        <w:spacing w:after="160"/>
      </w:pPr>
      <w:r>
        <w:rPr>
          <w:b/>
        </w:rPr>
        <w:t>5. Resolución de pendientes.</w:t>
      </w:r>
      <w:r>
        <w:t xml:space="preserve"> El resultado puede ser aprobación, aprobación parcial o rechazo. Los casos pendientes se trabajan mediante reinspección o concesión, según las reglas del servidor.</w:t>
      </w:r>
    </w:p>
    <w:p>
      <w:pPr>
        <w:spacing w:after="160"/>
      </w:pPr>
      <w:r>
        <w:rPr>
          <w:b/>
        </w:rPr>
        <w:t>6. Revisión y cierre.</w:t>
      </w:r>
      <w:r>
        <w:t xml:space="preserve"> Gestión revisa expresamente los resultados. Solo se cierra cuando las inspecciones terminaron, los productos están resueltos y no quedan concesiones pendientes. Se conserva el resultado previo al cierre y se genera un aviso.</w:t>
      </w:r>
    </w:p>
    <w:p>
      <w:pPr>
        <w:spacing w:after="160"/>
      </w:pPr>
      <w:r>
        <w:rPr>
          <w:b/>
        </w:rPr>
        <w:t>7. Consulta y conservación.</w:t>
      </w:r>
      <w:r>
        <w:t xml:space="preserve"> El detalle mantiene historial y documentos. Una SDI elegible puede anularse con motivo o archivarse y restaurarse según su situación.</w:t>
      </w:r>
    </w:p>
    <w:p>
      <w:pPr>
        <w:pStyle w:val="Heading2"/>
      </w:pPr>
      <w:r>
        <w:t>Ejemplo de cantidades</w:t>
      </w:r>
    </w:p>
    <w:p>
      <w:r>
        <w:t>Si el documento de origen indica 100 unidades y se decide inspeccionar 20, ambas cantidades quedan separadas. Si se aprueban 15 de las 20 inspeccionadas, la inspección es parcial y deben resolverse las 5 pendientes. El sistema controla que la liberación no supere el alcance autorizado del producto.</w:t>
      </w:r>
    </w:p>
    <w:p>
      <w:pPr>
        <w:pStyle w:val="Heading2"/>
      </w:pPr>
      <w:r>
        <w:t>Reglas que protegen el recorrido</w:t>
      </w:r>
    </w:p>
    <w:p>
      <w:pPr>
        <w:pStyle w:val="ListBullet"/>
      </w:pPr>
      <w:r>
        <w:t>El inspector accede únicamente a sus SDI asignadas; la API comprueba los permisos.</w:t>
      </w:r>
    </w:p>
    <w:p>
      <w:pPr>
        <w:pStyle w:val="ListBullet"/>
      </w:pPr>
      <w:r>
        <w:t>Las correcciones y la retirada de productos se permiten antes de asignar, bajo condiciones específicas.</w:t>
      </w:r>
    </w:p>
    <w:p>
      <w:pPr>
        <w:pStyle w:val="ListBullet"/>
      </w:pPr>
      <w:r>
        <w:t>Un cambio de resultados invalida la revisión anterior y exige revisar nuevamente.</w:t>
      </w:r>
    </w:p>
    <w:p>
      <w:pPr>
        <w:pStyle w:val="ListBullet"/>
      </w:pPr>
      <w:r>
        <w:t>Archivar conserva el estado; restaurar una SDI anulada no la reactiva. El cierre tampoco significa aprobación automática.</w:t>
      </w:r>
    </w:p>
    <w:p>
      <w:r>
        <w:br w:type="page"/>
      </w:r>
    </w:p>
    <w:p>
      <w:pPr>
        <w:pStyle w:val="Heading1"/>
      </w:pPr>
      <w:r>
        <w:t>Qué está implementado</w:t>
      </w:r>
    </w:p>
    <w:p>
      <w:r>
        <w:t>El proyecto ofrece dos modos. Sistema conectado usa cuentas reales de la API y guarda los registros en la base de datos. Demostración guarda datos en el navegador y permite mostrar pantallas y probar interacciones. Cambiar de modo no transfiere registros.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5726"/>
        <w:gridCol w:w="1871"/>
      </w:tblGrid>
      <w:tr>
        <w:trPr>
          <w:cantSplit/>
          <w:tblHeader/>
        </w:trPr>
        <w:tc>
          <w:tcPr>
            <w:tcW w:type="dxa" w:w="2041"/>
            <w:vAlign w:val="center"/>
            <w:tcMar>
              <w:top w:w="90" w:type="dxa"/>
              <w:bottom w:w="90" w:type="dxa"/>
              <w:left w:w="110" w:type="dxa"/>
              <w:right w:w="110" w:type="dxa"/>
            </w:tcMar>
            <w:shd w:fill="002B49"/>
          </w:tcPr>
          <w:p>
            <w:pPr>
              <w:spacing w:after="0" w:line="252" w:lineRule="auto"/>
            </w:pPr>
            <w:r>
              <w:rPr>
                <w:b/>
                <w:color w:val="FFFFFF"/>
                <w:sz w:val="19"/>
              </w:rPr>
              <w:t>Componente</w:t>
            </w:r>
          </w:p>
        </w:tc>
        <w:tc>
          <w:tcPr>
            <w:tcW w:type="dxa" w:w="5726"/>
            <w:vAlign w:val="center"/>
            <w:tcMar>
              <w:top w:w="90" w:type="dxa"/>
              <w:bottom w:w="90" w:type="dxa"/>
              <w:left w:w="110" w:type="dxa"/>
              <w:right w:w="110" w:type="dxa"/>
            </w:tcMar>
            <w:shd w:fill="002B49"/>
          </w:tcPr>
          <w:p>
            <w:pPr>
              <w:spacing w:after="0" w:line="252" w:lineRule="auto"/>
            </w:pPr>
            <w:r>
              <w:rPr>
                <w:b/>
                <w:color w:val="FFFFFF"/>
                <w:sz w:val="19"/>
              </w:rPr>
              <w:t>Qué incluye</w:t>
            </w:r>
          </w:p>
        </w:tc>
        <w:tc>
          <w:tcPr>
            <w:tcW w:type="dxa" w:w="1871"/>
            <w:vAlign w:val="center"/>
            <w:tcMar>
              <w:top w:w="90" w:type="dxa"/>
              <w:bottom w:w="90" w:type="dxa"/>
              <w:left w:w="110" w:type="dxa"/>
              <w:right w:w="110" w:type="dxa"/>
            </w:tcMar>
            <w:shd w:fill="002B49"/>
          </w:tcPr>
          <w:p>
            <w:pPr>
              <w:spacing w:after="0" w:line="252" w:lineRule="auto"/>
              <w:jc w:val="center"/>
            </w:pPr>
            <w:r>
              <w:rPr>
                <w:b/>
                <w:color w:val="FFFFFF"/>
                <w:sz w:val="19"/>
              </w:rPr>
              <w:t>Situación</w:t>
            </w:r>
          </w:p>
        </w:tc>
      </w:tr>
      <w:tr>
        <w:trPr>
          <w:cantSplit/>
        </w:trPr>
        <w:tc>
          <w:tcPr>
            <w:tcW w:type="dxa" w:w="2041"/>
            <w:vAlign w:val="center"/>
            <w:tcMar>
              <w:top w:w="90" w:type="dxa"/>
              <w:bottom w:w="90" w:type="dxa"/>
              <w:left w:w="110" w:type="dxa"/>
              <w:right w:w="110" w:type="dxa"/>
            </w:tcMar>
            <w:shd w:fill="FFFFFF"/>
          </w:tcPr>
          <w:p>
            <w:pPr>
              <w:spacing w:after="0" w:line="252" w:lineRule="auto"/>
            </w:pPr>
            <w:r>
              <w:rPr>
                <w:b w:val="0"/>
                <w:color w:val="000000"/>
                <w:sz w:val="19"/>
              </w:rPr>
              <w:t>Acceso y permisos</w:t>
            </w:r>
          </w:p>
        </w:tc>
        <w:tc>
          <w:tcPr>
            <w:tcW w:type="dxa" w:w="5726"/>
            <w:vAlign w:val="center"/>
            <w:tcMar>
              <w:top w:w="90" w:type="dxa"/>
              <w:bottom w:w="90" w:type="dxa"/>
              <w:left w:w="110" w:type="dxa"/>
              <w:right w:w="110" w:type="dxa"/>
            </w:tcMar>
            <w:shd w:fill="FFFFFF"/>
          </w:tcPr>
          <w:p>
            <w:pPr>
              <w:spacing w:after="0" w:line="252" w:lineRule="auto"/>
            </w:pPr>
            <w:r>
              <w:rPr>
                <w:b w:val="0"/>
                <w:color w:val="000000"/>
                <w:sz w:val="19"/>
              </w:rPr>
              <w:t>Inicio de sesión JWT, perfiles activos y acceso por rol y asignación.</w:t>
            </w:r>
          </w:p>
        </w:tc>
        <w:tc>
          <w:tcPr>
            <w:tcW w:type="dxa" w:w="1871"/>
            <w:vAlign w:val="center"/>
            <w:tcMar>
              <w:top w:w="90" w:type="dxa"/>
              <w:bottom w:w="90" w:type="dxa"/>
              <w:left w:w="110" w:type="dxa"/>
              <w:right w:w="110" w:type="dxa"/>
            </w:tcMar>
            <w:shd w:fill="FFFFFF"/>
          </w:tcPr>
          <w:p>
            <w:pPr>
              <w:spacing w:after="0" w:line="252" w:lineRule="auto"/>
              <w:jc w:val="center"/>
            </w:pPr>
            <w:r>
              <w:rPr>
                <w:b w:val="0"/>
                <w:color w:val="000000"/>
                <w:sz w:val="19"/>
              </w:rPr>
              <w:t>Conectado</w:t>
            </w:r>
          </w:p>
        </w:tc>
      </w:tr>
      <w:tr>
        <w:trPr>
          <w:cantSplit/>
        </w:trPr>
        <w:tc>
          <w:tcPr>
            <w:tcW w:type="dxa" w:w="2041"/>
            <w:vAlign w:val="center"/>
            <w:tcMar>
              <w:top w:w="90" w:type="dxa"/>
              <w:bottom w:w="90" w:type="dxa"/>
              <w:left w:w="110" w:type="dxa"/>
              <w:right w:w="110" w:type="dxa"/>
            </w:tcMar>
            <w:shd w:fill="F2F5F7"/>
          </w:tcPr>
          <w:p>
            <w:pPr>
              <w:spacing w:after="0" w:line="252" w:lineRule="auto"/>
            </w:pPr>
            <w:r>
              <w:rPr>
                <w:b w:val="0"/>
                <w:color w:val="000000"/>
                <w:sz w:val="19"/>
              </w:rPr>
              <w:t>Recepción de SDI</w:t>
            </w:r>
          </w:p>
        </w:tc>
        <w:tc>
          <w:tcPr>
            <w:tcW w:type="dxa" w:w="5726"/>
            <w:vAlign w:val="center"/>
            <w:tcMar>
              <w:top w:w="90" w:type="dxa"/>
              <w:bottom w:w="90" w:type="dxa"/>
              <w:left w:w="110" w:type="dxa"/>
              <w:right w:w="110" w:type="dxa"/>
            </w:tcMar>
            <w:shd w:fill="F2F5F7"/>
          </w:tcPr>
          <w:p>
            <w:pPr>
              <w:spacing w:after="0" w:line="252" w:lineRule="auto"/>
            </w:pPr>
            <w:r>
              <w:rPr>
                <w:b w:val="0"/>
                <w:color w:val="000000"/>
                <w:sz w:val="19"/>
              </w:rPr>
              <w:t>Registro manual, carga PDF, propuesta editable, original y control de duplicados.</w:t>
            </w:r>
          </w:p>
        </w:tc>
        <w:tc>
          <w:tcPr>
            <w:tcW w:type="dxa" w:w="1871"/>
            <w:vAlign w:val="center"/>
            <w:tcMar>
              <w:top w:w="90" w:type="dxa"/>
              <w:bottom w:w="90" w:type="dxa"/>
              <w:left w:w="110" w:type="dxa"/>
              <w:right w:w="110" w:type="dxa"/>
            </w:tcMar>
            <w:shd w:fill="F2F5F7"/>
          </w:tcPr>
          <w:p>
            <w:pPr>
              <w:spacing w:after="0" w:line="252" w:lineRule="auto"/>
              <w:jc w:val="center"/>
            </w:pPr>
            <w:r>
              <w:rPr>
                <w:b w:val="0"/>
                <w:color w:val="000000"/>
                <w:sz w:val="19"/>
              </w:rPr>
              <w:t>Conectado</w:t>
            </w:r>
          </w:p>
        </w:tc>
      </w:tr>
      <w:tr>
        <w:trPr>
          <w:cantSplit/>
        </w:trPr>
        <w:tc>
          <w:tcPr>
            <w:tcW w:type="dxa" w:w="2041"/>
            <w:vAlign w:val="center"/>
            <w:tcMar>
              <w:top w:w="90" w:type="dxa"/>
              <w:bottom w:w="90" w:type="dxa"/>
              <w:left w:w="110" w:type="dxa"/>
              <w:right w:w="110" w:type="dxa"/>
            </w:tcMar>
            <w:shd w:fill="FFFFFF"/>
          </w:tcPr>
          <w:p>
            <w:pPr>
              <w:spacing w:after="0" w:line="252" w:lineRule="auto"/>
            </w:pPr>
            <w:r>
              <w:rPr>
                <w:b w:val="0"/>
                <w:color w:val="000000"/>
                <w:sz w:val="19"/>
              </w:rPr>
              <w:t>Productos y asignación</w:t>
            </w:r>
          </w:p>
        </w:tc>
        <w:tc>
          <w:tcPr>
            <w:tcW w:type="dxa" w:w="5726"/>
            <w:vAlign w:val="center"/>
            <w:tcMar>
              <w:top w:w="90" w:type="dxa"/>
              <w:bottom w:w="90" w:type="dxa"/>
              <w:left w:w="110" w:type="dxa"/>
              <w:right w:w="110" w:type="dxa"/>
            </w:tcMar>
            <w:shd w:fill="FFFFFF"/>
          </w:tcPr>
          <w:p>
            <w:pPr>
              <w:spacing w:after="0" w:line="252" w:lineRule="auto"/>
            </w:pPr>
            <w:r>
              <w:rPr>
                <w:b w:val="0"/>
                <w:color w:val="000000"/>
                <w:sz w:val="19"/>
              </w:rPr>
              <w:t>Datos, prioridades, cantidades y selección de inspector activo.</w:t>
            </w:r>
          </w:p>
        </w:tc>
        <w:tc>
          <w:tcPr>
            <w:tcW w:type="dxa" w:w="1871"/>
            <w:vAlign w:val="center"/>
            <w:tcMar>
              <w:top w:w="90" w:type="dxa"/>
              <w:bottom w:w="90" w:type="dxa"/>
              <w:left w:w="110" w:type="dxa"/>
              <w:right w:w="110" w:type="dxa"/>
            </w:tcMar>
            <w:shd w:fill="FFFFFF"/>
          </w:tcPr>
          <w:p>
            <w:pPr>
              <w:spacing w:after="0" w:line="252" w:lineRule="auto"/>
              <w:jc w:val="center"/>
            </w:pPr>
            <w:r>
              <w:rPr>
                <w:b w:val="0"/>
                <w:color w:val="000000"/>
                <w:sz w:val="19"/>
              </w:rPr>
              <w:t>Conectado</w:t>
            </w:r>
          </w:p>
        </w:tc>
      </w:tr>
      <w:tr>
        <w:trPr>
          <w:cantSplit/>
        </w:trPr>
        <w:tc>
          <w:tcPr>
            <w:tcW w:type="dxa" w:w="2041"/>
            <w:vAlign w:val="center"/>
            <w:tcMar>
              <w:top w:w="90" w:type="dxa"/>
              <w:bottom w:w="90" w:type="dxa"/>
              <w:left w:w="110" w:type="dxa"/>
              <w:right w:w="110" w:type="dxa"/>
            </w:tcMar>
            <w:shd w:fill="F2F5F7"/>
          </w:tcPr>
          <w:p>
            <w:pPr>
              <w:spacing w:after="0" w:line="252" w:lineRule="auto"/>
            </w:pPr>
            <w:r>
              <w:rPr>
                <w:b w:val="0"/>
                <w:color w:val="000000"/>
                <w:sz w:val="19"/>
              </w:rPr>
              <w:t>Inspecciones</w:t>
            </w:r>
          </w:p>
        </w:tc>
        <w:tc>
          <w:tcPr>
            <w:tcW w:type="dxa" w:w="5726"/>
            <w:vAlign w:val="center"/>
            <w:tcMar>
              <w:top w:w="90" w:type="dxa"/>
              <w:bottom w:w="90" w:type="dxa"/>
              <w:left w:w="110" w:type="dxa"/>
              <w:right w:w="110" w:type="dxa"/>
            </w:tcMar>
            <w:shd w:fill="F2F5F7"/>
          </w:tcPr>
          <w:p>
            <w:pPr>
              <w:spacing w:after="0" w:line="252" w:lineRule="auto"/>
            </w:pPr>
            <w:r>
              <w:rPr>
                <w:b w:val="0"/>
                <w:color w:val="000000"/>
                <w:sz w:val="19"/>
              </w:rPr>
              <w:t>Criterios visuales, aprobación total o parcial, rechazo y evidencias.</w:t>
            </w:r>
          </w:p>
        </w:tc>
        <w:tc>
          <w:tcPr>
            <w:tcW w:type="dxa" w:w="1871"/>
            <w:vAlign w:val="center"/>
            <w:tcMar>
              <w:top w:w="90" w:type="dxa"/>
              <w:bottom w:w="90" w:type="dxa"/>
              <w:left w:w="110" w:type="dxa"/>
              <w:right w:w="110" w:type="dxa"/>
            </w:tcMar>
            <w:shd w:fill="F2F5F7"/>
          </w:tcPr>
          <w:p>
            <w:pPr>
              <w:spacing w:after="0" w:line="252" w:lineRule="auto"/>
              <w:jc w:val="center"/>
            </w:pPr>
            <w:r>
              <w:rPr>
                <w:b w:val="0"/>
                <w:color w:val="000000"/>
                <w:sz w:val="19"/>
              </w:rPr>
              <w:t>Conectado</w:t>
            </w:r>
          </w:p>
        </w:tc>
      </w:tr>
      <w:tr>
        <w:trPr>
          <w:cantSplit/>
        </w:trPr>
        <w:tc>
          <w:tcPr>
            <w:tcW w:type="dxa" w:w="2041"/>
            <w:vAlign w:val="center"/>
            <w:tcMar>
              <w:top w:w="90" w:type="dxa"/>
              <w:bottom w:w="90" w:type="dxa"/>
              <w:left w:w="110" w:type="dxa"/>
              <w:right w:w="110" w:type="dxa"/>
            </w:tcMar>
            <w:shd w:fill="FFFFFF"/>
          </w:tcPr>
          <w:p>
            <w:pPr>
              <w:spacing w:after="0" w:line="252" w:lineRule="auto"/>
            </w:pPr>
            <w:r>
              <w:rPr>
                <w:b w:val="0"/>
                <w:color w:val="000000"/>
                <w:sz w:val="19"/>
              </w:rPr>
              <w:t>Resolución y cierre</w:t>
            </w:r>
          </w:p>
        </w:tc>
        <w:tc>
          <w:tcPr>
            <w:tcW w:type="dxa" w:w="5726"/>
            <w:vAlign w:val="center"/>
            <w:tcMar>
              <w:top w:w="90" w:type="dxa"/>
              <w:bottom w:w="90" w:type="dxa"/>
              <w:left w:w="110" w:type="dxa"/>
              <w:right w:w="110" w:type="dxa"/>
            </w:tcMar>
            <w:shd w:fill="FFFFFF"/>
          </w:tcPr>
          <w:p>
            <w:pPr>
              <w:spacing w:after="0" w:line="252" w:lineRule="auto"/>
            </w:pPr>
            <w:r>
              <w:rPr>
                <w:b w:val="0"/>
                <w:color w:val="000000"/>
                <w:sz w:val="19"/>
              </w:rPr>
              <w:t>Reinspecciones, concesiones, revisión obligatoria y cierre condicionado.</w:t>
            </w:r>
          </w:p>
        </w:tc>
        <w:tc>
          <w:tcPr>
            <w:tcW w:type="dxa" w:w="1871"/>
            <w:vAlign w:val="center"/>
            <w:tcMar>
              <w:top w:w="90" w:type="dxa"/>
              <w:bottom w:w="90" w:type="dxa"/>
              <w:left w:w="110" w:type="dxa"/>
              <w:right w:w="110" w:type="dxa"/>
            </w:tcMar>
            <w:shd w:fill="FFFFFF"/>
          </w:tcPr>
          <w:p>
            <w:pPr>
              <w:spacing w:after="0" w:line="252" w:lineRule="auto"/>
              <w:jc w:val="center"/>
            </w:pPr>
            <w:r>
              <w:rPr>
                <w:b w:val="0"/>
                <w:color w:val="000000"/>
                <w:sz w:val="19"/>
              </w:rPr>
              <w:t>Conectado</w:t>
            </w:r>
          </w:p>
        </w:tc>
      </w:tr>
      <w:tr>
        <w:trPr>
          <w:cantSplit/>
        </w:trPr>
        <w:tc>
          <w:tcPr>
            <w:tcW w:type="dxa" w:w="2041"/>
            <w:vAlign w:val="center"/>
            <w:tcMar>
              <w:top w:w="90" w:type="dxa"/>
              <w:bottom w:w="90" w:type="dxa"/>
              <w:left w:w="110" w:type="dxa"/>
              <w:right w:w="110" w:type="dxa"/>
            </w:tcMar>
            <w:shd w:fill="F2F5F7"/>
          </w:tcPr>
          <w:p>
            <w:pPr>
              <w:spacing w:after="0" w:line="252" w:lineRule="auto"/>
            </w:pPr>
            <w:r>
              <w:rPr>
                <w:b w:val="0"/>
                <w:color w:val="000000"/>
                <w:sz w:val="19"/>
              </w:rPr>
              <w:t>Conservación</w:t>
            </w:r>
          </w:p>
        </w:tc>
        <w:tc>
          <w:tcPr>
            <w:tcW w:type="dxa" w:w="5726"/>
            <w:vAlign w:val="center"/>
            <w:tcMar>
              <w:top w:w="90" w:type="dxa"/>
              <w:bottom w:w="90" w:type="dxa"/>
              <w:left w:w="110" w:type="dxa"/>
              <w:right w:w="110" w:type="dxa"/>
            </w:tcMar>
            <w:shd w:fill="F2F5F7"/>
          </w:tcPr>
          <w:p>
            <w:pPr>
              <w:spacing w:after="0" w:line="252" w:lineRule="auto"/>
            </w:pPr>
            <w:r>
              <w:rPr>
                <w:b w:val="0"/>
                <w:color w:val="000000"/>
                <w:sz w:val="19"/>
              </w:rPr>
              <w:t>Historial, descarga protegida, anulación, archivo y restauración.</w:t>
            </w:r>
          </w:p>
        </w:tc>
        <w:tc>
          <w:tcPr>
            <w:tcW w:type="dxa" w:w="1871"/>
            <w:vAlign w:val="center"/>
            <w:tcMar>
              <w:top w:w="90" w:type="dxa"/>
              <w:bottom w:w="90" w:type="dxa"/>
              <w:left w:w="110" w:type="dxa"/>
              <w:right w:w="110" w:type="dxa"/>
            </w:tcMar>
            <w:shd w:fill="F2F5F7"/>
          </w:tcPr>
          <w:p>
            <w:pPr>
              <w:spacing w:after="0" w:line="252" w:lineRule="auto"/>
              <w:jc w:val="center"/>
            </w:pPr>
            <w:r>
              <w:rPr>
                <w:b w:val="0"/>
                <w:color w:val="000000"/>
                <w:sz w:val="19"/>
              </w:rPr>
              <w:t>Conectado</w:t>
            </w:r>
          </w:p>
        </w:tc>
      </w:tr>
      <w:tr>
        <w:trPr>
          <w:cantSplit/>
        </w:trPr>
        <w:tc>
          <w:tcPr>
            <w:tcW w:type="dxa" w:w="2041"/>
            <w:vAlign w:val="center"/>
            <w:tcMar>
              <w:top w:w="90" w:type="dxa"/>
              <w:bottom w:w="90" w:type="dxa"/>
              <w:left w:w="110" w:type="dxa"/>
              <w:right w:w="110" w:type="dxa"/>
            </w:tcMar>
            <w:shd w:fill="FFFFFF"/>
          </w:tcPr>
          <w:p>
            <w:pPr>
              <w:spacing w:after="0" w:line="252" w:lineRule="auto"/>
            </w:pPr>
            <w:r>
              <w:rPr>
                <w:b w:val="0"/>
                <w:color w:val="000000"/>
                <w:sz w:val="19"/>
              </w:rPr>
              <w:t>Resumen operativo</w:t>
            </w:r>
          </w:p>
        </w:tc>
        <w:tc>
          <w:tcPr>
            <w:tcW w:type="dxa" w:w="5726"/>
            <w:vAlign w:val="center"/>
            <w:tcMar>
              <w:top w:w="90" w:type="dxa"/>
              <w:bottom w:w="90" w:type="dxa"/>
              <w:left w:w="110" w:type="dxa"/>
              <w:right w:w="110" w:type="dxa"/>
            </w:tcMar>
            <w:shd w:fill="FFFFFF"/>
          </w:tcPr>
          <w:p>
            <w:pPr>
              <w:spacing w:after="0" w:line="252" w:lineRule="auto"/>
            </w:pPr>
            <w:r>
              <w:rPr>
                <w:b w:val="0"/>
                <w:color w:val="000000"/>
                <w:sz w:val="19"/>
              </w:rPr>
              <w:t>Conteos de SDI, productos e inspecciones por separado y resultados por revisar.</w:t>
            </w:r>
          </w:p>
        </w:tc>
        <w:tc>
          <w:tcPr>
            <w:tcW w:type="dxa" w:w="1871"/>
            <w:vAlign w:val="center"/>
            <w:tcMar>
              <w:top w:w="90" w:type="dxa"/>
              <w:bottom w:w="90" w:type="dxa"/>
              <w:left w:w="110" w:type="dxa"/>
              <w:right w:w="110" w:type="dxa"/>
            </w:tcMar>
            <w:shd w:fill="FFFFFF"/>
          </w:tcPr>
          <w:p>
            <w:pPr>
              <w:spacing w:after="0" w:line="252" w:lineRule="auto"/>
              <w:jc w:val="center"/>
            </w:pPr>
            <w:r>
              <w:rPr>
                <w:b w:val="0"/>
                <w:color w:val="000000"/>
                <w:sz w:val="19"/>
              </w:rPr>
              <w:t>Conectado</w:t>
            </w:r>
          </w:p>
        </w:tc>
      </w:tr>
      <w:tr>
        <w:trPr>
          <w:cantSplit/>
        </w:trPr>
        <w:tc>
          <w:tcPr>
            <w:tcW w:type="dxa" w:w="2041"/>
            <w:vAlign w:val="center"/>
            <w:tcMar>
              <w:top w:w="90" w:type="dxa"/>
              <w:bottom w:w="90" w:type="dxa"/>
              <w:left w:w="110" w:type="dxa"/>
              <w:right w:w="110" w:type="dxa"/>
            </w:tcMar>
            <w:shd w:fill="F2F5F7"/>
          </w:tcPr>
          <w:p>
            <w:pPr>
              <w:spacing w:after="0" w:line="252" w:lineRule="auto"/>
            </w:pPr>
            <w:r>
              <w:rPr>
                <w:b w:val="0"/>
                <w:color w:val="000000"/>
                <w:sz w:val="19"/>
              </w:rPr>
              <w:t>Correo</w:t>
            </w:r>
          </w:p>
        </w:tc>
        <w:tc>
          <w:tcPr>
            <w:tcW w:type="dxa" w:w="5726"/>
            <w:vAlign w:val="center"/>
            <w:tcMar>
              <w:top w:w="90" w:type="dxa"/>
              <w:bottom w:w="90" w:type="dxa"/>
              <w:left w:w="110" w:type="dxa"/>
              <w:right w:w="110" w:type="dxa"/>
            </w:tcMar>
            <w:shd w:fill="F2F5F7"/>
          </w:tcPr>
          <w:p>
            <w:pPr>
              <w:spacing w:after="0" w:line="252" w:lineRule="auto"/>
            </w:pPr>
            <w:r>
              <w:rPr>
                <w:b w:val="0"/>
                <w:color w:val="000000"/>
                <w:sz w:val="19"/>
              </w:rPr>
              <w:t>Recepción IMAP y avisos SMTP con cola y reintentos.</w:t>
            </w:r>
          </w:p>
        </w:tc>
        <w:tc>
          <w:tcPr>
            <w:tcW w:type="dxa" w:w="1871"/>
            <w:vAlign w:val="center"/>
            <w:tcMar>
              <w:top w:w="90" w:type="dxa"/>
              <w:bottom w:w="90" w:type="dxa"/>
              <w:left w:w="110" w:type="dxa"/>
              <w:right w:w="110" w:type="dxa"/>
            </w:tcMar>
            <w:shd w:fill="F2F5F7"/>
          </w:tcPr>
          <w:p>
            <w:pPr>
              <w:spacing w:after="0" w:line="252" w:lineRule="auto"/>
              <w:jc w:val="center"/>
            </w:pPr>
            <w:r>
              <w:rPr>
                <w:b w:val="0"/>
                <w:color w:val="000000"/>
                <w:sz w:val="19"/>
              </w:rPr>
              <w:t>Configurar y validar</w:t>
            </w:r>
          </w:p>
        </w:tc>
      </w:tr>
      <w:tr>
        <w:trPr>
          <w:cantSplit/>
        </w:trPr>
        <w:tc>
          <w:tcPr>
            <w:tcW w:type="dxa" w:w="2041"/>
            <w:vAlign w:val="center"/>
            <w:tcMar>
              <w:top w:w="90" w:type="dxa"/>
              <w:bottom w:w="90" w:type="dxa"/>
              <w:left w:w="110" w:type="dxa"/>
              <w:right w:w="110" w:type="dxa"/>
            </w:tcMar>
            <w:shd w:fill="FFFFFF"/>
          </w:tcPr>
          <w:p>
            <w:pPr>
              <w:spacing w:after="0" w:line="252" w:lineRule="auto"/>
            </w:pPr>
            <w:r>
              <w:rPr>
                <w:b w:val="0"/>
                <w:color w:val="000000"/>
                <w:sz w:val="19"/>
              </w:rPr>
              <w:t>Panel y pantallas demo</w:t>
            </w:r>
          </w:p>
        </w:tc>
        <w:tc>
          <w:tcPr>
            <w:tcW w:type="dxa" w:w="5726"/>
            <w:vAlign w:val="center"/>
            <w:tcMar>
              <w:top w:w="90" w:type="dxa"/>
              <w:bottom w:w="90" w:type="dxa"/>
              <w:left w:w="110" w:type="dxa"/>
              <w:right w:w="110" w:type="dxa"/>
            </w:tcMar>
            <w:shd w:fill="FFFFFF"/>
          </w:tcPr>
          <w:p>
            <w:pPr>
              <w:spacing w:after="0" w:line="252" w:lineRule="auto"/>
            </w:pPr>
            <w:r>
              <w:rPr>
                <w:b w:val="0"/>
                <w:color w:val="000000"/>
                <w:sz w:val="19"/>
              </w:rPr>
              <w:t>Gráficos por periodo, actividades, equipo, preferencias y exportación CSV.</w:t>
            </w:r>
          </w:p>
        </w:tc>
        <w:tc>
          <w:tcPr>
            <w:tcW w:type="dxa" w:w="1871"/>
            <w:vAlign w:val="center"/>
            <w:tcMar>
              <w:top w:w="90" w:type="dxa"/>
              <w:bottom w:w="90" w:type="dxa"/>
              <w:left w:w="110" w:type="dxa"/>
              <w:right w:w="110" w:type="dxa"/>
            </w:tcMar>
            <w:shd w:fill="FFFFFF"/>
          </w:tcPr>
          <w:p>
            <w:pPr>
              <w:spacing w:after="0" w:line="252" w:lineRule="auto"/>
              <w:jc w:val="center"/>
            </w:pPr>
            <w:r>
              <w:rPr>
                <w:b w:val="0"/>
                <w:color w:val="000000"/>
                <w:sz w:val="19"/>
              </w:rPr>
              <w:t>Demostración</w:t>
            </w:r>
          </w:p>
        </w:tc>
      </w:tr>
    </w:tbl>
    <w:p>
      <w:pPr>
        <w:spacing w:after="0"/>
      </w:pPr>
    </w:p>
    <w:p>
      <w:pPr>
        <w:pStyle w:val="Heading2"/>
      </w:pPr>
      <w:r>
        <w:t>Mejoras de interfaz realizadas</w:t>
      </w:r>
    </w:p>
    <w:p>
      <w:r>
        <w:t>Se organizaron las pantallas en componentes separados y se compartieron tablas, filtros, formularios e iconos. Se incorporaron tema claro y oscuro, diseño adaptable a móvil, ayudas y etiquetas accesibles. El panel muestra la fecha de Santiago y distingue las entidades para evitar mezclar solicitudes, productos e inspecciones.</w:t>
      </w:r>
    </w:p>
    <w:p>
      <w:r>
        <w:t>La exportación de la demo genera un CSV de 19 columnas con los registros filtrados. Conserva relaciones, cantidades, tildes, comillas y saltos de línea para facilitar su apertura en Excel. Los gráficos de rendimiento, invitaciones de equipo y preferencias demo todavía no representan por completo una operación conectada.</w:t>
      </w:r>
    </w:p>
    <w:p>
      <w:pPr>
        <w:pStyle w:val="Heading2"/>
      </w:pPr>
      <w:r>
        <w:t>Límites actuales</w:t>
      </w:r>
    </w:p>
    <w:p>
      <w:r>
        <w:t>El lector de PDF trabaja con texto seleccionable y requiere revisión humana. Los escaneos se conservan para captura manual, porque no hay reconocimiento óptico de caracteres u OCR. El sistema no tiene integración ERP, aplicación Android ni firma electrónica implementadas. La autorización de Ingeniería y la conexión de funciones demo deben acordarse antes de ampliar el alcance.</w:t>
      </w:r>
    </w:p>
    <w:p>
      <w:r>
        <w:br w:type="page"/>
      </w:r>
    </w:p>
    <w:p>
      <w:pPr>
        <w:pStyle w:val="Heading1"/>
      </w:pPr>
      <w:r>
        <w:t>Qué hemos hecho y qué se verificó</w:t>
      </w:r>
    </w:p>
    <w:p>
      <w:pPr>
        <w:pStyle w:val="Heading2"/>
      </w:pPr>
      <w:r>
        <w:t>Evolución del trabajo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7483"/>
      </w:tblGrid>
      <w:tr>
        <w:trPr>
          <w:cantSplit/>
          <w:tblHeader/>
        </w:trPr>
        <w:tc>
          <w:tcPr>
            <w:tcW w:type="dxa" w:w="2154"/>
            <w:vAlign w:val="center"/>
            <w:tcMar>
              <w:top w:w="90" w:type="dxa"/>
              <w:bottom w:w="90" w:type="dxa"/>
              <w:left w:w="110" w:type="dxa"/>
              <w:right w:w="110" w:type="dxa"/>
            </w:tcMar>
            <w:shd w:fill="002B49"/>
          </w:tcPr>
          <w:p>
            <w:pPr>
              <w:spacing w:after="0" w:line="252" w:lineRule="auto"/>
            </w:pPr>
            <w:r>
              <w:rPr>
                <w:b/>
                <w:color w:val="FFFFFF"/>
                <w:sz w:val="19"/>
              </w:rPr>
              <w:t>Periodo</w:t>
            </w:r>
          </w:p>
        </w:tc>
        <w:tc>
          <w:tcPr>
            <w:tcW w:type="dxa" w:w="7483"/>
            <w:vAlign w:val="center"/>
            <w:tcMar>
              <w:top w:w="90" w:type="dxa"/>
              <w:bottom w:w="90" w:type="dxa"/>
              <w:left w:w="110" w:type="dxa"/>
              <w:right w:w="110" w:type="dxa"/>
            </w:tcMar>
            <w:shd w:fill="002B49"/>
          </w:tcPr>
          <w:p>
            <w:pPr>
              <w:spacing w:after="0" w:line="252" w:lineRule="auto"/>
            </w:pPr>
            <w:r>
              <w:rPr>
                <w:b/>
                <w:color w:val="FFFFFF"/>
                <w:sz w:val="19"/>
              </w:rPr>
              <w:t>Trabajo realizado</w:t>
            </w:r>
          </w:p>
        </w:tc>
      </w:tr>
      <w:tr>
        <w:trPr>
          <w:cantSplit/>
        </w:trPr>
        <w:tc>
          <w:tcPr>
            <w:tcW w:type="dxa" w:w="2154"/>
            <w:vAlign w:val="center"/>
            <w:tcMar>
              <w:top w:w="90" w:type="dxa"/>
              <w:bottom w:w="90" w:type="dxa"/>
              <w:left w:w="110" w:type="dxa"/>
              <w:right w:w="110" w:type="dxa"/>
            </w:tcMar>
            <w:shd w:fill="FFFFFF"/>
          </w:tcPr>
          <w:p>
            <w:pPr>
              <w:spacing w:after="0" w:line="252" w:lineRule="auto"/>
            </w:pPr>
            <w:r>
              <w:rPr>
                <w:b w:val="0"/>
                <w:color w:val="000000"/>
                <w:sz w:val="19"/>
              </w:rPr>
              <w:t>1 y 2 de octubre</w:t>
            </w:r>
          </w:p>
        </w:tc>
        <w:tc>
          <w:tcPr>
            <w:tcW w:type="dxa" w:w="7483"/>
            <w:vAlign w:val="center"/>
            <w:tcMar>
              <w:top w:w="90" w:type="dxa"/>
              <w:bottom w:w="90" w:type="dxa"/>
              <w:left w:w="110" w:type="dxa"/>
              <w:right w:w="110" w:type="dxa"/>
            </w:tcMar>
            <w:shd w:fill="FFFFFF"/>
          </w:tcPr>
          <w:p>
            <w:pPr>
              <w:spacing w:after="0" w:line="252" w:lineRule="auto"/>
            </w:pPr>
            <w:r>
              <w:rPr>
                <w:b w:val="0"/>
                <w:color w:val="000000"/>
                <w:sz w:val="19"/>
              </w:rPr>
              <w:t>Base del modelo y desarrollo de aprobación, rechazo, aprobación parcial y reinspecciones, según el historial de Git.</w:t>
            </w:r>
          </w:p>
        </w:tc>
      </w:tr>
      <w:tr>
        <w:trPr>
          <w:cantSplit/>
        </w:trPr>
        <w:tc>
          <w:tcPr>
            <w:tcW w:type="dxa" w:w="2154"/>
            <w:vAlign w:val="center"/>
            <w:tcMar>
              <w:top w:w="90" w:type="dxa"/>
              <w:bottom w:w="90" w:type="dxa"/>
              <w:left w:w="110" w:type="dxa"/>
              <w:right w:w="110" w:type="dxa"/>
            </w:tcMar>
            <w:shd w:fill="F2F5F7"/>
          </w:tcPr>
          <w:p>
            <w:pPr>
              <w:spacing w:after="0" w:line="252" w:lineRule="auto"/>
            </w:pPr>
            <w:r>
              <w:rPr>
                <w:b w:val="0"/>
                <w:color w:val="000000"/>
                <w:sz w:val="19"/>
              </w:rPr>
              <w:t>4 y 5 de octubre</w:t>
            </w:r>
          </w:p>
        </w:tc>
        <w:tc>
          <w:tcPr>
            <w:tcW w:type="dxa" w:w="7483"/>
            <w:vAlign w:val="center"/>
            <w:tcMar>
              <w:top w:w="90" w:type="dxa"/>
              <w:bottom w:w="90" w:type="dxa"/>
              <w:left w:w="110" w:type="dxa"/>
              <w:right w:w="110" w:type="dxa"/>
            </w:tcMar>
            <w:shd w:fill="F2F5F7"/>
          </w:tcPr>
          <w:p>
            <w:pPr>
              <w:spacing w:after="0" w:line="252" w:lineRule="auto"/>
            </w:pPr>
            <w:r>
              <w:rPr>
                <w:b w:val="0"/>
                <w:color w:val="000000"/>
                <w:sz w:val="19"/>
              </w:rPr>
              <w:t>Organización de servicios, concesiones, evidencias, cierre, historial, permisos y gestión de inspectores.</w:t>
            </w:r>
          </w:p>
        </w:tc>
      </w:tr>
      <w:tr>
        <w:trPr>
          <w:cantSplit/>
        </w:trPr>
        <w:tc>
          <w:tcPr>
            <w:tcW w:type="dxa" w:w="2154"/>
            <w:vAlign w:val="center"/>
            <w:tcMar>
              <w:top w:w="90" w:type="dxa"/>
              <w:bottom w:w="90" w:type="dxa"/>
              <w:left w:w="110" w:type="dxa"/>
              <w:right w:w="110" w:type="dxa"/>
            </w:tcMar>
            <w:shd w:fill="FFFFFF"/>
          </w:tcPr>
          <w:p>
            <w:pPr>
              <w:spacing w:after="0" w:line="252" w:lineRule="auto"/>
            </w:pPr>
            <w:r>
              <w:rPr>
                <w:b w:val="0"/>
                <w:color w:val="000000"/>
                <w:sz w:val="19"/>
              </w:rPr>
              <w:t>6 al 8 de octubre</w:t>
            </w:r>
          </w:p>
        </w:tc>
        <w:tc>
          <w:tcPr>
            <w:tcW w:type="dxa" w:w="7483"/>
            <w:vAlign w:val="center"/>
            <w:tcMar>
              <w:top w:w="90" w:type="dxa"/>
              <w:bottom w:w="90" w:type="dxa"/>
              <w:left w:w="110" w:type="dxa"/>
              <w:right w:w="110" w:type="dxa"/>
            </w:tcMar>
            <w:shd w:fill="FFFFFF"/>
          </w:tcPr>
          <w:p>
            <w:pPr>
              <w:spacing w:after="0" w:line="252" w:lineRule="auto"/>
            </w:pPr>
            <w:r>
              <w:rPr>
                <w:b w:val="0"/>
                <w:color w:val="000000"/>
                <w:sz w:val="19"/>
              </w:rPr>
              <w:t>API REST con JWT, endpoints de SDI, productos e inspecciones y primera versión del frontend.</w:t>
            </w:r>
          </w:p>
        </w:tc>
      </w:tr>
      <w:tr>
        <w:trPr>
          <w:cantSplit/>
        </w:trPr>
        <w:tc>
          <w:tcPr>
            <w:tcW w:type="dxa" w:w="2154"/>
            <w:vAlign w:val="center"/>
            <w:tcMar>
              <w:top w:w="90" w:type="dxa"/>
              <w:bottom w:w="90" w:type="dxa"/>
              <w:left w:w="110" w:type="dxa"/>
              <w:right w:w="110" w:type="dxa"/>
            </w:tcMar>
            <w:shd w:fill="F2F5F7"/>
          </w:tcPr>
          <w:p>
            <w:pPr>
              <w:spacing w:after="0" w:line="252" w:lineRule="auto"/>
            </w:pPr>
            <w:r>
              <w:rPr>
                <w:b w:val="0"/>
                <w:color w:val="000000"/>
                <w:sz w:val="19"/>
              </w:rPr>
              <w:t>9 y 10 de octubre</w:t>
            </w:r>
          </w:p>
        </w:tc>
        <w:tc>
          <w:tcPr>
            <w:tcW w:type="dxa" w:w="7483"/>
            <w:vAlign w:val="center"/>
            <w:tcMar>
              <w:top w:w="90" w:type="dxa"/>
              <w:bottom w:w="90" w:type="dxa"/>
              <w:left w:w="110" w:type="dxa"/>
              <w:right w:w="110" w:type="dxa"/>
            </w:tcMar>
            <w:shd w:fill="F2F5F7"/>
          </w:tcPr>
          <w:p>
            <w:pPr>
              <w:spacing w:after="0" w:line="252" w:lineRule="auto"/>
            </w:pPr>
            <w:r>
              <w:rPr>
                <w:b w:val="0"/>
                <w:color w:val="000000"/>
                <w:sz w:val="19"/>
              </w:rPr>
              <w:t>Separación del panel, flujo conectado, recepción y revisión, cantidades, trazabilidad, conservación y ajustes visuales. Manuales técnico y de uso.</w:t>
            </w:r>
          </w:p>
        </w:tc>
      </w:tr>
      <w:tr>
        <w:trPr>
          <w:cantSplit/>
        </w:trPr>
        <w:tc>
          <w:tcPr>
            <w:tcW w:type="dxa" w:w="2154"/>
            <w:vAlign w:val="center"/>
            <w:tcMar>
              <w:top w:w="90" w:type="dxa"/>
              <w:bottom w:w="90" w:type="dxa"/>
              <w:left w:w="110" w:type="dxa"/>
              <w:right w:w="110" w:type="dxa"/>
            </w:tcMar>
            <w:shd w:fill="FFFFFF"/>
          </w:tcPr>
          <w:p>
            <w:pPr>
              <w:spacing w:after="0" w:line="252" w:lineRule="auto"/>
            </w:pPr>
            <w:r>
              <w:rPr>
                <w:b w:val="0"/>
                <w:color w:val="000000"/>
                <w:sz w:val="19"/>
              </w:rPr>
              <w:t>13 de octubre</w:t>
            </w:r>
          </w:p>
        </w:tc>
        <w:tc>
          <w:tcPr>
            <w:tcW w:type="dxa" w:w="7483"/>
            <w:vAlign w:val="center"/>
            <w:tcMar>
              <w:top w:w="90" w:type="dxa"/>
              <w:bottom w:w="90" w:type="dxa"/>
              <w:left w:w="110" w:type="dxa"/>
              <w:right w:w="110" w:type="dxa"/>
            </w:tcMar>
            <w:shd w:fill="FFFFFF"/>
          </w:tcPr>
          <w:p>
            <w:pPr>
              <w:spacing w:after="0" w:line="252" w:lineRule="auto"/>
            </w:pPr>
            <w:r>
              <w:rPr>
                <w:b w:val="0"/>
                <w:color w:val="000000"/>
                <w:sz w:val="19"/>
              </w:rPr>
              <w:t>Paquete documental de alcance, requisitos, arquitectura, datos, API, operación, pruebas, seguridad, despliegue y pendientes.</w:t>
            </w:r>
          </w:p>
        </w:tc>
      </w:tr>
      <w:tr>
        <w:trPr>
          <w:cantSplit/>
        </w:trPr>
        <w:tc>
          <w:tcPr>
            <w:tcW w:type="dxa" w:w="2154"/>
            <w:vAlign w:val="center"/>
            <w:tcMar>
              <w:top w:w="90" w:type="dxa"/>
              <w:bottom w:w="90" w:type="dxa"/>
              <w:left w:w="110" w:type="dxa"/>
              <w:right w:w="110" w:type="dxa"/>
            </w:tcMar>
            <w:shd w:fill="F2F5F7"/>
          </w:tcPr>
          <w:p>
            <w:pPr>
              <w:spacing w:after="0" w:line="252" w:lineRule="auto"/>
            </w:pPr>
            <w:r>
              <w:rPr>
                <w:b w:val="0"/>
                <w:color w:val="000000"/>
                <w:sz w:val="19"/>
              </w:rPr>
              <w:t>14 de octubre</w:t>
            </w:r>
          </w:p>
        </w:tc>
        <w:tc>
          <w:tcPr>
            <w:tcW w:type="dxa" w:w="7483"/>
            <w:vAlign w:val="center"/>
            <w:tcMar>
              <w:top w:w="90" w:type="dxa"/>
              <w:bottom w:w="90" w:type="dxa"/>
              <w:left w:w="110" w:type="dxa"/>
              <w:right w:w="110" w:type="dxa"/>
            </w:tcMar>
            <w:shd w:fill="F2F5F7"/>
          </w:tcPr>
          <w:p>
            <w:pPr>
              <w:spacing w:after="0" w:line="252" w:lineRule="auto"/>
            </w:pPr>
            <w:r>
              <w:rPr>
                <w:b w:val="0"/>
                <w:color w:val="000000"/>
                <w:sz w:val="19"/>
              </w:rPr>
              <w:t>Preparación de este resumen y nueva ejecución de pruebas, compilación y comprobación de migraciones.</w:t>
            </w:r>
          </w:p>
        </w:tc>
      </w:tr>
    </w:tbl>
    <w:p>
      <w:pPr>
        <w:spacing w:after="0"/>
      </w:pPr>
    </w:p>
    <w:p>
      <w:r>
        <w:t>El avance reciente está en la copia de trabajo local y contiene cambios todavía sin confirmar en Git. Para la entrega se debe fijar una versión que permita reproducir exactamente el código y las evidencias.</w:t>
      </w:r>
    </w:p>
    <w:p>
      <w:pPr>
        <w:pStyle w:val="Heading2"/>
      </w:pPr>
      <w:r>
        <w:t>Comprobaciones del 14 de octubre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25"/>
        <w:gridCol w:w="5613"/>
      </w:tblGrid>
      <w:tr>
        <w:trPr>
          <w:cantSplit/>
          <w:tblHeader/>
        </w:trPr>
        <w:tc>
          <w:tcPr>
            <w:tcW w:type="dxa" w:w="4025"/>
            <w:vAlign w:val="center"/>
            <w:tcMar>
              <w:top w:w="90" w:type="dxa"/>
              <w:bottom w:w="90" w:type="dxa"/>
              <w:left w:w="110" w:type="dxa"/>
              <w:right w:w="110" w:type="dxa"/>
            </w:tcMar>
            <w:shd w:fill="002B49"/>
          </w:tcPr>
          <w:p>
            <w:pPr>
              <w:spacing w:after="0" w:line="252" w:lineRule="auto"/>
            </w:pPr>
            <w:r>
              <w:rPr>
                <w:b/>
                <w:color w:val="FFFFFF"/>
                <w:sz w:val="19"/>
              </w:rPr>
              <w:t>Comprobación</w:t>
            </w:r>
          </w:p>
        </w:tc>
        <w:tc>
          <w:tcPr>
            <w:tcW w:type="dxa" w:w="5613"/>
            <w:vAlign w:val="center"/>
            <w:tcMar>
              <w:top w:w="90" w:type="dxa"/>
              <w:bottom w:w="90" w:type="dxa"/>
              <w:left w:w="110" w:type="dxa"/>
              <w:right w:w="110" w:type="dxa"/>
            </w:tcMar>
            <w:shd w:fill="002B49"/>
          </w:tcPr>
          <w:p>
            <w:pPr>
              <w:spacing w:after="0" w:line="252" w:lineRule="auto"/>
            </w:pPr>
            <w:r>
              <w:rPr>
                <w:b/>
                <w:color w:val="FFFFFF"/>
                <w:sz w:val="19"/>
              </w:rPr>
              <w:t>Resultado</w:t>
            </w:r>
          </w:p>
        </w:tc>
      </w:tr>
      <w:tr>
        <w:trPr>
          <w:cantSplit/>
        </w:trPr>
        <w:tc>
          <w:tcPr>
            <w:tcW w:type="dxa" w:w="4025"/>
            <w:vAlign w:val="center"/>
            <w:tcMar>
              <w:top w:w="90" w:type="dxa"/>
              <w:bottom w:w="90" w:type="dxa"/>
              <w:left w:w="110" w:type="dxa"/>
              <w:right w:w="110" w:type="dxa"/>
            </w:tcMar>
            <w:shd w:fill="FFFFFF"/>
          </w:tcPr>
          <w:p>
            <w:pPr>
              <w:spacing w:after="0" w:line="252" w:lineRule="auto"/>
            </w:pPr>
            <w:r>
              <w:rPr>
                <w:b w:val="0"/>
                <w:color w:val="000000"/>
                <w:sz w:val="19"/>
              </w:rPr>
              <w:t>Pruebas del backend</w:t>
            </w:r>
          </w:p>
        </w:tc>
        <w:tc>
          <w:tcPr>
            <w:tcW w:type="dxa" w:w="5613"/>
            <w:vAlign w:val="center"/>
            <w:tcMar>
              <w:top w:w="90" w:type="dxa"/>
              <w:bottom w:w="90" w:type="dxa"/>
              <w:left w:w="110" w:type="dxa"/>
              <w:right w:w="110" w:type="dxa"/>
            </w:tcMar>
            <w:shd w:fill="FFFFFF"/>
          </w:tcPr>
          <w:p>
            <w:pPr>
              <w:spacing w:after="0" w:line="252" w:lineRule="auto"/>
            </w:pPr>
            <w:r>
              <w:rPr>
                <w:b w:val="0"/>
                <w:color w:val="000000"/>
                <w:sz w:val="19"/>
              </w:rPr>
              <w:t>28 pruebas correctas; comprobación de Django sin incidencias.</w:t>
            </w:r>
          </w:p>
        </w:tc>
      </w:tr>
      <w:tr>
        <w:trPr>
          <w:cantSplit/>
        </w:trPr>
        <w:tc>
          <w:tcPr>
            <w:tcW w:type="dxa" w:w="4025"/>
            <w:vAlign w:val="center"/>
            <w:tcMar>
              <w:top w:w="90" w:type="dxa"/>
              <w:bottom w:w="90" w:type="dxa"/>
              <w:left w:w="110" w:type="dxa"/>
              <w:right w:w="110" w:type="dxa"/>
            </w:tcMar>
            <w:shd w:fill="F2F5F7"/>
          </w:tcPr>
          <w:p>
            <w:pPr>
              <w:spacing w:after="0" w:line="252" w:lineRule="auto"/>
            </w:pPr>
            <w:r>
              <w:rPr>
                <w:b w:val="0"/>
                <w:color w:val="000000"/>
                <w:sz w:val="19"/>
              </w:rPr>
              <w:t>Pruebas del frontend</w:t>
            </w:r>
          </w:p>
        </w:tc>
        <w:tc>
          <w:tcPr>
            <w:tcW w:type="dxa" w:w="5613"/>
            <w:vAlign w:val="center"/>
            <w:tcMar>
              <w:top w:w="90" w:type="dxa"/>
              <w:bottom w:w="90" w:type="dxa"/>
              <w:left w:w="110" w:type="dxa"/>
              <w:right w:w="110" w:type="dxa"/>
            </w:tcMar>
            <w:shd w:fill="F2F5F7"/>
          </w:tcPr>
          <w:p>
            <w:pPr>
              <w:spacing w:after="0" w:line="252" w:lineRule="auto"/>
            </w:pPr>
            <w:r>
              <w:rPr>
                <w:b w:val="0"/>
                <w:color w:val="000000"/>
                <w:sz w:val="19"/>
              </w:rPr>
              <w:t>37 pruebas correctas; 0 fallos.</w:t>
            </w:r>
          </w:p>
        </w:tc>
      </w:tr>
      <w:tr>
        <w:trPr>
          <w:cantSplit/>
        </w:trPr>
        <w:tc>
          <w:tcPr>
            <w:tcW w:type="dxa" w:w="4025"/>
            <w:vAlign w:val="center"/>
            <w:tcMar>
              <w:top w:w="90" w:type="dxa"/>
              <w:bottom w:w="90" w:type="dxa"/>
              <w:left w:w="110" w:type="dxa"/>
              <w:right w:w="110" w:type="dxa"/>
            </w:tcMar>
            <w:shd w:fill="FFFFFF"/>
          </w:tcPr>
          <w:p>
            <w:pPr>
              <w:spacing w:after="0" w:line="252" w:lineRule="auto"/>
            </w:pPr>
            <w:r>
              <w:rPr>
                <w:b w:val="0"/>
                <w:color w:val="000000"/>
                <w:sz w:val="19"/>
              </w:rPr>
              <w:t>Compilación del frontend</w:t>
            </w:r>
          </w:p>
        </w:tc>
        <w:tc>
          <w:tcPr>
            <w:tcW w:type="dxa" w:w="5613"/>
            <w:vAlign w:val="center"/>
            <w:tcMar>
              <w:top w:w="90" w:type="dxa"/>
              <w:bottom w:w="90" w:type="dxa"/>
              <w:left w:w="110" w:type="dxa"/>
              <w:right w:w="110" w:type="dxa"/>
            </w:tcMar>
            <w:shd w:fill="FFFFFF"/>
          </w:tcPr>
          <w:p>
            <w:pPr>
              <w:spacing w:after="0" w:line="252" w:lineRule="auto"/>
            </w:pPr>
            <w:r>
              <w:rPr>
                <w:b w:val="0"/>
                <w:color w:val="000000"/>
                <w:sz w:val="19"/>
              </w:rPr>
              <w:t>Correcta; 58 módulos procesados.</w:t>
            </w:r>
          </w:p>
        </w:tc>
      </w:tr>
      <w:tr>
        <w:trPr>
          <w:cantSplit/>
        </w:trPr>
        <w:tc>
          <w:tcPr>
            <w:tcW w:type="dxa" w:w="4025"/>
            <w:vAlign w:val="center"/>
            <w:tcMar>
              <w:top w:w="90" w:type="dxa"/>
              <w:bottom w:w="90" w:type="dxa"/>
              <w:left w:w="110" w:type="dxa"/>
              <w:right w:w="110" w:type="dxa"/>
            </w:tcMar>
            <w:shd w:fill="F2F5F7"/>
          </w:tcPr>
          <w:p>
            <w:pPr>
              <w:spacing w:after="0" w:line="252" w:lineRule="auto"/>
            </w:pPr>
            <w:r>
              <w:rPr>
                <w:b w:val="0"/>
                <w:color w:val="000000"/>
                <w:sz w:val="19"/>
              </w:rPr>
              <w:t>Coherencia de modelos y migraciones</w:t>
            </w:r>
          </w:p>
        </w:tc>
        <w:tc>
          <w:tcPr>
            <w:tcW w:type="dxa" w:w="5613"/>
            <w:vAlign w:val="center"/>
            <w:tcMar>
              <w:top w:w="90" w:type="dxa"/>
              <w:bottom w:w="90" w:type="dxa"/>
              <w:left w:w="110" w:type="dxa"/>
              <w:right w:w="110" w:type="dxa"/>
            </w:tcMar>
            <w:shd w:fill="F2F5F7"/>
          </w:tcPr>
          <w:p>
            <w:pPr>
              <w:spacing w:after="0" w:line="252" w:lineRule="auto"/>
            </w:pPr>
            <w:r>
              <w:rPr>
                <w:b w:val="0"/>
                <w:color w:val="000000"/>
                <w:sz w:val="19"/>
              </w:rPr>
              <w:t>No se detectaron cambios que requieran generar migraciones nuevas.</w:t>
            </w:r>
          </w:p>
        </w:tc>
      </w:tr>
    </w:tbl>
    <w:p>
      <w:pPr>
        <w:spacing w:after="0"/>
      </w:pPr>
    </w:p>
    <w:p>
      <w:r>
        <w:t>Las pruebas cubren recepción y duplicados, asignación, permisos, documentos, inspecciones, revisión, cierre, correo simulado y conservación. En la interfaz cubren campos, fechas, cantidades, CSV, catálogo de áreas, cliente autenticado y disponibilidad de acciones.</w:t>
      </w:r>
    </w:p>
    <w:p>
      <w:r>
        <w:t>El backend se comprobó con SQLite y recursos de prueba. Estos resultados respaldan el comportamiento automatizado, pero la aceptación con usuarios, el buzón real, PostgreSQL y el despliegue necesitan sus propias pruebas.</w:t>
      </w:r>
    </w:p>
    <w:p>
      <w:pPr>
        <w:pStyle w:val="Heading2"/>
      </w:pPr>
      <w:r>
        <w:t>Documentación preparada</w:t>
      </w:r>
    </w:p>
    <w:p>
      <w:r>
        <w:t>Hay manuales de uso y técnico, un resumen de las jornadas del 9 y 10 de octubre y un paquete de trece documentos del 13 de octubre. El informe de entrega y el acta de aceptación son plantillas pendientes de completar con responsables, versión, resultados y aprobación.</w:t>
      </w:r>
    </w:p>
    <w:p>
      <w:r>
        <w:br w:type="page"/>
      </w:r>
    </w:p>
    <w:p>
      <w:pPr>
        <w:pStyle w:val="Heading1"/>
      </w:pPr>
      <w:r>
        <w:t>Cómo está construido y cómo se operará</w:t>
      </w:r>
    </w:p>
    <w:p>
      <w:pPr>
        <w:pStyle w:val="Heading2"/>
      </w:pPr>
      <w:r>
        <w:t>Arquitectura</w:t>
      </w:r>
    </w:p>
    <w:p>
      <w:r>
        <w:t>La persona usuaria trabaja en una interfaz React con Vite. La interfaz se comunica con una API Django y Django REST Framework, que aplica permisos y reglas de negocio antes de guardar los datos. El acceso conectado utiliza tokens JWT. Los documentos se descargan a través de la API autenticada.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803"/>
      </w:tblGrid>
      <w:tr>
        <w:trPr>
          <w:cantSplit/>
          <w:tblHeader/>
        </w:trPr>
        <w:tc>
          <w:tcPr>
            <w:tcW w:type="dxa" w:w="2835"/>
            <w:vAlign w:val="center"/>
            <w:tcMar>
              <w:top w:w="90" w:type="dxa"/>
              <w:bottom w:w="90" w:type="dxa"/>
              <w:left w:w="110" w:type="dxa"/>
              <w:right w:w="110" w:type="dxa"/>
            </w:tcMar>
            <w:shd w:fill="002B49"/>
          </w:tcPr>
          <w:p>
            <w:pPr>
              <w:spacing w:after="0" w:line="252" w:lineRule="auto"/>
            </w:pPr>
            <w:r>
              <w:rPr>
                <w:b/>
                <w:color w:val="FFFFFF"/>
                <w:sz w:val="19"/>
              </w:rPr>
              <w:t>Parte</w:t>
            </w:r>
          </w:p>
        </w:tc>
        <w:tc>
          <w:tcPr>
            <w:tcW w:type="dxa" w:w="6803"/>
            <w:vAlign w:val="center"/>
            <w:tcMar>
              <w:top w:w="90" w:type="dxa"/>
              <w:bottom w:w="90" w:type="dxa"/>
              <w:left w:w="110" w:type="dxa"/>
              <w:right w:w="110" w:type="dxa"/>
            </w:tcMar>
            <w:shd w:fill="002B49"/>
          </w:tcPr>
          <w:p>
            <w:pPr>
              <w:spacing w:after="0" w:line="252" w:lineRule="auto"/>
            </w:pPr>
            <w:r>
              <w:rPr>
                <w:b/>
                <w:color w:val="FFFFFF"/>
                <w:sz w:val="19"/>
              </w:rPr>
              <w:t>Responsabilidad</w:t>
            </w:r>
          </w:p>
        </w:tc>
      </w:tr>
      <w:tr>
        <w:trPr>
          <w:cantSplit/>
        </w:trPr>
        <w:tc>
          <w:tcPr>
            <w:tcW w:type="dxa" w:w="2835"/>
            <w:vAlign w:val="center"/>
            <w:tcMar>
              <w:top w:w="90" w:type="dxa"/>
              <w:bottom w:w="90" w:type="dxa"/>
              <w:left w:w="110" w:type="dxa"/>
              <w:right w:w="110" w:type="dxa"/>
            </w:tcMar>
            <w:shd w:fill="FFFFFF"/>
          </w:tcPr>
          <w:p>
            <w:pPr>
              <w:spacing w:after="0" w:line="252" w:lineRule="auto"/>
            </w:pPr>
            <w:r>
              <w:rPr>
                <w:b w:val="0"/>
                <w:color w:val="000000"/>
                <w:sz w:val="19"/>
              </w:rPr>
              <w:t>Frontend React y Vite</w:t>
            </w:r>
          </w:p>
        </w:tc>
        <w:tc>
          <w:tcPr>
            <w:tcW w:type="dxa" w:w="6803"/>
            <w:vAlign w:val="center"/>
            <w:tcMar>
              <w:top w:w="90" w:type="dxa"/>
              <w:bottom w:w="90" w:type="dxa"/>
              <w:left w:w="110" w:type="dxa"/>
              <w:right w:w="110" w:type="dxa"/>
            </w:tcMar>
            <w:shd w:fill="FFFFFF"/>
          </w:tcPr>
          <w:p>
            <w:pPr>
              <w:spacing w:after="0" w:line="252" w:lineRule="auto"/>
            </w:pPr>
            <w:r>
              <w:rPr>
                <w:b w:val="0"/>
                <w:color w:val="000000"/>
                <w:sz w:val="19"/>
              </w:rPr>
              <w:t>Pantallas, formularios, filtros, presentación de resultados y comunicación con la API.</w:t>
            </w:r>
          </w:p>
        </w:tc>
      </w:tr>
      <w:tr>
        <w:trPr>
          <w:cantSplit/>
        </w:trPr>
        <w:tc>
          <w:tcPr>
            <w:tcW w:type="dxa" w:w="2835"/>
            <w:vAlign w:val="center"/>
            <w:tcMar>
              <w:top w:w="90" w:type="dxa"/>
              <w:bottom w:w="90" w:type="dxa"/>
              <w:left w:w="110" w:type="dxa"/>
              <w:right w:w="110" w:type="dxa"/>
            </w:tcMar>
            <w:shd w:fill="F2F5F7"/>
          </w:tcPr>
          <w:p>
            <w:pPr>
              <w:spacing w:after="0" w:line="252" w:lineRule="auto"/>
            </w:pPr>
            <w:r>
              <w:rPr>
                <w:b w:val="0"/>
                <w:color w:val="000000"/>
                <w:sz w:val="19"/>
              </w:rPr>
              <w:t>Backend Python y Django</w:t>
            </w:r>
          </w:p>
        </w:tc>
        <w:tc>
          <w:tcPr>
            <w:tcW w:type="dxa" w:w="6803"/>
            <w:vAlign w:val="center"/>
            <w:tcMar>
              <w:top w:w="90" w:type="dxa"/>
              <w:bottom w:w="90" w:type="dxa"/>
              <w:left w:w="110" w:type="dxa"/>
              <w:right w:w="110" w:type="dxa"/>
            </w:tcMar>
            <w:shd w:fill="F2F5F7"/>
          </w:tcPr>
          <w:p>
            <w:pPr>
              <w:spacing w:after="0" w:line="252" w:lineRule="auto"/>
            </w:pPr>
            <w:r>
              <w:rPr>
                <w:b w:val="0"/>
                <w:color w:val="000000"/>
                <w:sz w:val="19"/>
              </w:rPr>
              <w:t>Validaciones, permisos, transacciones, asignación, inspección, resolución y cierre.</w:t>
            </w:r>
          </w:p>
        </w:tc>
      </w:tr>
      <w:tr>
        <w:trPr>
          <w:cantSplit/>
        </w:trPr>
        <w:tc>
          <w:tcPr>
            <w:tcW w:type="dxa" w:w="2835"/>
            <w:vAlign w:val="center"/>
            <w:tcMar>
              <w:top w:w="90" w:type="dxa"/>
              <w:bottom w:w="90" w:type="dxa"/>
              <w:left w:w="110" w:type="dxa"/>
              <w:right w:w="110" w:type="dxa"/>
            </w:tcMar>
            <w:shd w:fill="FFFFFF"/>
          </w:tcPr>
          <w:p>
            <w:pPr>
              <w:spacing w:after="0" w:line="252" w:lineRule="auto"/>
            </w:pPr>
            <w:r>
              <w:rPr>
                <w:b w:val="0"/>
                <w:color w:val="000000"/>
                <w:sz w:val="19"/>
              </w:rPr>
              <w:t>Base de datos</w:t>
            </w:r>
          </w:p>
        </w:tc>
        <w:tc>
          <w:tcPr>
            <w:tcW w:type="dxa" w:w="6803"/>
            <w:vAlign w:val="center"/>
            <w:tcMar>
              <w:top w:w="90" w:type="dxa"/>
              <w:bottom w:w="90" w:type="dxa"/>
              <w:left w:w="110" w:type="dxa"/>
              <w:right w:w="110" w:type="dxa"/>
            </w:tcMar>
            <w:shd w:fill="FFFFFF"/>
          </w:tcPr>
          <w:p>
            <w:pPr>
              <w:spacing w:after="0" w:line="252" w:lineRule="auto"/>
            </w:pPr>
            <w:r>
              <w:rPr>
                <w:b w:val="0"/>
                <w:color w:val="000000"/>
                <w:sz w:val="19"/>
              </w:rPr>
              <w:t>SQLite para desarrollo local y pruebas; configuración de PostgreSQL para el entorno autorizado.</w:t>
            </w:r>
          </w:p>
        </w:tc>
      </w:tr>
      <w:tr>
        <w:trPr>
          <w:cantSplit/>
        </w:trPr>
        <w:tc>
          <w:tcPr>
            <w:tcW w:type="dxa" w:w="2835"/>
            <w:vAlign w:val="center"/>
            <w:tcMar>
              <w:top w:w="90" w:type="dxa"/>
              <w:bottom w:w="90" w:type="dxa"/>
              <w:left w:w="110" w:type="dxa"/>
              <w:right w:w="110" w:type="dxa"/>
            </w:tcMar>
            <w:shd w:fill="F2F5F7"/>
          </w:tcPr>
          <w:p>
            <w:pPr>
              <w:spacing w:after="0" w:line="252" w:lineRule="auto"/>
            </w:pPr>
            <w:r>
              <w:rPr>
                <w:b w:val="0"/>
                <w:color w:val="000000"/>
                <w:sz w:val="19"/>
              </w:rPr>
              <w:t>Archivos privados</w:t>
            </w:r>
          </w:p>
        </w:tc>
        <w:tc>
          <w:tcPr>
            <w:tcW w:type="dxa" w:w="6803"/>
            <w:vAlign w:val="center"/>
            <w:tcMar>
              <w:top w:w="90" w:type="dxa"/>
              <w:bottom w:w="90" w:type="dxa"/>
              <w:left w:w="110" w:type="dxa"/>
              <w:right w:w="110" w:type="dxa"/>
            </w:tcMar>
            <w:shd w:fill="F2F5F7"/>
          </w:tcPr>
          <w:p>
            <w:pPr>
              <w:spacing w:after="0" w:line="252" w:lineRule="auto"/>
            </w:pPr>
            <w:r>
              <w:rPr>
                <w:b w:val="0"/>
                <w:color w:val="000000"/>
                <w:sz w:val="19"/>
              </w:rPr>
              <w:t>PDF de origen y evidencias, vinculados a solicitudes e inspecciones.</w:t>
            </w:r>
          </w:p>
        </w:tc>
      </w:tr>
      <w:tr>
        <w:trPr>
          <w:cantSplit/>
        </w:trPr>
        <w:tc>
          <w:tcPr>
            <w:tcW w:type="dxa" w:w="2835"/>
            <w:vAlign w:val="center"/>
            <w:tcMar>
              <w:top w:w="90" w:type="dxa"/>
              <w:bottom w:w="90" w:type="dxa"/>
              <w:left w:w="110" w:type="dxa"/>
              <w:right w:w="110" w:type="dxa"/>
            </w:tcMar>
            <w:shd w:fill="FFFFFF"/>
          </w:tcPr>
          <w:p>
            <w:pPr>
              <w:spacing w:after="0" w:line="252" w:lineRule="auto"/>
            </w:pPr>
            <w:r>
              <w:rPr>
                <w:b w:val="0"/>
                <w:color w:val="000000"/>
                <w:sz w:val="19"/>
              </w:rPr>
              <w:t>Proceso de correo</w:t>
            </w:r>
          </w:p>
        </w:tc>
        <w:tc>
          <w:tcPr>
            <w:tcW w:type="dxa" w:w="6803"/>
            <w:vAlign w:val="center"/>
            <w:tcMar>
              <w:top w:w="90" w:type="dxa"/>
              <w:bottom w:w="90" w:type="dxa"/>
              <w:left w:w="110" w:type="dxa"/>
              <w:right w:w="110" w:type="dxa"/>
            </w:tcMar>
            <w:shd w:fill="FFFFFF"/>
          </w:tcPr>
          <w:p>
            <w:pPr>
              <w:spacing w:after="0" w:line="252" w:lineRule="auto"/>
            </w:pPr>
            <w:r>
              <w:rPr>
                <w:b w:val="0"/>
                <w:color w:val="000000"/>
                <w:sz w:val="19"/>
              </w:rPr>
              <w:t>Consulta del buzón IMAP y procesamiento posterior de avisos SMTP con reintentos.</w:t>
            </w:r>
          </w:p>
        </w:tc>
      </w:tr>
    </w:tbl>
    <w:p>
      <w:pPr>
        <w:spacing w:after="0"/>
      </w:pPr>
    </w:p>
    <w:p>
      <w:pPr>
        <w:pStyle w:val="Heading2"/>
      </w:pPr>
      <w:r>
        <w:t>Información que conserva</w:t>
      </w:r>
    </w:p>
    <w:p>
      <w:r>
        <w:t>El modelo relaciona áreas y perfiles con usuarios; SDI con sus productos; productos con inspecciones; e inspecciones con criterios visuales, evidencias, rechazos y concesiones. Cada SDI también tiene documentos originales, historial de acciones y notificaciones.</w:t>
      </w:r>
    </w:p>
    <w:p>
      <w:r>
        <w:t>Se diferencian el departamento solicitante y el área del inspector. También se conservan por separado las cantidades indicadas, previstas para inspección, inspeccionadas, aprobadas y liberadas. El historial identifica acción, fecha y usuario para reconstruir el recorrido.</w:t>
      </w:r>
    </w:p>
    <w:p>
      <w:pPr>
        <w:pStyle w:val="Heading2"/>
      </w:pPr>
      <w:r>
        <w:t>Controles ya incorporados</w:t>
      </w:r>
    </w:p>
    <w:p>
      <w:pPr>
        <w:pStyle w:val="ListBullet"/>
      </w:pPr>
      <w:r>
        <w:t>Validación en servidor de roles, perfiles activos, datos obligatorios y límites de cantidades.</w:t>
      </w:r>
    </w:p>
    <w:p>
      <w:pPr>
        <w:pStyle w:val="ListBullet"/>
      </w:pPr>
      <w:r>
        <w:t>Descarga autorizada de archivos y límites de procesamiento: PDF de hasta 20 MB y 100 páginas; evidencias de hasta 20 MB.</w:t>
      </w:r>
    </w:p>
    <w:p>
      <w:pPr>
        <w:pStyle w:val="ListBullet"/>
      </w:pPr>
      <w:r>
        <w:t>Operaciones con transacciones y controles de integridad; comprobación de concurrencia en PostgreSQL pendiente.</w:t>
      </w:r>
    </w:p>
    <w:p>
      <w:pPr>
        <w:pStyle w:val="ListBullet"/>
      </w:pPr>
      <w:r>
        <w:t>Restricción del borrado de SDI e inspecciones. La retirada de un producto elegible deja su descripción en el historial.</w:t>
      </w:r>
    </w:p>
    <w:p>
      <w:pPr>
        <w:pStyle w:val="Heading2"/>
      </w:pPr>
      <w:r>
        <w:t>Condiciones para operar</w:t>
      </w:r>
    </w:p>
    <w:p>
      <w:r>
        <w:t>El entorno local permite aplicar migraciones y crear cuentas de gestión e inspector sin intervenir PostgreSQL. El correo dispone de una configuración de ejemplo, pero deben definirse proveedor, buzón, remitente, permisos y servicio de procesamiento. Los avisos quedan en cola hasta completar esa configuración.</w:t>
      </w:r>
    </w:p>
    <w:p>
      <w:r>
        <w:t>El despliegue requiere un ambiente autorizado, HTTPS, secretos administrados, servicio de correo supervisado y respaldo conjunto de base de datos y archivos. La recuperación debe ensayarse antes de usarlo en producción. Todavía no se acredita una instalación productiva ni una entrega aceptada por la empresa.</w:t>
      </w:r>
    </w:p>
    <w:p>
      <w:r>
        <w:br w:type="page"/>
      </w:r>
    </w:p>
    <w:p>
      <w:pPr>
        <w:pStyle w:val="Heading1"/>
      </w:pPr>
      <w:r>
        <w:t>Qué falta y qué debemos decidir</w:t>
      </w:r>
    </w:p>
    <w:p>
      <w:r>
        <w:t>La prioridad es comprobar el recorrido con quienes lo usarán y cerrar las condiciones de operación. La ampliación de pantallas y automatizaciones dependerá del alcance acordado.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2948"/>
        <w:gridCol w:w="5556"/>
      </w:tblGrid>
      <w:tr>
        <w:trPr>
          <w:cantSplit/>
          <w:tblHeader/>
        </w:trPr>
        <w:tc>
          <w:tcPr>
            <w:tcW w:type="dxa" w:w="1134"/>
            <w:vAlign w:val="center"/>
            <w:tcMar>
              <w:top w:w="90" w:type="dxa"/>
              <w:bottom w:w="90" w:type="dxa"/>
              <w:left w:w="110" w:type="dxa"/>
              <w:right w:w="110" w:type="dxa"/>
            </w:tcMar>
            <w:shd w:fill="002B49"/>
          </w:tcPr>
          <w:p>
            <w:pPr>
              <w:spacing w:after="0" w:line="252" w:lineRule="auto"/>
            </w:pPr>
            <w:r>
              <w:rPr>
                <w:b/>
                <w:color w:val="FFFFFF"/>
                <w:sz w:val="19"/>
              </w:rPr>
              <w:t>Prioridad</w:t>
            </w:r>
          </w:p>
        </w:tc>
        <w:tc>
          <w:tcPr>
            <w:tcW w:type="dxa" w:w="2948"/>
            <w:vAlign w:val="center"/>
            <w:tcMar>
              <w:top w:w="90" w:type="dxa"/>
              <w:bottom w:w="90" w:type="dxa"/>
              <w:left w:w="110" w:type="dxa"/>
              <w:right w:w="110" w:type="dxa"/>
            </w:tcMar>
            <w:shd w:fill="002B49"/>
          </w:tcPr>
          <w:p>
            <w:pPr>
              <w:spacing w:after="0" w:line="252" w:lineRule="auto"/>
            </w:pPr>
            <w:r>
              <w:rPr>
                <w:b/>
                <w:color w:val="FFFFFF"/>
                <w:sz w:val="19"/>
              </w:rPr>
              <w:t>Pendiente</w:t>
            </w:r>
          </w:p>
        </w:tc>
        <w:tc>
          <w:tcPr>
            <w:tcW w:type="dxa" w:w="5556"/>
            <w:vAlign w:val="center"/>
            <w:tcMar>
              <w:top w:w="90" w:type="dxa"/>
              <w:bottom w:w="90" w:type="dxa"/>
              <w:left w:w="110" w:type="dxa"/>
              <w:right w:w="110" w:type="dxa"/>
            </w:tcMar>
            <w:shd w:fill="002B49"/>
          </w:tcPr>
          <w:p>
            <w:pPr>
              <w:spacing w:after="0" w:line="252" w:lineRule="auto"/>
              <w:jc w:val="center"/>
            </w:pPr>
            <w:r>
              <w:rPr>
                <w:b/>
                <w:color w:val="FFFFFF"/>
                <w:sz w:val="19"/>
              </w:rPr>
              <w:t>Condición para completarlo</w:t>
            </w:r>
          </w:p>
        </w:tc>
      </w:tr>
      <w:tr>
        <w:trPr>
          <w:cantSplit/>
        </w:trPr>
        <w:tc>
          <w:tcPr>
            <w:tcW w:type="dxa" w:w="1134"/>
            <w:vAlign w:val="center"/>
            <w:tcMar>
              <w:top w:w="90" w:type="dxa"/>
              <w:bottom w:w="90" w:type="dxa"/>
              <w:left w:w="110" w:type="dxa"/>
              <w:right w:w="110" w:type="dxa"/>
            </w:tcMar>
            <w:shd w:fill="FFFFFF"/>
          </w:tcPr>
          <w:p>
            <w:pPr>
              <w:spacing w:after="0" w:line="252" w:lineRule="auto"/>
            </w:pPr>
            <w:r>
              <w:rPr>
                <w:b w:val="0"/>
                <w:color w:val="000000"/>
                <w:sz w:val="19"/>
              </w:rPr>
              <w:t>Alta</w:t>
            </w:r>
          </w:p>
        </w:tc>
        <w:tc>
          <w:tcPr>
            <w:tcW w:type="dxa" w:w="2948"/>
            <w:vAlign w:val="center"/>
            <w:tcMar>
              <w:top w:w="90" w:type="dxa"/>
              <w:bottom w:w="90" w:type="dxa"/>
              <w:left w:w="110" w:type="dxa"/>
              <w:right w:w="110" w:type="dxa"/>
            </w:tcMar>
            <w:shd w:fill="FFFFFF"/>
          </w:tcPr>
          <w:p>
            <w:pPr>
              <w:spacing w:after="0" w:line="252" w:lineRule="auto"/>
            </w:pPr>
            <w:r>
              <w:rPr>
                <w:b w:val="0"/>
                <w:color w:val="000000"/>
                <w:sz w:val="19"/>
              </w:rPr>
              <w:t>Validación empresarial y roles</w:t>
            </w:r>
          </w:p>
        </w:tc>
        <w:tc>
          <w:tcPr>
            <w:tcW w:type="dxa" w:w="5556"/>
            <w:vAlign w:val="center"/>
            <w:tcMar>
              <w:top w:w="90" w:type="dxa"/>
              <w:bottom w:w="90" w:type="dxa"/>
              <w:left w:w="110" w:type="dxa"/>
              <w:right w:w="110" w:type="dxa"/>
            </w:tcMar>
            <w:shd w:fill="FFFFFF"/>
          </w:tcPr>
          <w:p>
            <w:pPr>
              <w:spacing w:after="0" w:line="252" w:lineRule="auto"/>
              <w:jc w:val="center"/>
            </w:pPr>
            <w:r>
              <w:rPr>
                <w:b w:val="0"/>
                <w:color w:val="000000"/>
                <w:sz w:val="19"/>
              </w:rPr>
              <w:t>Ejecutar recepción, asignación, inspección, resolución y cierre; registrar observaciones y aceptación.</w:t>
            </w:r>
          </w:p>
        </w:tc>
      </w:tr>
      <w:tr>
        <w:trPr>
          <w:cantSplit/>
        </w:trPr>
        <w:tc>
          <w:tcPr>
            <w:tcW w:type="dxa" w:w="1134"/>
            <w:vAlign w:val="center"/>
            <w:tcMar>
              <w:top w:w="90" w:type="dxa"/>
              <w:bottom w:w="90" w:type="dxa"/>
              <w:left w:w="110" w:type="dxa"/>
              <w:right w:w="110" w:type="dxa"/>
            </w:tcMar>
            <w:shd w:fill="F2F5F7"/>
          </w:tcPr>
          <w:p>
            <w:pPr>
              <w:spacing w:after="0" w:line="252" w:lineRule="auto"/>
            </w:pPr>
            <w:r>
              <w:rPr>
                <w:b w:val="0"/>
                <w:color w:val="000000"/>
                <w:sz w:val="19"/>
              </w:rPr>
              <w:t>Alta</w:t>
            </w:r>
          </w:p>
        </w:tc>
        <w:tc>
          <w:tcPr>
            <w:tcW w:type="dxa" w:w="2948"/>
            <w:vAlign w:val="center"/>
            <w:tcMar>
              <w:top w:w="90" w:type="dxa"/>
              <w:bottom w:w="90" w:type="dxa"/>
              <w:left w:w="110" w:type="dxa"/>
              <w:right w:w="110" w:type="dxa"/>
            </w:tcMar>
            <w:shd w:fill="F2F5F7"/>
          </w:tcPr>
          <w:p>
            <w:pPr>
              <w:spacing w:after="0" w:line="252" w:lineRule="auto"/>
            </w:pPr>
            <w:r>
              <w:rPr>
                <w:b w:val="0"/>
                <w:color w:val="000000"/>
                <w:sz w:val="19"/>
              </w:rPr>
              <w:t>Usuarios y áreas reales</w:t>
            </w:r>
          </w:p>
        </w:tc>
        <w:tc>
          <w:tcPr>
            <w:tcW w:type="dxa" w:w="5556"/>
            <w:vAlign w:val="center"/>
            <w:tcMar>
              <w:top w:w="90" w:type="dxa"/>
              <w:bottom w:w="90" w:type="dxa"/>
              <w:left w:w="110" w:type="dxa"/>
              <w:right w:w="110" w:type="dxa"/>
            </w:tcMar>
            <w:shd w:fill="F2F5F7"/>
          </w:tcPr>
          <w:p>
            <w:pPr>
              <w:spacing w:after="0" w:line="252" w:lineRule="auto"/>
              <w:jc w:val="center"/>
            </w:pPr>
            <w:r>
              <w:rPr>
                <w:b w:val="0"/>
                <w:color w:val="000000"/>
                <w:sz w:val="19"/>
              </w:rPr>
              <w:t>Crear perfiles activos y comprobar el acceso de gestión, inspector y usuarios no autorizados.</w:t>
            </w:r>
          </w:p>
        </w:tc>
      </w:tr>
      <w:tr>
        <w:trPr>
          <w:cantSplit/>
        </w:trPr>
        <w:tc>
          <w:tcPr>
            <w:tcW w:type="dxa" w:w="1134"/>
            <w:vAlign w:val="center"/>
            <w:tcMar>
              <w:top w:w="90" w:type="dxa"/>
              <w:bottom w:w="90" w:type="dxa"/>
              <w:left w:w="110" w:type="dxa"/>
              <w:right w:w="110" w:type="dxa"/>
            </w:tcMar>
            <w:shd w:fill="FFFFFF"/>
          </w:tcPr>
          <w:p>
            <w:pPr>
              <w:spacing w:after="0" w:line="252" w:lineRule="auto"/>
            </w:pPr>
            <w:r>
              <w:rPr>
                <w:b w:val="0"/>
                <w:color w:val="000000"/>
                <w:sz w:val="19"/>
              </w:rPr>
              <w:t>Alta</w:t>
            </w:r>
          </w:p>
        </w:tc>
        <w:tc>
          <w:tcPr>
            <w:tcW w:type="dxa" w:w="2948"/>
            <w:vAlign w:val="center"/>
            <w:tcMar>
              <w:top w:w="90" w:type="dxa"/>
              <w:bottom w:w="90" w:type="dxa"/>
              <w:left w:w="110" w:type="dxa"/>
              <w:right w:w="110" w:type="dxa"/>
            </w:tcMar>
            <w:shd w:fill="FFFFFF"/>
          </w:tcPr>
          <w:p>
            <w:pPr>
              <w:spacing w:after="0" w:line="252" w:lineRule="auto"/>
            </w:pPr>
            <w:r>
              <w:rPr>
                <w:b w:val="0"/>
                <w:color w:val="000000"/>
                <w:sz w:val="19"/>
              </w:rPr>
              <w:t>PDF reales</w:t>
            </w:r>
          </w:p>
        </w:tc>
        <w:tc>
          <w:tcPr>
            <w:tcW w:type="dxa" w:w="5556"/>
            <w:vAlign w:val="center"/>
            <w:tcMar>
              <w:top w:w="90" w:type="dxa"/>
              <w:bottom w:w="90" w:type="dxa"/>
              <w:left w:w="110" w:type="dxa"/>
              <w:right w:w="110" w:type="dxa"/>
            </w:tcMar>
            <w:shd w:fill="FFFFFF"/>
          </w:tcPr>
          <w:p>
            <w:pPr>
              <w:spacing w:after="0" w:line="252" w:lineRule="auto"/>
              <w:jc w:val="center"/>
            </w:pPr>
            <w:r>
              <w:rPr>
                <w:b w:val="0"/>
                <w:color w:val="000000"/>
                <w:sz w:val="19"/>
              </w:rPr>
              <w:t>Probar formatos autorizados, documentar campos reconocidos y decidir si hace falta OCR.</w:t>
            </w:r>
          </w:p>
        </w:tc>
      </w:tr>
      <w:tr>
        <w:trPr>
          <w:cantSplit/>
        </w:trPr>
        <w:tc>
          <w:tcPr>
            <w:tcW w:type="dxa" w:w="1134"/>
            <w:vAlign w:val="center"/>
            <w:tcMar>
              <w:top w:w="90" w:type="dxa"/>
              <w:bottom w:w="90" w:type="dxa"/>
              <w:left w:w="110" w:type="dxa"/>
              <w:right w:w="110" w:type="dxa"/>
            </w:tcMar>
            <w:shd w:fill="F2F5F7"/>
          </w:tcPr>
          <w:p>
            <w:pPr>
              <w:spacing w:after="0" w:line="252" w:lineRule="auto"/>
            </w:pPr>
            <w:r>
              <w:rPr>
                <w:b w:val="0"/>
                <w:color w:val="000000"/>
                <w:sz w:val="19"/>
              </w:rPr>
              <w:t>Alta</w:t>
            </w:r>
          </w:p>
        </w:tc>
        <w:tc>
          <w:tcPr>
            <w:tcW w:type="dxa" w:w="2948"/>
            <w:vAlign w:val="center"/>
            <w:tcMar>
              <w:top w:w="90" w:type="dxa"/>
              <w:bottom w:w="90" w:type="dxa"/>
              <w:left w:w="110" w:type="dxa"/>
              <w:right w:w="110" w:type="dxa"/>
            </w:tcMar>
            <w:shd w:fill="F2F5F7"/>
          </w:tcPr>
          <w:p>
            <w:pPr>
              <w:spacing w:after="0" w:line="252" w:lineRule="auto"/>
            </w:pPr>
            <w:r>
              <w:rPr>
                <w:b w:val="0"/>
                <w:color w:val="000000"/>
                <w:sz w:val="19"/>
              </w:rPr>
              <w:t>Comunicación y correo</w:t>
            </w:r>
          </w:p>
        </w:tc>
        <w:tc>
          <w:tcPr>
            <w:tcW w:type="dxa" w:w="5556"/>
            <w:vAlign w:val="center"/>
            <w:tcMar>
              <w:top w:w="90" w:type="dxa"/>
              <w:bottom w:w="90" w:type="dxa"/>
              <w:left w:w="110" w:type="dxa"/>
              <w:right w:w="110" w:type="dxa"/>
            </w:tcMar>
            <w:shd w:fill="F2F5F7"/>
          </w:tcPr>
          <w:p>
            <w:pPr>
              <w:spacing w:after="0" w:line="252" w:lineRule="auto"/>
              <w:jc w:val="center"/>
            </w:pPr>
            <w:r>
              <w:rPr>
                <w:b w:val="0"/>
                <w:color w:val="000000"/>
                <w:sz w:val="19"/>
              </w:rPr>
              <w:t>Acordar si se requiere acuse de recepción; configurar buzón y comprobar recepción, envío y reintentos.</w:t>
            </w:r>
          </w:p>
        </w:tc>
      </w:tr>
      <w:tr>
        <w:trPr>
          <w:cantSplit/>
        </w:trPr>
        <w:tc>
          <w:tcPr>
            <w:tcW w:type="dxa" w:w="1134"/>
            <w:vAlign w:val="center"/>
            <w:tcMar>
              <w:top w:w="90" w:type="dxa"/>
              <w:bottom w:w="90" w:type="dxa"/>
              <w:left w:w="110" w:type="dxa"/>
              <w:right w:w="110" w:type="dxa"/>
            </w:tcMar>
            <w:shd w:fill="FFFFFF"/>
          </w:tcPr>
          <w:p>
            <w:pPr>
              <w:spacing w:after="0" w:line="252" w:lineRule="auto"/>
            </w:pPr>
            <w:r>
              <w:rPr>
                <w:b w:val="0"/>
                <w:color w:val="000000"/>
                <w:sz w:val="19"/>
              </w:rPr>
              <w:t>Alta</w:t>
            </w:r>
          </w:p>
        </w:tc>
        <w:tc>
          <w:tcPr>
            <w:tcW w:type="dxa" w:w="2948"/>
            <w:vAlign w:val="center"/>
            <w:tcMar>
              <w:top w:w="90" w:type="dxa"/>
              <w:bottom w:w="90" w:type="dxa"/>
              <w:left w:w="110" w:type="dxa"/>
              <w:right w:w="110" w:type="dxa"/>
            </w:tcMar>
            <w:shd w:fill="FFFFFF"/>
          </w:tcPr>
          <w:p>
            <w:pPr>
              <w:spacing w:after="0" w:line="252" w:lineRule="auto"/>
            </w:pPr>
            <w:r>
              <w:rPr>
                <w:b w:val="0"/>
                <w:color w:val="000000"/>
                <w:sz w:val="19"/>
              </w:rPr>
              <w:t>PostgreSQL y despliegue</w:t>
            </w:r>
          </w:p>
        </w:tc>
        <w:tc>
          <w:tcPr>
            <w:tcW w:type="dxa" w:w="5556"/>
            <w:vAlign w:val="center"/>
            <w:tcMar>
              <w:top w:w="90" w:type="dxa"/>
              <w:bottom w:w="90" w:type="dxa"/>
              <w:left w:w="110" w:type="dxa"/>
              <w:right w:w="110" w:type="dxa"/>
            </w:tcMar>
            <w:shd w:fill="FFFFFF"/>
          </w:tcPr>
          <w:p>
            <w:pPr>
              <w:spacing w:after="0" w:line="252" w:lineRule="auto"/>
              <w:jc w:val="center"/>
            </w:pPr>
            <w:r>
              <w:rPr>
                <w:b w:val="0"/>
                <w:color w:val="000000"/>
                <w:sz w:val="19"/>
              </w:rPr>
              <w:t>Validar migraciones, integridad, concurrencia, instalación limpia e infraestructura autorizada.</w:t>
            </w:r>
          </w:p>
        </w:tc>
      </w:tr>
      <w:tr>
        <w:trPr>
          <w:cantSplit/>
        </w:trPr>
        <w:tc>
          <w:tcPr>
            <w:tcW w:type="dxa" w:w="1134"/>
            <w:vAlign w:val="center"/>
            <w:tcMar>
              <w:top w:w="90" w:type="dxa"/>
              <w:bottom w:w="90" w:type="dxa"/>
              <w:left w:w="110" w:type="dxa"/>
              <w:right w:w="110" w:type="dxa"/>
            </w:tcMar>
            <w:shd w:fill="F2F5F7"/>
          </w:tcPr>
          <w:p>
            <w:pPr>
              <w:spacing w:after="0" w:line="252" w:lineRule="auto"/>
            </w:pPr>
            <w:r>
              <w:rPr>
                <w:b w:val="0"/>
                <w:color w:val="000000"/>
                <w:sz w:val="19"/>
              </w:rPr>
              <w:t>Alta</w:t>
            </w:r>
          </w:p>
        </w:tc>
        <w:tc>
          <w:tcPr>
            <w:tcW w:type="dxa" w:w="2948"/>
            <w:vAlign w:val="center"/>
            <w:tcMar>
              <w:top w:w="90" w:type="dxa"/>
              <w:bottom w:w="90" w:type="dxa"/>
              <w:left w:w="110" w:type="dxa"/>
              <w:right w:w="110" w:type="dxa"/>
            </w:tcMar>
            <w:shd w:fill="F2F5F7"/>
          </w:tcPr>
          <w:p>
            <w:pPr>
              <w:spacing w:after="0" w:line="252" w:lineRule="auto"/>
            </w:pPr>
            <w:r>
              <w:rPr>
                <w:b w:val="0"/>
                <w:color w:val="000000"/>
                <w:sz w:val="19"/>
              </w:rPr>
              <w:t>Respaldo y recuperación</w:t>
            </w:r>
          </w:p>
        </w:tc>
        <w:tc>
          <w:tcPr>
            <w:tcW w:type="dxa" w:w="5556"/>
            <w:vAlign w:val="center"/>
            <w:tcMar>
              <w:top w:w="90" w:type="dxa"/>
              <w:bottom w:w="90" w:type="dxa"/>
              <w:left w:w="110" w:type="dxa"/>
              <w:right w:w="110" w:type="dxa"/>
            </w:tcMar>
            <w:shd w:fill="F2F5F7"/>
          </w:tcPr>
          <w:p>
            <w:pPr>
              <w:spacing w:after="0" w:line="252" w:lineRule="auto"/>
              <w:jc w:val="center"/>
            </w:pPr>
            <w:r>
              <w:rPr>
                <w:b w:val="0"/>
                <w:color w:val="000000"/>
                <w:sz w:val="19"/>
              </w:rPr>
              <w:t>Restaurar base de datos y documentos y comprobar que el circuito puede continuar.</w:t>
            </w:r>
          </w:p>
        </w:tc>
      </w:tr>
      <w:tr>
        <w:trPr>
          <w:cantSplit/>
        </w:trPr>
        <w:tc>
          <w:tcPr>
            <w:tcW w:type="dxa" w:w="1134"/>
            <w:vAlign w:val="center"/>
            <w:tcMar>
              <w:top w:w="90" w:type="dxa"/>
              <w:bottom w:w="90" w:type="dxa"/>
              <w:left w:w="110" w:type="dxa"/>
              <w:right w:w="110" w:type="dxa"/>
            </w:tcMar>
            <w:shd w:fill="FFFFFF"/>
          </w:tcPr>
          <w:p>
            <w:pPr>
              <w:spacing w:after="0" w:line="252" w:lineRule="auto"/>
            </w:pPr>
            <w:r>
              <w:rPr>
                <w:b w:val="0"/>
                <w:color w:val="000000"/>
                <w:sz w:val="19"/>
              </w:rPr>
              <w:t>Media</w:t>
            </w:r>
          </w:p>
        </w:tc>
        <w:tc>
          <w:tcPr>
            <w:tcW w:type="dxa" w:w="2948"/>
            <w:vAlign w:val="center"/>
            <w:tcMar>
              <w:top w:w="90" w:type="dxa"/>
              <w:bottom w:w="90" w:type="dxa"/>
              <w:left w:w="110" w:type="dxa"/>
              <w:right w:w="110" w:type="dxa"/>
            </w:tcMar>
            <w:shd w:fill="FFFFFF"/>
          </w:tcPr>
          <w:p>
            <w:pPr>
              <w:spacing w:after="0" w:line="252" w:lineRule="auto"/>
            </w:pPr>
            <w:r>
              <w:rPr>
                <w:b w:val="0"/>
                <w:color w:val="000000"/>
                <w:sz w:val="19"/>
              </w:rPr>
              <w:t>Concesiones e Ingeniería</w:t>
            </w:r>
          </w:p>
        </w:tc>
        <w:tc>
          <w:tcPr>
            <w:tcW w:type="dxa" w:w="5556"/>
            <w:vAlign w:val="center"/>
            <w:tcMar>
              <w:top w:w="90" w:type="dxa"/>
              <w:bottom w:w="90" w:type="dxa"/>
              <w:left w:w="110" w:type="dxa"/>
              <w:right w:w="110" w:type="dxa"/>
            </w:tcMar>
            <w:shd w:fill="FFFFFF"/>
          </w:tcPr>
          <w:p>
            <w:pPr>
              <w:spacing w:after="0" w:line="252" w:lineRule="auto"/>
              <w:jc w:val="center"/>
            </w:pPr>
            <w:r>
              <w:rPr>
                <w:b w:val="0"/>
                <w:color w:val="000000"/>
                <w:sz w:val="19"/>
              </w:rPr>
              <w:t>Acordar quién solicita, quién autoriza y qué evidencia respalda la decisión.</w:t>
            </w:r>
          </w:p>
        </w:tc>
      </w:tr>
      <w:tr>
        <w:trPr>
          <w:cantSplit/>
        </w:trPr>
        <w:tc>
          <w:tcPr>
            <w:tcW w:type="dxa" w:w="1134"/>
            <w:vAlign w:val="center"/>
            <w:tcMar>
              <w:top w:w="90" w:type="dxa"/>
              <w:bottom w:w="90" w:type="dxa"/>
              <w:left w:w="110" w:type="dxa"/>
              <w:right w:w="110" w:type="dxa"/>
            </w:tcMar>
            <w:shd w:fill="F2F5F7"/>
          </w:tcPr>
          <w:p>
            <w:pPr>
              <w:spacing w:after="0" w:line="252" w:lineRule="auto"/>
            </w:pPr>
            <w:r>
              <w:rPr>
                <w:b w:val="0"/>
                <w:color w:val="000000"/>
                <w:sz w:val="19"/>
              </w:rPr>
              <w:t>Media</w:t>
            </w:r>
          </w:p>
        </w:tc>
        <w:tc>
          <w:tcPr>
            <w:tcW w:type="dxa" w:w="2948"/>
            <w:vAlign w:val="center"/>
            <w:tcMar>
              <w:top w:w="90" w:type="dxa"/>
              <w:bottom w:w="90" w:type="dxa"/>
              <w:left w:w="110" w:type="dxa"/>
              <w:right w:w="110" w:type="dxa"/>
            </w:tcMar>
            <w:shd w:fill="F2F5F7"/>
          </w:tcPr>
          <w:p>
            <w:pPr>
              <w:spacing w:after="0" w:line="252" w:lineRule="auto"/>
            </w:pPr>
            <w:r>
              <w:rPr>
                <w:b w:val="0"/>
                <w:color w:val="000000"/>
                <w:sz w:val="19"/>
              </w:rPr>
              <w:t>Paneles y exportaciones conectados</w:t>
            </w:r>
          </w:p>
        </w:tc>
        <w:tc>
          <w:tcPr>
            <w:tcW w:type="dxa" w:w="5556"/>
            <w:vAlign w:val="center"/>
            <w:tcMar>
              <w:top w:w="90" w:type="dxa"/>
              <w:bottom w:w="90" w:type="dxa"/>
              <w:left w:w="110" w:type="dxa"/>
              <w:right w:w="110" w:type="dxa"/>
            </w:tcMar>
            <w:shd w:fill="F2F5F7"/>
          </w:tcPr>
          <w:p>
            <w:pPr>
              <w:spacing w:after="0" w:line="252" w:lineRule="auto"/>
              <w:jc w:val="center"/>
            </w:pPr>
            <w:r>
              <w:rPr>
                <w:b w:val="0"/>
                <w:color w:val="000000"/>
                <w:sz w:val="19"/>
              </w:rPr>
              <w:t>Priorizar funciones demo y conectarlas a registros reales con métricas claramente definidas.</w:t>
            </w:r>
          </w:p>
        </w:tc>
      </w:tr>
      <w:tr>
        <w:trPr>
          <w:cantSplit/>
        </w:trPr>
        <w:tc>
          <w:tcPr>
            <w:tcW w:type="dxa" w:w="1134"/>
            <w:vAlign w:val="center"/>
            <w:tcMar>
              <w:top w:w="90" w:type="dxa"/>
              <w:bottom w:w="90" w:type="dxa"/>
              <w:left w:w="110" w:type="dxa"/>
              <w:right w:w="110" w:type="dxa"/>
            </w:tcMar>
            <w:shd w:fill="FFFFFF"/>
          </w:tcPr>
          <w:p>
            <w:pPr>
              <w:spacing w:after="0" w:line="252" w:lineRule="auto"/>
            </w:pPr>
            <w:r>
              <w:rPr>
                <w:b w:val="0"/>
                <w:color w:val="000000"/>
                <w:sz w:val="19"/>
              </w:rPr>
              <w:t>Media</w:t>
            </w:r>
          </w:p>
        </w:tc>
        <w:tc>
          <w:tcPr>
            <w:tcW w:type="dxa" w:w="2948"/>
            <w:vAlign w:val="center"/>
            <w:tcMar>
              <w:top w:w="90" w:type="dxa"/>
              <w:bottom w:w="90" w:type="dxa"/>
              <w:left w:w="110" w:type="dxa"/>
              <w:right w:w="110" w:type="dxa"/>
            </w:tcMar>
            <w:shd w:fill="FFFFFF"/>
          </w:tcPr>
          <w:p>
            <w:pPr>
              <w:spacing w:after="0" w:line="252" w:lineRule="auto"/>
            </w:pPr>
            <w:r>
              <w:rPr>
                <w:b w:val="0"/>
                <w:color w:val="000000"/>
                <w:sz w:val="19"/>
              </w:rPr>
              <w:t>Versión y aceptación formal</w:t>
            </w:r>
          </w:p>
        </w:tc>
        <w:tc>
          <w:tcPr>
            <w:tcW w:type="dxa" w:w="5556"/>
            <w:vAlign w:val="center"/>
            <w:tcMar>
              <w:top w:w="90" w:type="dxa"/>
              <w:bottom w:w="90" w:type="dxa"/>
              <w:left w:w="110" w:type="dxa"/>
              <w:right w:w="110" w:type="dxa"/>
            </w:tcMar>
            <w:shd w:fill="FFFFFF"/>
          </w:tcPr>
          <w:p>
            <w:pPr>
              <w:spacing w:after="0" w:line="252" w:lineRule="auto"/>
              <w:jc w:val="center"/>
            </w:pPr>
            <w:r>
              <w:rPr>
                <w:b w:val="0"/>
                <w:color w:val="000000"/>
                <w:sz w:val="19"/>
              </w:rPr>
              <w:t>Identificar commit, registrar evidencias y completar informe de entrega y acta.</w:t>
            </w:r>
          </w:p>
        </w:tc>
      </w:tr>
    </w:tbl>
    <w:p>
      <w:pPr>
        <w:spacing w:after="0"/>
      </w:pPr>
    </w:p>
    <w:p>
      <w:pPr>
        <w:pStyle w:val="Heading2"/>
      </w:pPr>
      <w:r>
        <w:t>Pendientes de gestión y revisión académica</w:t>
      </w:r>
    </w:p>
    <w:p>
      <w:pPr>
        <w:pStyle w:val="ListBullet"/>
      </w:pPr>
      <w:r>
        <w:t>Documentar el proceso actual con entrevistas u observación y ejemplos revisados por la contraparte. Levantar una línea base para medir mejoras.</w:t>
      </w:r>
    </w:p>
    <w:p>
      <w:pPr>
        <w:pStyle w:val="ListBullet"/>
      </w:pPr>
      <w:r>
        <w:t>Confirmar el alcance mínimo y registrar las funciones adicionales ya incorporadas, como evidencias y correo, frente al anteproyecto.</w:t>
      </w:r>
    </w:p>
    <w:p>
      <w:pPr>
        <w:pStyle w:val="ListBullet"/>
      </w:pPr>
      <w:r>
        <w:t>Formalizar integrantes o modalidad individual, responsables, dedicación semanal, reuniones y tablero de seguimiento.</w:t>
      </w:r>
    </w:p>
    <w:p>
      <w:pPr>
        <w:pStyle w:val="ListBullet"/>
      </w:pPr>
      <w:r>
        <w:t>Actualizar el cronograma según el avance real y completar evidencias, requisitos aprobados y revisión institucional.</w:t>
      </w:r>
    </w:p>
    <w:p>
      <w:pPr>
        <w:pStyle w:val="Heading2"/>
      </w:pPr>
      <w:r>
        <w:t>Aspectos que requieren atención</w:t>
      </w:r>
    </w:p>
    <w:p>
      <w:r>
        <w:t>Los formatos PDF variables pueden producir lecturas incompletas; el correo depende del proveedor; y SQLite no prueba la concurrencia de PostgreSQL. La demostración debe identificarse durante las presentaciones para que sus datos y gráficos no se confundan con resultados operativos. Los tiempos de respuesta y la facilidad de uso se medirán con el volumen y los usuarios reales.</w:t>
      </w:r>
    </w:p>
    <w:p>
      <w:r>
        <w:br w:type="page"/>
      </w:r>
    </w:p>
    <w:p>
      <w:pPr>
        <w:pStyle w:val="Heading1"/>
      </w:pPr>
      <w:r>
        <w:t>Qué haremos a continuación</w:t>
      </w:r>
    </w:p>
    <w:p>
      <w:r>
        <w:t>El anteproyecto revisado propone cierre el 4 de diciembre de 2026. La siguiente secuencia organiza la continuidad usando sus ventanas de trabajo y el avance técnico actual. Las fechas son de planificación y deben confirmarse con la contraparte y la coordinación académica.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4535"/>
        <w:gridCol w:w="2948"/>
      </w:tblGrid>
      <w:tr>
        <w:trPr>
          <w:cantSplit/>
          <w:tblHeader/>
        </w:trPr>
        <w:tc>
          <w:tcPr>
            <w:tcW w:type="dxa" w:w="2154"/>
            <w:vAlign w:val="center"/>
            <w:tcMar>
              <w:top w:w="90" w:type="dxa"/>
              <w:bottom w:w="90" w:type="dxa"/>
              <w:left w:w="110" w:type="dxa"/>
              <w:right w:w="110" w:type="dxa"/>
            </w:tcMar>
            <w:shd w:fill="002B49"/>
          </w:tcPr>
          <w:p>
            <w:pPr>
              <w:spacing w:after="0" w:line="252" w:lineRule="auto"/>
            </w:pPr>
            <w:r>
              <w:rPr>
                <w:b/>
                <w:color w:val="FFFFFF"/>
                <w:sz w:val="19"/>
              </w:rPr>
              <w:t>Ventana propuesta</w:t>
            </w:r>
          </w:p>
        </w:tc>
        <w:tc>
          <w:tcPr>
            <w:tcW w:type="dxa" w:w="4535"/>
            <w:vAlign w:val="center"/>
            <w:tcMar>
              <w:top w:w="90" w:type="dxa"/>
              <w:bottom w:w="90" w:type="dxa"/>
              <w:left w:w="110" w:type="dxa"/>
              <w:right w:w="110" w:type="dxa"/>
            </w:tcMar>
            <w:shd w:fill="002B49"/>
          </w:tcPr>
          <w:p>
            <w:pPr>
              <w:spacing w:after="0" w:line="252" w:lineRule="auto"/>
            </w:pPr>
            <w:r>
              <w:rPr>
                <w:b/>
                <w:color w:val="FFFFFF"/>
                <w:sz w:val="19"/>
              </w:rPr>
              <w:t>Trabajo principal</w:t>
            </w:r>
          </w:p>
        </w:tc>
        <w:tc>
          <w:tcPr>
            <w:tcW w:type="dxa" w:w="2948"/>
            <w:vAlign w:val="center"/>
            <w:tcMar>
              <w:top w:w="90" w:type="dxa"/>
              <w:bottom w:w="90" w:type="dxa"/>
              <w:left w:w="110" w:type="dxa"/>
              <w:right w:w="110" w:type="dxa"/>
            </w:tcMar>
            <w:shd w:fill="002B49"/>
          </w:tcPr>
          <w:p>
            <w:pPr>
              <w:spacing w:after="0" w:line="252" w:lineRule="auto"/>
              <w:jc w:val="center"/>
            </w:pPr>
            <w:r>
              <w:rPr>
                <w:b/>
                <w:color w:val="FFFFFF"/>
                <w:sz w:val="19"/>
              </w:rPr>
              <w:t>Resultado esperado</w:t>
            </w:r>
          </w:p>
        </w:tc>
      </w:tr>
      <w:tr>
        <w:trPr>
          <w:cantSplit/>
        </w:trPr>
        <w:tc>
          <w:tcPr>
            <w:tcW w:type="dxa" w:w="2154"/>
            <w:vAlign w:val="center"/>
            <w:tcMar>
              <w:top w:w="90" w:type="dxa"/>
              <w:bottom w:w="90" w:type="dxa"/>
              <w:left w:w="110" w:type="dxa"/>
              <w:right w:w="110" w:type="dxa"/>
            </w:tcMar>
            <w:shd w:fill="FFFFFF"/>
          </w:tcPr>
          <w:p>
            <w:pPr>
              <w:spacing w:after="0" w:line="252" w:lineRule="auto"/>
            </w:pPr>
            <w:r>
              <w:rPr>
                <w:b w:val="0"/>
                <w:color w:val="000000"/>
                <w:sz w:val="19"/>
              </w:rPr>
              <w:t>14 al 16 de octubre</w:t>
            </w:r>
          </w:p>
        </w:tc>
        <w:tc>
          <w:tcPr>
            <w:tcW w:type="dxa" w:w="4535"/>
            <w:vAlign w:val="center"/>
            <w:tcMar>
              <w:top w:w="90" w:type="dxa"/>
              <w:bottom w:w="90" w:type="dxa"/>
              <w:left w:w="110" w:type="dxa"/>
              <w:right w:w="110" w:type="dxa"/>
            </w:tcMar>
            <w:shd w:fill="FFFFFF"/>
          </w:tcPr>
          <w:p>
            <w:pPr>
              <w:spacing w:after="0" w:line="252" w:lineRule="auto"/>
            </w:pPr>
            <w:r>
              <w:rPr>
                <w:b w:val="0"/>
                <w:color w:val="000000"/>
                <w:sz w:val="19"/>
              </w:rPr>
              <w:t>Confirmar proceso, alcance, comunicación, responsables y ambiente. Revisar diseño y pendientes con la contraparte.</w:t>
            </w:r>
          </w:p>
        </w:tc>
        <w:tc>
          <w:tcPr>
            <w:tcW w:type="dxa" w:w="2948"/>
            <w:vAlign w:val="center"/>
            <w:tcMar>
              <w:top w:w="90" w:type="dxa"/>
              <w:bottom w:w="90" w:type="dxa"/>
              <w:left w:w="110" w:type="dxa"/>
              <w:right w:w="110" w:type="dxa"/>
            </w:tcMar>
            <w:shd w:fill="FFFFFF"/>
          </w:tcPr>
          <w:p>
            <w:pPr>
              <w:spacing w:after="0" w:line="252" w:lineRule="auto"/>
              <w:jc w:val="center"/>
            </w:pPr>
            <w:r>
              <w:rPr>
                <w:b w:val="0"/>
                <w:color w:val="000000"/>
                <w:sz w:val="19"/>
              </w:rPr>
              <w:t>Decisiones y criterios de aceptación registrados.</w:t>
            </w:r>
          </w:p>
        </w:tc>
      </w:tr>
      <w:tr>
        <w:trPr>
          <w:cantSplit/>
        </w:trPr>
        <w:tc>
          <w:tcPr>
            <w:tcW w:type="dxa" w:w="2154"/>
            <w:vAlign w:val="center"/>
            <w:tcMar>
              <w:top w:w="90" w:type="dxa"/>
              <w:bottom w:w="90" w:type="dxa"/>
              <w:left w:w="110" w:type="dxa"/>
              <w:right w:w="110" w:type="dxa"/>
            </w:tcMar>
            <w:shd w:fill="F2F5F7"/>
          </w:tcPr>
          <w:p>
            <w:pPr>
              <w:spacing w:after="0" w:line="252" w:lineRule="auto"/>
            </w:pPr>
            <w:r>
              <w:rPr>
                <w:b w:val="0"/>
                <w:color w:val="000000"/>
                <w:sz w:val="19"/>
              </w:rPr>
              <w:t>19 al 23 de octubre</w:t>
            </w:r>
          </w:p>
        </w:tc>
        <w:tc>
          <w:tcPr>
            <w:tcW w:type="dxa" w:w="4535"/>
            <w:vAlign w:val="center"/>
            <w:tcMar>
              <w:top w:w="90" w:type="dxa"/>
              <w:bottom w:w="90" w:type="dxa"/>
              <w:left w:w="110" w:type="dxa"/>
              <w:right w:w="110" w:type="dxa"/>
            </w:tcMar>
            <w:shd w:fill="F2F5F7"/>
          </w:tcPr>
          <w:p>
            <w:pPr>
              <w:spacing w:after="0" w:line="252" w:lineRule="auto"/>
            </w:pPr>
            <w:r>
              <w:rPr>
                <w:b w:val="0"/>
                <w:color w:val="000000"/>
                <w:sz w:val="19"/>
              </w:rPr>
              <w:t>Probar instalación reproducible y preparar entorno autorizado. Crear cuentas y ensayar SDI de prueba.</w:t>
            </w:r>
          </w:p>
        </w:tc>
        <w:tc>
          <w:tcPr>
            <w:tcW w:type="dxa" w:w="2948"/>
            <w:vAlign w:val="center"/>
            <w:tcMar>
              <w:top w:w="90" w:type="dxa"/>
              <w:bottom w:w="90" w:type="dxa"/>
              <w:left w:w="110" w:type="dxa"/>
              <w:right w:w="110" w:type="dxa"/>
            </w:tcMar>
            <w:shd w:fill="F2F5F7"/>
          </w:tcPr>
          <w:p>
            <w:pPr>
              <w:spacing w:after="0" w:line="252" w:lineRule="auto"/>
              <w:jc w:val="center"/>
            </w:pPr>
            <w:r>
              <w:rPr>
                <w:b w:val="0"/>
                <w:color w:val="000000"/>
                <w:sz w:val="19"/>
              </w:rPr>
              <w:t>Primera versión instalable y recorrido demostrable.</w:t>
            </w:r>
          </w:p>
        </w:tc>
      </w:tr>
      <w:tr>
        <w:trPr>
          <w:cantSplit/>
        </w:trPr>
        <w:tc>
          <w:tcPr>
            <w:tcW w:type="dxa" w:w="2154"/>
            <w:vAlign w:val="center"/>
            <w:tcMar>
              <w:top w:w="90" w:type="dxa"/>
              <w:bottom w:w="90" w:type="dxa"/>
              <w:left w:w="110" w:type="dxa"/>
              <w:right w:w="110" w:type="dxa"/>
            </w:tcMar>
            <w:shd w:fill="FFFFFF"/>
          </w:tcPr>
          <w:p>
            <w:pPr>
              <w:spacing w:after="0" w:line="252" w:lineRule="auto"/>
            </w:pPr>
            <w:r>
              <w:rPr>
                <w:b w:val="0"/>
                <w:color w:val="000000"/>
                <w:sz w:val="19"/>
              </w:rPr>
              <w:t>26 de octubre al 6 de noviembre</w:t>
            </w:r>
          </w:p>
        </w:tc>
        <w:tc>
          <w:tcPr>
            <w:tcW w:type="dxa" w:w="4535"/>
            <w:vAlign w:val="center"/>
            <w:tcMar>
              <w:top w:w="90" w:type="dxa"/>
              <w:bottom w:w="90" w:type="dxa"/>
              <w:left w:w="110" w:type="dxa"/>
              <w:right w:w="110" w:type="dxa"/>
            </w:tcMar>
            <w:shd w:fill="FFFFFF"/>
          </w:tcPr>
          <w:p>
            <w:pPr>
              <w:spacing w:after="0" w:line="252" w:lineRule="auto"/>
            </w:pPr>
            <w:r>
              <w:rPr>
                <w:b w:val="0"/>
                <w:color w:val="000000"/>
                <w:sz w:val="19"/>
              </w:rPr>
              <w:t>Validar el flujo principal con usuarios y corregir defectos. Configurar correo y conectar el panel básico aprobado.</w:t>
            </w:r>
          </w:p>
        </w:tc>
        <w:tc>
          <w:tcPr>
            <w:tcW w:type="dxa" w:w="2948"/>
            <w:vAlign w:val="center"/>
            <w:tcMar>
              <w:top w:w="90" w:type="dxa"/>
              <w:bottom w:w="90" w:type="dxa"/>
              <w:left w:w="110" w:type="dxa"/>
              <w:right w:w="110" w:type="dxa"/>
            </w:tcMar>
            <w:shd w:fill="FFFFFF"/>
          </w:tcPr>
          <w:p>
            <w:pPr>
              <w:spacing w:after="0" w:line="252" w:lineRule="auto"/>
              <w:jc w:val="center"/>
            </w:pPr>
            <w:r>
              <w:rPr>
                <w:b w:val="0"/>
                <w:color w:val="000000"/>
                <w:sz w:val="19"/>
              </w:rPr>
              <w:t>Asignación, inspección, comunicación y seguimiento validados por incremento.</w:t>
            </w:r>
          </w:p>
        </w:tc>
      </w:tr>
      <w:tr>
        <w:trPr>
          <w:cantSplit/>
        </w:trPr>
        <w:tc>
          <w:tcPr>
            <w:tcW w:type="dxa" w:w="2154"/>
            <w:vAlign w:val="center"/>
            <w:tcMar>
              <w:top w:w="90" w:type="dxa"/>
              <w:bottom w:w="90" w:type="dxa"/>
              <w:left w:w="110" w:type="dxa"/>
              <w:right w:w="110" w:type="dxa"/>
            </w:tcMar>
            <w:shd w:fill="F2F5F7"/>
          </w:tcPr>
          <w:p>
            <w:pPr>
              <w:spacing w:after="0" w:line="252" w:lineRule="auto"/>
            </w:pPr>
            <w:r>
              <w:rPr>
                <w:b w:val="0"/>
                <w:color w:val="000000"/>
                <w:sz w:val="19"/>
              </w:rPr>
              <w:t>9 al 20 de noviembre</w:t>
            </w:r>
          </w:p>
        </w:tc>
        <w:tc>
          <w:tcPr>
            <w:tcW w:type="dxa" w:w="4535"/>
            <w:vAlign w:val="center"/>
            <w:tcMar>
              <w:top w:w="90" w:type="dxa"/>
              <w:bottom w:w="90" w:type="dxa"/>
              <w:left w:w="110" w:type="dxa"/>
              <w:right w:w="110" w:type="dxa"/>
            </w:tcMar>
            <w:shd w:fill="F2F5F7"/>
          </w:tcPr>
          <w:p>
            <w:pPr>
              <w:spacing w:after="0" w:line="252" w:lineRule="auto"/>
            </w:pPr>
            <w:r>
              <w:rPr>
                <w:b w:val="0"/>
                <w:color w:val="000000"/>
                <w:sz w:val="19"/>
              </w:rPr>
              <w:t>Realizar integración, pruebas PostgreSQL, ensayos con datos autorizados, evaluación de uso y recuperación.</w:t>
            </w:r>
          </w:p>
        </w:tc>
        <w:tc>
          <w:tcPr>
            <w:tcW w:type="dxa" w:w="2948"/>
            <w:vAlign w:val="center"/>
            <w:tcMar>
              <w:top w:w="90" w:type="dxa"/>
              <w:bottom w:w="90" w:type="dxa"/>
              <w:left w:w="110" w:type="dxa"/>
              <w:right w:w="110" w:type="dxa"/>
            </w:tcMar>
            <w:shd w:fill="F2F5F7"/>
          </w:tcPr>
          <w:p>
            <w:pPr>
              <w:spacing w:after="0" w:line="252" w:lineRule="auto"/>
              <w:jc w:val="center"/>
            </w:pPr>
            <w:r>
              <w:rPr>
                <w:b w:val="0"/>
                <w:color w:val="000000"/>
                <w:sz w:val="19"/>
              </w:rPr>
              <w:t>Versión candidata y decisión de liberar o corregir.</w:t>
            </w:r>
          </w:p>
        </w:tc>
      </w:tr>
      <w:tr>
        <w:trPr>
          <w:cantSplit/>
        </w:trPr>
        <w:tc>
          <w:tcPr>
            <w:tcW w:type="dxa" w:w="2154"/>
            <w:vAlign w:val="center"/>
            <w:tcMar>
              <w:top w:w="90" w:type="dxa"/>
              <w:bottom w:w="90" w:type="dxa"/>
              <w:left w:w="110" w:type="dxa"/>
              <w:right w:w="110" w:type="dxa"/>
            </w:tcMar>
            <w:shd w:fill="FFFFFF"/>
          </w:tcPr>
          <w:p>
            <w:pPr>
              <w:spacing w:after="0" w:line="252" w:lineRule="auto"/>
            </w:pPr>
            <w:r>
              <w:rPr>
                <w:b w:val="0"/>
                <w:color w:val="000000"/>
                <w:sz w:val="19"/>
              </w:rPr>
              <w:t>23 al 27 de noviembre</w:t>
            </w:r>
          </w:p>
        </w:tc>
        <w:tc>
          <w:tcPr>
            <w:tcW w:type="dxa" w:w="4535"/>
            <w:vAlign w:val="center"/>
            <w:tcMar>
              <w:top w:w="90" w:type="dxa"/>
              <w:bottom w:w="90" w:type="dxa"/>
              <w:left w:w="110" w:type="dxa"/>
              <w:right w:w="110" w:type="dxa"/>
            </w:tcMar>
            <w:shd w:fill="FFFFFF"/>
          </w:tcPr>
          <w:p>
            <w:pPr>
              <w:spacing w:after="0" w:line="252" w:lineRule="auto"/>
            </w:pPr>
            <w:r>
              <w:rPr>
                <w:b w:val="0"/>
                <w:color w:val="000000"/>
                <w:sz w:val="19"/>
              </w:rPr>
              <w:t>Pruebas de regresión y aceptación, actualización de manuales y preparación de evidencias.</w:t>
            </w:r>
          </w:p>
        </w:tc>
        <w:tc>
          <w:tcPr>
            <w:tcW w:type="dxa" w:w="2948"/>
            <w:vAlign w:val="center"/>
            <w:tcMar>
              <w:top w:w="90" w:type="dxa"/>
              <w:bottom w:w="90" w:type="dxa"/>
              <w:left w:w="110" w:type="dxa"/>
              <w:right w:w="110" w:type="dxa"/>
            </w:tcMar>
            <w:shd w:fill="FFFFFF"/>
          </w:tcPr>
          <w:p>
            <w:pPr>
              <w:spacing w:after="0" w:line="252" w:lineRule="auto"/>
              <w:jc w:val="center"/>
            </w:pPr>
            <w:r>
              <w:rPr>
                <w:b w:val="0"/>
                <w:color w:val="000000"/>
                <w:sz w:val="19"/>
              </w:rPr>
              <w:t>Documentación y pendientes de cierre revisados.</w:t>
            </w:r>
          </w:p>
        </w:tc>
      </w:tr>
      <w:tr>
        <w:trPr>
          <w:cantSplit/>
        </w:trPr>
        <w:tc>
          <w:tcPr>
            <w:tcW w:type="dxa" w:w="2154"/>
            <w:vAlign w:val="center"/>
            <w:tcMar>
              <w:top w:w="90" w:type="dxa"/>
              <w:bottom w:w="90" w:type="dxa"/>
              <w:left w:w="110" w:type="dxa"/>
              <w:right w:w="110" w:type="dxa"/>
            </w:tcMar>
            <w:shd w:fill="F2F5F7"/>
          </w:tcPr>
          <w:p>
            <w:pPr>
              <w:spacing w:after="0" w:line="252" w:lineRule="auto"/>
            </w:pPr>
            <w:r>
              <w:rPr>
                <w:b w:val="0"/>
                <w:color w:val="000000"/>
                <w:sz w:val="19"/>
              </w:rPr>
              <w:t>30 de noviembre al 4 de diciembre</w:t>
            </w:r>
          </w:p>
        </w:tc>
        <w:tc>
          <w:tcPr>
            <w:tcW w:type="dxa" w:w="4535"/>
            <w:vAlign w:val="center"/>
            <w:tcMar>
              <w:top w:w="90" w:type="dxa"/>
              <w:bottom w:w="90" w:type="dxa"/>
              <w:left w:w="110" w:type="dxa"/>
              <w:right w:w="110" w:type="dxa"/>
            </w:tcMar>
            <w:shd w:fill="F2F5F7"/>
          </w:tcPr>
          <w:p>
            <w:pPr>
              <w:spacing w:after="0" w:line="252" w:lineRule="auto"/>
            </w:pPr>
            <w:r>
              <w:rPr>
                <w:b w:val="0"/>
                <w:color w:val="000000"/>
                <w:sz w:val="19"/>
              </w:rPr>
              <w:t>Corregir incidencias finales y entregar despliegue autorizado o versión local reproducible.</w:t>
            </w:r>
          </w:p>
        </w:tc>
        <w:tc>
          <w:tcPr>
            <w:tcW w:type="dxa" w:w="2948"/>
            <w:vAlign w:val="center"/>
            <w:tcMar>
              <w:top w:w="90" w:type="dxa"/>
              <w:bottom w:w="90" w:type="dxa"/>
              <w:left w:w="110" w:type="dxa"/>
              <w:right w:w="110" w:type="dxa"/>
            </w:tcMar>
            <w:shd w:fill="F2F5F7"/>
          </w:tcPr>
          <w:p>
            <w:pPr>
              <w:spacing w:after="0" w:line="252" w:lineRule="auto"/>
              <w:jc w:val="center"/>
            </w:pPr>
            <w:r>
              <w:rPr>
                <w:b w:val="0"/>
                <w:color w:val="000000"/>
                <w:sz w:val="19"/>
              </w:rPr>
              <w:t>Código identificado, guía, evidencias y acta de entrega.</w:t>
            </w:r>
          </w:p>
        </w:tc>
      </w:tr>
    </w:tbl>
    <w:p>
      <w:pPr>
        <w:spacing w:after="0"/>
      </w:pPr>
    </w:p>
    <w:p>
      <w:pPr>
        <w:pStyle w:val="Heading2"/>
      </w:pPr>
      <w:r>
        <w:t>Cuándo podremos considerar terminada la entrega</w:t>
      </w:r>
    </w:p>
    <w:p>
      <w:pPr>
        <w:pStyle w:val="ListBullet"/>
      </w:pPr>
      <w:r>
        <w:t>El circuito completo está aceptado por los usuarios y las incidencias críticas están resueltas.</w:t>
      </w:r>
    </w:p>
    <w:p>
      <w:pPr>
        <w:pStyle w:val="ListBullet"/>
      </w:pPr>
      <w:r>
        <w:t>Los accesos, documentos, cantidades y cierres se verificaron en el entorno previsto.</w:t>
      </w:r>
    </w:p>
    <w:p>
      <w:pPr>
        <w:pStyle w:val="ListBullet"/>
      </w:pPr>
      <w:r>
        <w:t>La comunicación acordada funciona y el respaldo puede restaurarse.</w:t>
      </w:r>
    </w:p>
    <w:p>
      <w:pPr>
        <w:pStyle w:val="ListBullet"/>
      </w:pPr>
      <w:r>
        <w:t>La versión puede instalarse de forma reproducible y dispone de manuales actualizados.</w:t>
      </w:r>
    </w:p>
    <w:p>
      <w:pPr>
        <w:pStyle w:val="ListBullet"/>
      </w:pPr>
      <w:r>
        <w:t>La empresa y la coordinación académica reciben evidencias, limitaciones conocidas y acta de aceptación.</w:t>
      </w:r>
    </w:p>
    <w:p>
      <w:pPr>
        <w:pStyle w:val="Heading2"/>
      </w:pPr>
      <w:r>
        <w:t>Referencias del proyecto</w:t>
      </w:r>
    </w:p>
    <w:p>
      <w:r>
        <w:t>Código y README del proyecto, backend y frontend; historial Git del 1 al 8 de octubre; manuales y resumen de documentacion/2026-10-10; paquete de documentacion/2026-10-13; Anteproyecto_Practica_CITT_DuocUC_REVISION_2.docx; Retroalimentacion_Grupo1 - copia.pdf, revisión académica del 29 de septiembre. Las comprobaciones de esta edición corresponden al 14 de octubre de 2026.</w:t>
      </w:r>
    </w:p>
    <w:sectPr w:rsidR="00FC693F" w:rsidRPr="0006063C" w:rsidSect="00034616">
      <w:footerReference w:type="default" r:id="rId9"/>
      <w:pgSz w:w="11906" w:h="16838"/>
      <w:pgMar w:top="1020" w:right="1134" w:bottom="964" w:left="1134"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eastAsia="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0" w:line="259" w:lineRule="auto"/>
      <w:outlineLvl w:val="0"/>
    </w:pPr>
    <w:rPr>
      <w:rFonts w:asciiTheme="majorHAnsi" w:eastAsiaTheme="majorEastAsia" w:hAnsiTheme="majorHAnsi" w:cstheme="majorBidi" w:ascii="Calibri" w:hAnsi="Calibri" w:eastAsia="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Calibri" w:hAnsi="Calibri" w:eastAsia="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59" w:lineRule="auto"/>
      <w:contextualSpacing/>
    </w:pPr>
    <w:rPr>
      <w:rFonts w:asciiTheme="majorHAnsi" w:eastAsiaTheme="majorEastAsia" w:hAnsiTheme="majorHAnsi" w:cstheme="majorBidi" w:ascii="Calibri" w:hAnsi="Calibri" w:eastAsia="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Calibri" w:hAnsi="Calibri" w:eastAsia="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9" w:lineRule="auto"/>
      <w:contextualSpacing/>
    </w:pPr>
    <w:rPr>
      <w:rFonts w:ascii="Calibri" w:hAnsi="Calibri" w:eastAsia="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59" w:lineRule="auto"/>
      <w:contextualSpacing/>
    </w:pPr>
    <w:rPr>
      <w:rFonts w:ascii="Calibri" w:hAnsi="Calibri" w:eastAsia="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del proyecto Sistema de control de calidad Ancor Tecmin</dc:title>
  <dc:subject>Funcionamiento, avances, estado actual y próximos pasos</dc:subject>
  <dc:creator>Proyecto Control de Calidad</dc:creator>
  <cp:keywords>Ancor Tecmin, SDI, inspecciones, trazabilidad, práctica profesional</cp:keywords>
  <dc:description>generated by python-docx</dc:description>
  <cp:lastModifiedBy/>
  <cp:revision>1</cp:revision>
  <dcterms:created xsi:type="dcterms:W3CDTF">2013-12-23T23:15:00Z</dcterms:created>
  <dcterms:modified xsi:type="dcterms:W3CDTF">2013-12-23T23:15:00Z</dcterms:modified>
  <cp:category/>
</cp:coreProperties>
</file>