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34723" w14:textId="2C29F973" w:rsidR="00DC22C1" w:rsidRDefault="00D71EE2" w:rsidP="00D71EE2">
      <w:pPr>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Dre’ Scheetz</w:t>
      </w:r>
    </w:p>
    <w:p w14:paraId="59BAE672" w14:textId="6F71D1D5" w:rsidR="00D71EE2" w:rsidRDefault="00D71EE2" w:rsidP="00D71EE2">
      <w:pPr>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CS 350</w:t>
      </w:r>
    </w:p>
    <w:p w14:paraId="17F5CC70" w14:textId="52E84B8E" w:rsidR="00D71EE2" w:rsidRDefault="00D71EE2" w:rsidP="00D71EE2">
      <w:pPr>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02/25/2024</w:t>
      </w:r>
    </w:p>
    <w:p w14:paraId="168C6BDB" w14:textId="37824BEB" w:rsidR="00D71EE2" w:rsidRDefault="00D71EE2" w:rsidP="00D71EE2">
      <w:pPr>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Steven Esposito</w:t>
      </w:r>
    </w:p>
    <w:p w14:paraId="58446A3B" w14:textId="75E9AD24" w:rsidR="00D71EE2" w:rsidRDefault="00D71EE2" w:rsidP="00D71EE2">
      <w:pPr>
        <w:spacing w:after="0" w:line="480" w:lineRule="auto"/>
        <w:jc w:val="center"/>
        <w:rPr>
          <w:rFonts w:ascii="Times New Roman" w:hAnsi="Times New Roman" w:cs="Times New Roman"/>
          <w:kern w:val="0"/>
          <w:sz w:val="24"/>
          <w:szCs w:val="24"/>
        </w:rPr>
      </w:pPr>
      <w:r>
        <w:rPr>
          <w:rFonts w:ascii="Times New Roman" w:hAnsi="Times New Roman" w:cs="Times New Roman"/>
          <w:kern w:val="0"/>
          <w:sz w:val="24"/>
          <w:szCs w:val="24"/>
        </w:rPr>
        <w:t>7 – 1 Project</w:t>
      </w:r>
    </w:p>
    <w:p w14:paraId="7E7DA8FD" w14:textId="77777777" w:rsidR="00EC225E" w:rsidRPr="00EC225E" w:rsidRDefault="00EC225E" w:rsidP="00EC225E">
      <w:pPr>
        <w:spacing w:after="0" w:line="480" w:lineRule="auto"/>
        <w:ind w:firstLine="720"/>
        <w:rPr>
          <w:rFonts w:ascii="Times New Roman" w:hAnsi="Times New Roman" w:cs="Times New Roman"/>
          <w:kern w:val="0"/>
          <w:sz w:val="24"/>
          <w:szCs w:val="24"/>
        </w:rPr>
      </w:pPr>
      <w:r w:rsidRPr="00EC225E">
        <w:rPr>
          <w:rFonts w:ascii="Times New Roman" w:hAnsi="Times New Roman" w:cs="Times New Roman"/>
          <w:kern w:val="0"/>
          <w:sz w:val="24"/>
          <w:szCs w:val="24"/>
        </w:rPr>
        <w:t>Thermostat system design and implementation for embedded systems is a fascinating topic of concern. These adaptable systems can work with various hardware architectures, including TI, Microchip, and NXP Semiconductors (formerly Freescale). The critical focus is seamlessly integrating peripherals such as GPIO, UART, and I2C interfaces while considering cloud connectivity and memory capacities.</w:t>
      </w:r>
    </w:p>
    <w:p w14:paraId="35C8F1BD" w14:textId="77777777" w:rsidR="00EC225E" w:rsidRPr="00EC225E" w:rsidRDefault="00EC225E" w:rsidP="00EC225E">
      <w:pPr>
        <w:spacing w:after="0" w:line="480" w:lineRule="auto"/>
        <w:ind w:firstLine="720"/>
        <w:rPr>
          <w:rFonts w:ascii="Times New Roman" w:hAnsi="Times New Roman" w:cs="Times New Roman"/>
          <w:kern w:val="0"/>
          <w:sz w:val="24"/>
          <w:szCs w:val="24"/>
        </w:rPr>
      </w:pPr>
      <w:r w:rsidRPr="00EC225E">
        <w:rPr>
          <w:rFonts w:ascii="Times New Roman" w:hAnsi="Times New Roman" w:cs="Times New Roman"/>
          <w:kern w:val="0"/>
          <w:sz w:val="24"/>
          <w:szCs w:val="24"/>
        </w:rPr>
        <w:t xml:space="preserve">TI's ecosystem is known for its low power consumption and integrated peripherals, making it suitable for thermostat applications. </w:t>
      </w:r>
      <w:proofErr w:type="spellStart"/>
      <w:r w:rsidRPr="00EC225E">
        <w:rPr>
          <w:rFonts w:ascii="Times New Roman" w:hAnsi="Times New Roman" w:cs="Times New Roman"/>
          <w:kern w:val="0"/>
          <w:sz w:val="24"/>
          <w:szCs w:val="24"/>
        </w:rPr>
        <w:t>DriverLib</w:t>
      </w:r>
      <w:proofErr w:type="spellEnd"/>
      <w:r w:rsidRPr="00EC225E">
        <w:rPr>
          <w:rFonts w:ascii="Times New Roman" w:hAnsi="Times New Roman" w:cs="Times New Roman"/>
          <w:kern w:val="0"/>
          <w:sz w:val="24"/>
          <w:szCs w:val="24"/>
        </w:rPr>
        <w:t xml:space="preserve"> is used for managing GPIOs for inputs such as buttons and outputs like LEDs, UART for serial communication, and I2C for connecting to temperature sensors. TI microcontrollers, such as the MSP430 series, are known for their efficiency and reliability. For cloud connectivity, </w:t>
      </w:r>
      <w:proofErr w:type="spellStart"/>
      <w:r w:rsidRPr="00EC225E">
        <w:rPr>
          <w:rFonts w:ascii="Times New Roman" w:hAnsi="Times New Roman" w:cs="Times New Roman"/>
          <w:kern w:val="0"/>
          <w:sz w:val="24"/>
          <w:szCs w:val="24"/>
        </w:rPr>
        <w:t>SimpleLink</w:t>
      </w:r>
      <w:proofErr w:type="spellEnd"/>
      <w:r w:rsidRPr="00EC225E">
        <w:rPr>
          <w:rFonts w:ascii="Times New Roman" w:hAnsi="Times New Roman" w:cs="Times New Roman"/>
          <w:kern w:val="0"/>
          <w:sz w:val="24"/>
          <w:szCs w:val="24"/>
        </w:rPr>
        <w:t xml:space="preserve"> Wi-Fi modules in the TI domain ensure seamless internet access, facilitating communications with cloud services through protocols like MQTT or HTTP, essential for IoT-enabled thermostat systems.</w:t>
      </w:r>
    </w:p>
    <w:p w14:paraId="78EEB500" w14:textId="77777777" w:rsidR="00EC225E" w:rsidRPr="00EC225E" w:rsidRDefault="00EC225E" w:rsidP="00EC225E">
      <w:pPr>
        <w:spacing w:after="0" w:line="480" w:lineRule="auto"/>
        <w:ind w:firstLine="720"/>
        <w:rPr>
          <w:rFonts w:ascii="Times New Roman" w:hAnsi="Times New Roman" w:cs="Times New Roman"/>
          <w:kern w:val="0"/>
          <w:sz w:val="24"/>
          <w:szCs w:val="24"/>
        </w:rPr>
      </w:pPr>
      <w:r w:rsidRPr="00EC225E">
        <w:rPr>
          <w:rFonts w:ascii="Times New Roman" w:hAnsi="Times New Roman" w:cs="Times New Roman"/>
          <w:kern w:val="0"/>
          <w:sz w:val="24"/>
          <w:szCs w:val="24"/>
        </w:rPr>
        <w:t>Microchip's use of PIC microcontrollers provides a different approach. Through MPLAB Harmony or XC compilers, similar functionalities around GPIO, UART, and I2C are achieved, maintaining robust serial communication for sensor data acquisition and control mechanisms. "Core-agnostic implementation that supports all our 32-bit MIPS®- and Arm® Cortex®-based MCU and MPU device families" (</w:t>
      </w:r>
      <w:r w:rsidRPr="00EC225E">
        <w:rPr>
          <w:rFonts w:ascii="Times New Roman" w:hAnsi="Times New Roman" w:cs="Times New Roman"/>
          <w:i/>
          <w:iCs/>
          <w:kern w:val="0"/>
          <w:sz w:val="24"/>
          <w:szCs w:val="24"/>
        </w:rPr>
        <w:t>MPLAB® Harmony V3 | Microchip Technology</w:t>
      </w:r>
      <w:r w:rsidRPr="00EC225E">
        <w:rPr>
          <w:rFonts w:ascii="Times New Roman" w:hAnsi="Times New Roman" w:cs="Times New Roman"/>
          <w:kern w:val="0"/>
          <w:sz w:val="24"/>
          <w:szCs w:val="24"/>
        </w:rPr>
        <w:t xml:space="preserve">, n.d.) underlines the adaptability of MPLAB Harmony v3, facilitating the development of thermostat </w:t>
      </w:r>
      <w:r w:rsidRPr="00EC225E">
        <w:rPr>
          <w:rFonts w:ascii="Times New Roman" w:hAnsi="Times New Roman" w:cs="Times New Roman"/>
          <w:kern w:val="0"/>
          <w:sz w:val="24"/>
          <w:szCs w:val="24"/>
        </w:rPr>
        <w:lastRenderedPageBreak/>
        <w:t>systems that are not constrained by the underlying hardware architecture. This approach enhances the versatility of embedded systems in thermostat applications, demonstrating how such systems can leverage the broader capabilities and considerations essential for developing sophisticated, connected devices in the IoT era.</w:t>
      </w:r>
    </w:p>
    <w:p w14:paraId="78A2BCEE" w14:textId="77777777" w:rsidR="00EC225E" w:rsidRPr="00EC225E" w:rsidRDefault="00EC225E" w:rsidP="00EC225E">
      <w:pPr>
        <w:spacing w:after="0" w:line="480" w:lineRule="auto"/>
        <w:ind w:firstLine="720"/>
        <w:rPr>
          <w:rFonts w:ascii="Times New Roman" w:hAnsi="Times New Roman" w:cs="Times New Roman"/>
          <w:kern w:val="0"/>
          <w:sz w:val="24"/>
          <w:szCs w:val="24"/>
        </w:rPr>
      </w:pPr>
      <w:r w:rsidRPr="00EC225E">
        <w:rPr>
          <w:rFonts w:ascii="Times New Roman" w:hAnsi="Times New Roman" w:cs="Times New Roman"/>
          <w:kern w:val="0"/>
          <w:sz w:val="24"/>
          <w:szCs w:val="24"/>
        </w:rPr>
        <w:t>Furthermore, there is an emphasis on "Easily configurable using MPLAB Code Configurator's (MCC's) Graphical User Interface (GUI)... Includes Peripheral libraries, Drivers and services, Reusable middleware" (</w:t>
      </w:r>
      <w:r w:rsidRPr="00EC225E">
        <w:rPr>
          <w:rFonts w:ascii="Times New Roman" w:hAnsi="Times New Roman" w:cs="Times New Roman"/>
          <w:i/>
          <w:iCs/>
          <w:kern w:val="0"/>
          <w:sz w:val="24"/>
          <w:szCs w:val="24"/>
        </w:rPr>
        <w:t>MPLAB® Harmony V3 | Microchip Technology</w:t>
      </w:r>
      <w:r w:rsidRPr="00EC225E">
        <w:rPr>
          <w:rFonts w:ascii="Times New Roman" w:hAnsi="Times New Roman" w:cs="Times New Roman"/>
          <w:kern w:val="0"/>
          <w:sz w:val="24"/>
          <w:szCs w:val="24"/>
        </w:rPr>
        <w:t xml:space="preserve">, n.d.) highlights the significance of middleware in simplifying the integration of network communications and peripheral management. This is critical for enabling IoT features in thermostat systems, such as remote control and data logging, through cloud connectivity. "A typical set of protocol stacks and functions for connection to a cloud server might </w:t>
      </w:r>
      <w:proofErr w:type="gramStart"/>
      <w:r w:rsidRPr="00EC225E">
        <w:rPr>
          <w:rFonts w:ascii="Times New Roman" w:hAnsi="Times New Roman" w:cs="Times New Roman"/>
          <w:kern w:val="0"/>
          <w:sz w:val="24"/>
          <w:szCs w:val="24"/>
        </w:rPr>
        <w:t>include:</w:t>
      </w:r>
      <w:proofErr w:type="gramEnd"/>
      <w:r w:rsidRPr="00EC225E">
        <w:rPr>
          <w:rFonts w:ascii="Times New Roman" w:hAnsi="Times New Roman" w:cs="Times New Roman"/>
          <w:kern w:val="0"/>
          <w:sz w:val="24"/>
          <w:szCs w:val="24"/>
        </w:rPr>
        <w:t xml:space="preserve"> TLS, TCP/IP, HTTP/S, FTP, MQTT, Certificate handling (security), Cryptographic keys usage (security)" (Jones, 2022).</w:t>
      </w:r>
    </w:p>
    <w:p w14:paraId="1636E116" w14:textId="77777777" w:rsidR="00EC225E" w:rsidRPr="00EC225E" w:rsidRDefault="00EC225E" w:rsidP="00EC225E">
      <w:pPr>
        <w:spacing w:after="0" w:line="480" w:lineRule="auto"/>
        <w:ind w:firstLine="720"/>
        <w:rPr>
          <w:rFonts w:ascii="Times New Roman" w:hAnsi="Times New Roman" w:cs="Times New Roman"/>
          <w:kern w:val="0"/>
          <w:sz w:val="24"/>
          <w:szCs w:val="24"/>
        </w:rPr>
      </w:pPr>
      <w:r w:rsidRPr="00EC225E">
        <w:rPr>
          <w:rFonts w:ascii="Times New Roman" w:hAnsi="Times New Roman" w:cs="Times New Roman"/>
          <w:kern w:val="0"/>
          <w:sz w:val="24"/>
          <w:szCs w:val="24"/>
        </w:rPr>
        <w:t xml:space="preserve">Freescale's transition into NXP has further broadened the horizons for thermostat systems, particularly with the Kinetis series. The </w:t>
      </w:r>
      <w:proofErr w:type="spellStart"/>
      <w:r w:rsidRPr="00EC225E">
        <w:rPr>
          <w:rFonts w:ascii="Times New Roman" w:hAnsi="Times New Roman" w:cs="Times New Roman"/>
          <w:kern w:val="0"/>
          <w:sz w:val="24"/>
          <w:szCs w:val="24"/>
        </w:rPr>
        <w:t>MCUXpresso</w:t>
      </w:r>
      <w:proofErr w:type="spellEnd"/>
      <w:r w:rsidRPr="00EC225E">
        <w:rPr>
          <w:rFonts w:ascii="Times New Roman" w:hAnsi="Times New Roman" w:cs="Times New Roman"/>
          <w:kern w:val="0"/>
          <w:sz w:val="24"/>
          <w:szCs w:val="24"/>
        </w:rPr>
        <w:t xml:space="preserve"> SDK offers a robust platform for peripheral management, paralleling the functionality seen in TI and Microchip ecosystems. Adding Wi-Fi modules like the KW41Z facilitates cloud connectivity, allowing for real-time monitoring and control over internet protocols, thereby enriching the thermostat's capabilities with IoT features. Notably, "MCU customers can leveraging their current toolchain (</w:t>
      </w:r>
      <w:proofErr w:type="spellStart"/>
      <w:r w:rsidRPr="00EC225E">
        <w:rPr>
          <w:rFonts w:ascii="Times New Roman" w:hAnsi="Times New Roman" w:cs="Times New Roman"/>
          <w:kern w:val="0"/>
          <w:sz w:val="24"/>
          <w:szCs w:val="24"/>
        </w:rPr>
        <w:t>MCUXpresso</w:t>
      </w:r>
      <w:proofErr w:type="spellEnd"/>
      <w:r w:rsidRPr="00EC225E">
        <w:rPr>
          <w:rFonts w:ascii="Times New Roman" w:hAnsi="Times New Roman" w:cs="Times New Roman"/>
          <w:kern w:val="0"/>
          <w:sz w:val="24"/>
          <w:szCs w:val="24"/>
        </w:rPr>
        <w:t xml:space="preserve">, IAR, Keil)," (J.-P. Davi, 2018), a feature that underscores the flexibility and ease of development offered by NXP, allowing engineers to use familiar tools while working on innovative thermostat solutions. This compatibility with existing development environments can </w:t>
      </w:r>
      <w:r w:rsidRPr="00EC225E">
        <w:rPr>
          <w:rFonts w:ascii="Times New Roman" w:hAnsi="Times New Roman" w:cs="Times New Roman"/>
          <w:kern w:val="0"/>
          <w:sz w:val="24"/>
          <w:szCs w:val="24"/>
        </w:rPr>
        <w:lastRenderedPageBreak/>
        <w:t>significantly reduce the learning curve and development time for creating sophisticated, connected thermostat systems.</w:t>
      </w:r>
    </w:p>
    <w:p w14:paraId="5265CEC0" w14:textId="77777777" w:rsidR="00EC225E" w:rsidRPr="00EC225E" w:rsidRDefault="00EC225E" w:rsidP="00EC225E">
      <w:pPr>
        <w:spacing w:after="0" w:line="480" w:lineRule="auto"/>
        <w:ind w:firstLine="720"/>
        <w:rPr>
          <w:rFonts w:ascii="Times New Roman" w:hAnsi="Times New Roman" w:cs="Times New Roman"/>
          <w:kern w:val="0"/>
          <w:sz w:val="24"/>
          <w:szCs w:val="24"/>
        </w:rPr>
      </w:pPr>
      <w:r w:rsidRPr="00EC225E">
        <w:rPr>
          <w:rFonts w:ascii="Times New Roman" w:hAnsi="Times New Roman" w:cs="Times New Roman"/>
          <w:kern w:val="0"/>
          <w:sz w:val="24"/>
          <w:szCs w:val="24"/>
        </w:rPr>
        <w:t xml:space="preserve">Memory capacities are pivotal in supporting the firmware, encompassing the operating system, application code, and network stack necessary for cloud communication. TI's MSP430 and similar microcontrollers offer a spectrum of memory configurations, adeptly supporting the varied demands of thermostat applications. Microchip's PIC series, mainly its PIC32 range, provides ample memory options to accommodate networking and sensor data processing needs. Similarly, Freescale/NXP's offerings in the Kinetis and i.MX RT series presents a vast array of memory configurations suited for simple and complex IoT devices facilitated by efficient memory management through the </w:t>
      </w:r>
      <w:proofErr w:type="spellStart"/>
      <w:r w:rsidRPr="00EC225E">
        <w:rPr>
          <w:rFonts w:ascii="Times New Roman" w:hAnsi="Times New Roman" w:cs="Times New Roman"/>
          <w:kern w:val="0"/>
          <w:sz w:val="24"/>
          <w:szCs w:val="24"/>
        </w:rPr>
        <w:t>MCUXpresso</w:t>
      </w:r>
      <w:proofErr w:type="spellEnd"/>
      <w:r w:rsidRPr="00EC225E">
        <w:rPr>
          <w:rFonts w:ascii="Times New Roman" w:hAnsi="Times New Roman" w:cs="Times New Roman"/>
          <w:kern w:val="0"/>
          <w:sz w:val="24"/>
          <w:szCs w:val="24"/>
        </w:rPr>
        <w:t xml:space="preserve"> SDK.</w:t>
      </w:r>
    </w:p>
    <w:p w14:paraId="26B979B6" w14:textId="77777777" w:rsidR="00EC225E" w:rsidRPr="00EC225E" w:rsidRDefault="00EC225E" w:rsidP="00EC225E">
      <w:pPr>
        <w:spacing w:after="0" w:line="480" w:lineRule="auto"/>
        <w:ind w:firstLine="720"/>
        <w:rPr>
          <w:rFonts w:ascii="Times New Roman" w:hAnsi="Times New Roman" w:cs="Times New Roman"/>
          <w:kern w:val="0"/>
          <w:sz w:val="24"/>
          <w:szCs w:val="24"/>
        </w:rPr>
      </w:pPr>
      <w:r w:rsidRPr="00EC225E">
        <w:rPr>
          <w:rFonts w:ascii="Times New Roman" w:hAnsi="Times New Roman" w:cs="Times New Roman"/>
          <w:kern w:val="0"/>
          <w:sz w:val="24"/>
          <w:szCs w:val="24"/>
        </w:rPr>
        <w:t>In summary, while the specific code and implementation details might be rooted in a particular architecture such as TI's, the principles and methodologies can be transposed to Microchip and Freescale/NXP platforms. Each brings unique advantages regarding peripheral support, development tools, and Wi-Fi connectivity options, underlined by ensuring sufficient memory for the application's needs.</w:t>
      </w:r>
    </w:p>
    <w:p w14:paraId="4CB5E3E3" w14:textId="1DB5F5A3" w:rsidR="00D71EE2" w:rsidRDefault="00D71EE2" w:rsidP="009E281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Reference</w:t>
      </w:r>
    </w:p>
    <w:p w14:paraId="294AE2D4" w14:textId="77777777" w:rsidR="00EC7FCE" w:rsidRDefault="00EC7FCE" w:rsidP="00EC7FCE">
      <w:pPr>
        <w:spacing w:after="0" w:line="480" w:lineRule="auto"/>
        <w:rPr>
          <w:rFonts w:ascii="Times New Roman" w:hAnsi="Times New Roman" w:cs="Times New Roman"/>
          <w:sz w:val="24"/>
          <w:szCs w:val="24"/>
        </w:rPr>
      </w:pPr>
      <w:r w:rsidRPr="00EC7FCE">
        <w:rPr>
          <w:rFonts w:ascii="Times New Roman" w:hAnsi="Times New Roman" w:cs="Times New Roman"/>
          <w:sz w:val="24"/>
          <w:szCs w:val="24"/>
        </w:rPr>
        <w:t>Davi, J.-P. (2018, July). I.MX RT 'crossover' processor overview [PowerPoint slides]. NXP</w:t>
      </w:r>
      <w:r>
        <w:rPr>
          <w:rFonts w:ascii="Times New Roman" w:hAnsi="Times New Roman" w:cs="Times New Roman"/>
          <w:sz w:val="24"/>
          <w:szCs w:val="24"/>
        </w:rPr>
        <w:t xml:space="preserve"> </w:t>
      </w:r>
    </w:p>
    <w:p w14:paraId="65DA73BD" w14:textId="0591048B" w:rsidR="00EC7FCE" w:rsidRDefault="00EC7FCE" w:rsidP="00EC7FCE">
      <w:pPr>
        <w:spacing w:after="0" w:line="480" w:lineRule="auto"/>
        <w:ind w:left="720"/>
        <w:rPr>
          <w:rStyle w:val="url"/>
          <w:color w:val="05103E"/>
          <w:sz w:val="27"/>
          <w:szCs w:val="27"/>
          <w:bdr w:val="single" w:sz="2" w:space="0" w:color="ECEDEE" w:frame="1"/>
        </w:rPr>
      </w:pPr>
      <w:r w:rsidRPr="00EC7FCE">
        <w:rPr>
          <w:rFonts w:ascii="Times New Roman" w:hAnsi="Times New Roman" w:cs="Times New Roman"/>
          <w:sz w:val="24"/>
          <w:szCs w:val="24"/>
        </w:rPr>
        <w:t>Semiconductors. Accessed February 25, 2024.</w:t>
      </w:r>
      <w:r>
        <w:rPr>
          <w:color w:val="05103E"/>
          <w:sz w:val="27"/>
          <w:szCs w:val="27"/>
        </w:rPr>
        <w:t> </w:t>
      </w:r>
      <w:hyperlink r:id="rId4" w:history="1">
        <w:r w:rsidR="00E200E2" w:rsidRPr="009274EA">
          <w:rPr>
            <w:rStyle w:val="Hyperlink"/>
            <w:sz w:val="27"/>
            <w:szCs w:val="27"/>
            <w:bdr w:val="single" w:sz="2" w:space="0" w:color="ECEDEE" w:frame="1"/>
          </w:rPr>
          <w:t>https://www.bing.com/search?q=Kinetis+and+i.MX+RT+overview&amp;cvid=32f14566608d4a18add66196ee89dcb6&amp;gs_lcrp=EgZjaHJvbWUyBggAEEUYOdIBCDI1MzZqMGo0qAIAsAIA&amp;FORM=ANAB01&amp;PC=LCTS&amp;ntref=1</w:t>
        </w:r>
      </w:hyperlink>
    </w:p>
    <w:p w14:paraId="7E4FA152" w14:textId="77777777" w:rsidR="00E200E2" w:rsidRDefault="00E200E2" w:rsidP="00E200E2">
      <w:pPr>
        <w:spacing w:after="0" w:line="480" w:lineRule="auto"/>
        <w:rPr>
          <w:rFonts w:ascii="Times New Roman" w:hAnsi="Times New Roman" w:cs="Times New Roman"/>
          <w:sz w:val="24"/>
          <w:szCs w:val="24"/>
        </w:rPr>
      </w:pPr>
      <w:r w:rsidRPr="00E200E2">
        <w:rPr>
          <w:rFonts w:ascii="Times New Roman" w:hAnsi="Times New Roman" w:cs="Times New Roman"/>
          <w:sz w:val="24"/>
          <w:szCs w:val="24"/>
        </w:rPr>
        <w:t xml:space="preserve">Jones, C. (2022, May 26). How to achieve better IoT security in Wi-Fi modules. Embedded. </w:t>
      </w:r>
    </w:p>
    <w:p w14:paraId="407C77DC" w14:textId="64177588" w:rsidR="00E200E2" w:rsidRDefault="00E200E2" w:rsidP="00E200E2">
      <w:pPr>
        <w:spacing w:after="0" w:line="480" w:lineRule="auto"/>
        <w:ind w:left="720"/>
        <w:rPr>
          <w:rFonts w:ascii="Times New Roman" w:hAnsi="Times New Roman" w:cs="Times New Roman"/>
          <w:sz w:val="24"/>
          <w:szCs w:val="24"/>
        </w:rPr>
      </w:pPr>
      <w:hyperlink r:id="rId5" w:history="1">
        <w:r w:rsidRPr="009274EA">
          <w:rPr>
            <w:rStyle w:val="Hyperlink"/>
            <w:rFonts w:ascii="Times New Roman" w:hAnsi="Times New Roman" w:cs="Times New Roman"/>
            <w:sz w:val="24"/>
            <w:szCs w:val="24"/>
          </w:rPr>
          <w:t>https://www.embedded.com/how-to-achieve-better-iot-security-in-wi-fi-modules/#:~:text=Wi-Fi%20modules%20need%20to%20run%20several%20different%20protocols,server%20might%20include%3A%20TLS%20TCP%2FIP%20HTTP%2FS%20FTP%20MQTT</w:t>
        </w:r>
      </w:hyperlink>
    </w:p>
    <w:p w14:paraId="5675B552" w14:textId="012EB58E" w:rsidR="00E200E2" w:rsidRDefault="00E200E2" w:rsidP="00E200E2">
      <w:pPr>
        <w:pStyle w:val="NormalWeb"/>
        <w:spacing w:before="0" w:beforeAutospacing="0" w:after="0" w:afterAutospacing="0" w:line="480" w:lineRule="auto"/>
        <w:ind w:left="720" w:hanging="720"/>
      </w:pPr>
      <w:r>
        <w:rPr>
          <w:i/>
          <w:iCs/>
        </w:rPr>
        <w:t>MPLAB® Harmony v3 | Microchip Technology</w:t>
      </w:r>
      <w:r>
        <w:t xml:space="preserve">. (n.d.). </w:t>
      </w:r>
      <w:r>
        <w:rPr>
          <w:rStyle w:val="url"/>
        </w:rPr>
        <w:t>https://www.microchip.com/en-us/tools-resources/configure/mplab-harmony</w:t>
      </w:r>
    </w:p>
    <w:p w14:paraId="59791539" w14:textId="494AD261" w:rsidR="00EC7FCE" w:rsidRDefault="00C27814" w:rsidP="00EC7FCE">
      <w:pPr>
        <w:spacing w:after="0" w:line="480" w:lineRule="auto"/>
        <w:rPr>
          <w:rFonts w:ascii="Times New Roman" w:hAnsi="Times New Roman" w:cs="Times New Roman"/>
          <w:sz w:val="24"/>
          <w:szCs w:val="24"/>
        </w:rPr>
      </w:pPr>
      <w:r w:rsidRPr="00C27814">
        <w:rPr>
          <w:rFonts w:ascii="Times New Roman" w:hAnsi="Times New Roman" w:cs="Times New Roman"/>
          <w:sz w:val="24"/>
          <w:szCs w:val="24"/>
        </w:rPr>
        <w:t xml:space="preserve">Texas Instruments. (n.d.). </w:t>
      </w:r>
      <w:r w:rsidRPr="00C27814">
        <w:rPr>
          <w:rFonts w:ascii="Times New Roman" w:hAnsi="Times New Roman" w:cs="Times New Roman"/>
          <w:i/>
          <w:iCs/>
          <w:sz w:val="24"/>
          <w:szCs w:val="24"/>
        </w:rPr>
        <w:t>MSP430 User's Guide</w:t>
      </w:r>
      <w:r w:rsidRPr="00C27814">
        <w:rPr>
          <w:rFonts w:ascii="Times New Roman" w:hAnsi="Times New Roman" w:cs="Times New Roman"/>
          <w:sz w:val="24"/>
          <w:szCs w:val="24"/>
        </w:rPr>
        <w:t>. Retrieved February 25, 2024, from</w:t>
      </w:r>
      <w:r w:rsidR="00EC7FCE">
        <w:rPr>
          <w:rFonts w:ascii="Times New Roman" w:hAnsi="Times New Roman" w:cs="Times New Roman"/>
          <w:sz w:val="24"/>
          <w:szCs w:val="24"/>
        </w:rPr>
        <w:t xml:space="preserve"> </w:t>
      </w:r>
    </w:p>
    <w:p w14:paraId="6F059643" w14:textId="312F19ED" w:rsidR="00D71EE2" w:rsidRDefault="00EC7FCE" w:rsidP="00EC7FCE">
      <w:pPr>
        <w:spacing w:after="0" w:line="480" w:lineRule="auto"/>
        <w:ind w:firstLine="720"/>
        <w:rPr>
          <w:rFonts w:ascii="Times New Roman" w:hAnsi="Times New Roman" w:cs="Times New Roman"/>
          <w:sz w:val="24"/>
          <w:szCs w:val="24"/>
        </w:rPr>
      </w:pPr>
      <w:hyperlink r:id="rId6" w:history="1">
        <w:r w:rsidRPr="009274EA">
          <w:rPr>
            <w:rStyle w:val="Hyperlink"/>
            <w:rFonts w:ascii="Times New Roman" w:hAnsi="Times New Roman" w:cs="Times New Roman"/>
            <w:sz w:val="24"/>
            <w:szCs w:val="24"/>
          </w:rPr>
          <w:t>https://www.ti.com/sc/docs/products/micro/msp430/userguid/ag_01.pdf</w:t>
        </w:r>
      </w:hyperlink>
    </w:p>
    <w:p w14:paraId="71F97095" w14:textId="77777777" w:rsidR="0041668B" w:rsidRPr="00D71EE2" w:rsidRDefault="0041668B" w:rsidP="00C27814">
      <w:pPr>
        <w:spacing w:after="0" w:line="480" w:lineRule="auto"/>
        <w:jc w:val="center"/>
        <w:rPr>
          <w:rFonts w:ascii="Times New Roman" w:hAnsi="Times New Roman" w:cs="Times New Roman"/>
          <w:sz w:val="24"/>
          <w:szCs w:val="24"/>
        </w:rPr>
      </w:pPr>
    </w:p>
    <w:sectPr w:rsidR="0041668B" w:rsidRPr="00D71EE2" w:rsidSect="009113E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C1"/>
    <w:rsid w:val="0041668B"/>
    <w:rsid w:val="009113ED"/>
    <w:rsid w:val="00977DAD"/>
    <w:rsid w:val="009E2810"/>
    <w:rsid w:val="00AE67F0"/>
    <w:rsid w:val="00BD4798"/>
    <w:rsid w:val="00C27814"/>
    <w:rsid w:val="00D71EE2"/>
    <w:rsid w:val="00DC22C1"/>
    <w:rsid w:val="00DC7D4A"/>
    <w:rsid w:val="00DE2124"/>
    <w:rsid w:val="00E200E2"/>
    <w:rsid w:val="00EC225E"/>
    <w:rsid w:val="00EC7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F3766"/>
  <w15:chartTrackingRefBased/>
  <w15:docId w15:val="{382EA386-1CF3-40D1-B94A-AF6C9FFC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meta">
    <w:name w:val="hljs-meta"/>
    <w:basedOn w:val="DefaultParagraphFont"/>
    <w:rsid w:val="00DC22C1"/>
  </w:style>
  <w:style w:type="character" w:customStyle="1" w:styleId="hljs-keyword">
    <w:name w:val="hljs-keyword"/>
    <w:basedOn w:val="DefaultParagraphFont"/>
    <w:rsid w:val="00DC22C1"/>
  </w:style>
  <w:style w:type="character" w:customStyle="1" w:styleId="hljs-string">
    <w:name w:val="hljs-string"/>
    <w:basedOn w:val="DefaultParagraphFont"/>
    <w:rsid w:val="00DC22C1"/>
  </w:style>
  <w:style w:type="character" w:customStyle="1" w:styleId="hljs-comment">
    <w:name w:val="hljs-comment"/>
    <w:basedOn w:val="DefaultParagraphFont"/>
    <w:rsid w:val="00DC22C1"/>
  </w:style>
  <w:style w:type="character" w:customStyle="1" w:styleId="hljs-class">
    <w:name w:val="hljs-class"/>
    <w:basedOn w:val="DefaultParagraphFont"/>
    <w:rsid w:val="00DC22C1"/>
  </w:style>
  <w:style w:type="character" w:customStyle="1" w:styleId="hljs-title">
    <w:name w:val="hljs-title"/>
    <w:basedOn w:val="DefaultParagraphFont"/>
    <w:rsid w:val="00DC22C1"/>
  </w:style>
  <w:style w:type="character" w:customStyle="1" w:styleId="hljs-type">
    <w:name w:val="hljs-type"/>
    <w:basedOn w:val="DefaultParagraphFont"/>
    <w:rsid w:val="00DC22C1"/>
  </w:style>
  <w:style w:type="character" w:customStyle="1" w:styleId="hljs-number">
    <w:name w:val="hljs-number"/>
    <w:basedOn w:val="DefaultParagraphFont"/>
    <w:rsid w:val="00DC22C1"/>
  </w:style>
  <w:style w:type="character" w:customStyle="1" w:styleId="hljs-params">
    <w:name w:val="hljs-params"/>
    <w:basedOn w:val="DefaultParagraphFont"/>
    <w:rsid w:val="00DC22C1"/>
  </w:style>
  <w:style w:type="character" w:styleId="Hyperlink">
    <w:name w:val="Hyperlink"/>
    <w:basedOn w:val="DefaultParagraphFont"/>
    <w:uiPriority w:val="99"/>
    <w:unhideWhenUsed/>
    <w:rsid w:val="00C27814"/>
    <w:rPr>
      <w:color w:val="0563C1" w:themeColor="hyperlink"/>
      <w:u w:val="single"/>
    </w:rPr>
  </w:style>
  <w:style w:type="character" w:styleId="UnresolvedMention">
    <w:name w:val="Unresolved Mention"/>
    <w:basedOn w:val="DefaultParagraphFont"/>
    <w:uiPriority w:val="99"/>
    <w:semiHidden/>
    <w:unhideWhenUsed/>
    <w:rsid w:val="00C27814"/>
    <w:rPr>
      <w:color w:val="605E5C"/>
      <w:shd w:val="clear" w:color="auto" w:fill="E1DFDD"/>
    </w:rPr>
  </w:style>
  <w:style w:type="paragraph" w:styleId="NormalWeb">
    <w:name w:val="Normal (Web)"/>
    <w:basedOn w:val="Normal"/>
    <w:uiPriority w:val="99"/>
    <w:unhideWhenUsed/>
    <w:rsid w:val="004166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416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6665">
      <w:bodyDiv w:val="1"/>
      <w:marLeft w:val="0"/>
      <w:marRight w:val="0"/>
      <w:marTop w:val="0"/>
      <w:marBottom w:val="0"/>
      <w:divBdr>
        <w:top w:val="none" w:sz="0" w:space="0" w:color="auto"/>
        <w:left w:val="none" w:sz="0" w:space="0" w:color="auto"/>
        <w:bottom w:val="none" w:sz="0" w:space="0" w:color="auto"/>
        <w:right w:val="none" w:sz="0" w:space="0" w:color="auto"/>
      </w:divBdr>
      <w:divsChild>
        <w:div w:id="199318777">
          <w:marLeft w:val="0"/>
          <w:marRight w:val="0"/>
          <w:marTop w:val="0"/>
          <w:marBottom w:val="0"/>
          <w:divBdr>
            <w:top w:val="none" w:sz="0" w:space="0" w:color="auto"/>
            <w:left w:val="none" w:sz="0" w:space="0" w:color="auto"/>
            <w:bottom w:val="none" w:sz="0" w:space="0" w:color="auto"/>
            <w:right w:val="none" w:sz="0" w:space="0" w:color="auto"/>
          </w:divBdr>
        </w:div>
        <w:div w:id="1346593999">
          <w:marLeft w:val="0"/>
          <w:marRight w:val="0"/>
          <w:marTop w:val="0"/>
          <w:marBottom w:val="0"/>
          <w:divBdr>
            <w:top w:val="none" w:sz="0" w:space="0" w:color="auto"/>
            <w:left w:val="none" w:sz="0" w:space="0" w:color="auto"/>
            <w:bottom w:val="none" w:sz="0" w:space="0" w:color="auto"/>
            <w:right w:val="none" w:sz="0" w:space="0" w:color="auto"/>
          </w:divBdr>
        </w:div>
      </w:divsChild>
    </w:div>
    <w:div w:id="147484765">
      <w:bodyDiv w:val="1"/>
      <w:marLeft w:val="0"/>
      <w:marRight w:val="0"/>
      <w:marTop w:val="0"/>
      <w:marBottom w:val="0"/>
      <w:divBdr>
        <w:top w:val="none" w:sz="0" w:space="0" w:color="auto"/>
        <w:left w:val="none" w:sz="0" w:space="0" w:color="auto"/>
        <w:bottom w:val="none" w:sz="0" w:space="0" w:color="auto"/>
        <w:right w:val="none" w:sz="0" w:space="0" w:color="auto"/>
      </w:divBdr>
    </w:div>
    <w:div w:id="279459604">
      <w:bodyDiv w:val="1"/>
      <w:marLeft w:val="0"/>
      <w:marRight w:val="0"/>
      <w:marTop w:val="0"/>
      <w:marBottom w:val="0"/>
      <w:divBdr>
        <w:top w:val="none" w:sz="0" w:space="0" w:color="auto"/>
        <w:left w:val="none" w:sz="0" w:space="0" w:color="auto"/>
        <w:bottom w:val="none" w:sz="0" w:space="0" w:color="auto"/>
        <w:right w:val="none" w:sz="0" w:space="0" w:color="auto"/>
      </w:divBdr>
    </w:div>
    <w:div w:id="399912638">
      <w:bodyDiv w:val="1"/>
      <w:marLeft w:val="0"/>
      <w:marRight w:val="0"/>
      <w:marTop w:val="0"/>
      <w:marBottom w:val="0"/>
      <w:divBdr>
        <w:top w:val="none" w:sz="0" w:space="0" w:color="auto"/>
        <w:left w:val="none" w:sz="0" w:space="0" w:color="auto"/>
        <w:bottom w:val="none" w:sz="0" w:space="0" w:color="auto"/>
        <w:right w:val="none" w:sz="0" w:space="0" w:color="auto"/>
      </w:divBdr>
    </w:div>
    <w:div w:id="548692242">
      <w:bodyDiv w:val="1"/>
      <w:marLeft w:val="0"/>
      <w:marRight w:val="0"/>
      <w:marTop w:val="0"/>
      <w:marBottom w:val="0"/>
      <w:divBdr>
        <w:top w:val="none" w:sz="0" w:space="0" w:color="auto"/>
        <w:left w:val="none" w:sz="0" w:space="0" w:color="auto"/>
        <w:bottom w:val="none" w:sz="0" w:space="0" w:color="auto"/>
        <w:right w:val="none" w:sz="0" w:space="0" w:color="auto"/>
      </w:divBdr>
    </w:div>
    <w:div w:id="603415319">
      <w:bodyDiv w:val="1"/>
      <w:marLeft w:val="0"/>
      <w:marRight w:val="0"/>
      <w:marTop w:val="0"/>
      <w:marBottom w:val="0"/>
      <w:divBdr>
        <w:top w:val="none" w:sz="0" w:space="0" w:color="auto"/>
        <w:left w:val="none" w:sz="0" w:space="0" w:color="auto"/>
        <w:bottom w:val="none" w:sz="0" w:space="0" w:color="auto"/>
        <w:right w:val="none" w:sz="0" w:space="0" w:color="auto"/>
      </w:divBdr>
    </w:div>
    <w:div w:id="611744767">
      <w:bodyDiv w:val="1"/>
      <w:marLeft w:val="0"/>
      <w:marRight w:val="0"/>
      <w:marTop w:val="0"/>
      <w:marBottom w:val="0"/>
      <w:divBdr>
        <w:top w:val="none" w:sz="0" w:space="0" w:color="auto"/>
        <w:left w:val="none" w:sz="0" w:space="0" w:color="auto"/>
        <w:bottom w:val="none" w:sz="0" w:space="0" w:color="auto"/>
        <w:right w:val="none" w:sz="0" w:space="0" w:color="auto"/>
      </w:divBdr>
      <w:divsChild>
        <w:div w:id="869490515">
          <w:marLeft w:val="-720"/>
          <w:marRight w:val="0"/>
          <w:marTop w:val="0"/>
          <w:marBottom w:val="0"/>
          <w:divBdr>
            <w:top w:val="none" w:sz="0" w:space="0" w:color="auto"/>
            <w:left w:val="none" w:sz="0" w:space="0" w:color="auto"/>
            <w:bottom w:val="none" w:sz="0" w:space="0" w:color="auto"/>
            <w:right w:val="none" w:sz="0" w:space="0" w:color="auto"/>
          </w:divBdr>
        </w:div>
      </w:divsChild>
    </w:div>
    <w:div w:id="1538347307">
      <w:bodyDiv w:val="1"/>
      <w:marLeft w:val="0"/>
      <w:marRight w:val="0"/>
      <w:marTop w:val="0"/>
      <w:marBottom w:val="0"/>
      <w:divBdr>
        <w:top w:val="none" w:sz="0" w:space="0" w:color="auto"/>
        <w:left w:val="none" w:sz="0" w:space="0" w:color="auto"/>
        <w:bottom w:val="none" w:sz="0" w:space="0" w:color="auto"/>
        <w:right w:val="none" w:sz="0" w:space="0" w:color="auto"/>
      </w:divBdr>
    </w:div>
    <w:div w:id="1616669304">
      <w:bodyDiv w:val="1"/>
      <w:marLeft w:val="0"/>
      <w:marRight w:val="0"/>
      <w:marTop w:val="0"/>
      <w:marBottom w:val="0"/>
      <w:divBdr>
        <w:top w:val="none" w:sz="0" w:space="0" w:color="auto"/>
        <w:left w:val="none" w:sz="0" w:space="0" w:color="auto"/>
        <w:bottom w:val="none" w:sz="0" w:space="0" w:color="auto"/>
        <w:right w:val="none" w:sz="0" w:space="0" w:color="auto"/>
      </w:divBdr>
    </w:div>
    <w:div w:id="1711346651">
      <w:bodyDiv w:val="1"/>
      <w:marLeft w:val="0"/>
      <w:marRight w:val="0"/>
      <w:marTop w:val="0"/>
      <w:marBottom w:val="0"/>
      <w:divBdr>
        <w:top w:val="none" w:sz="0" w:space="0" w:color="auto"/>
        <w:left w:val="none" w:sz="0" w:space="0" w:color="auto"/>
        <w:bottom w:val="none" w:sz="0" w:space="0" w:color="auto"/>
        <w:right w:val="none" w:sz="0" w:space="0" w:color="auto"/>
      </w:divBdr>
    </w:div>
    <w:div w:id="1728987685">
      <w:bodyDiv w:val="1"/>
      <w:marLeft w:val="0"/>
      <w:marRight w:val="0"/>
      <w:marTop w:val="0"/>
      <w:marBottom w:val="0"/>
      <w:divBdr>
        <w:top w:val="none" w:sz="0" w:space="0" w:color="auto"/>
        <w:left w:val="none" w:sz="0" w:space="0" w:color="auto"/>
        <w:bottom w:val="none" w:sz="0" w:space="0" w:color="auto"/>
        <w:right w:val="none" w:sz="0" w:space="0" w:color="auto"/>
      </w:divBdr>
    </w:div>
    <w:div w:id="1819573890">
      <w:bodyDiv w:val="1"/>
      <w:marLeft w:val="0"/>
      <w:marRight w:val="0"/>
      <w:marTop w:val="0"/>
      <w:marBottom w:val="0"/>
      <w:divBdr>
        <w:top w:val="none" w:sz="0" w:space="0" w:color="auto"/>
        <w:left w:val="none" w:sz="0" w:space="0" w:color="auto"/>
        <w:bottom w:val="none" w:sz="0" w:space="0" w:color="auto"/>
        <w:right w:val="none" w:sz="0" w:space="0" w:color="auto"/>
      </w:divBdr>
    </w:div>
    <w:div w:id="190725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i.com/sc/docs/products/micro/msp430/userguid/ag_01.pdf" TargetMode="External"/><Relationship Id="rId5" Type="http://schemas.openxmlformats.org/officeDocument/2006/relationships/hyperlink" Target="https://www.embedded.com/how-to-achieve-better-iot-security-in-wi-fi-modules/#:~:text=Wi-Fi%20modules%20need%20to%20run%20several%20different%20protocols,server%20might%20include%3A%20TLS%20TCP%2FIP%20HTTP%2FS%20FTP%20MQTT" TargetMode="External"/><Relationship Id="rId4" Type="http://schemas.openxmlformats.org/officeDocument/2006/relationships/hyperlink" Target="https://www.bing.com/search?q=Kinetis+and+i.MX+RT+overview&amp;cvid=32f14566608d4a18add66196ee89dcb6&amp;gs_lcrp=EgZjaHJvbWUyBggAEEUYOdIBCDI1MzZqMGo0qAIAsAIA&amp;FORM=ANAB01&amp;PC=LCTS&amp;ntre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4</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Wilde</dc:creator>
  <cp:keywords/>
  <dc:description/>
  <cp:lastModifiedBy>Sylvie Wilde</cp:lastModifiedBy>
  <cp:revision>1</cp:revision>
  <dcterms:created xsi:type="dcterms:W3CDTF">2024-02-26T02:12:00Z</dcterms:created>
  <dcterms:modified xsi:type="dcterms:W3CDTF">2024-02-26T11:23:00Z</dcterms:modified>
</cp:coreProperties>
</file>