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7600" cy="74633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封面_简洁版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746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br w:type="page"/>
      </w:r>
    </w:p>
    <w:sdt>
      <w:sdtPr>
        <w:rPr>
          <w:rFonts w:ascii="Times New Roman" w:eastAsia="宋体" w:hAnsi="Times New Roman" w:cstheme="minorBidi"/>
          <w:b w:val="0"/>
          <w:bCs w:val="0"/>
          <w:sz w:val="24"/>
          <w:szCs w:val="22"/>
          <w:lang w:val="zh-CN" w:eastAsia="zh-CN"/>
        </w:rPr>
        <w:id w:val="-2133855548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>
          <w:pPr>
            <w:pStyle w:val="TOC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目录</w:t>
          </w:r>
        </w:p>
        <w:p>
          <w:pPr>
            <w:pStyle w:val="TOC1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一、审视——三元协同课堂互动失衡之困</w:t>
          </w:r>
        </w:p>
        <w:p>
          <w:pPr>
            <w:pStyle w:val="TOC2"/>
            <w:ind w:left="238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（一）形式失衡：程式问答遮蔽多向通道</w:t>
          </w:r>
        </w:p>
        <w:p>
          <w:pPr>
            <w:pStyle w:val="TOC2"/>
            <w:ind w:left="238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（二）关系失衡：主客固化消解平等交往</w:t>
          </w:r>
        </w:p>
        <w:p>
          <w:pPr>
            <w:pStyle w:val="TOC2"/>
            <w:ind w:left="238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（三）技术失衡：工具越位遮蔽真实对话</w:t>
          </w:r>
        </w:p>
        <w:p>
          <w:pPr>
            <w:pStyle w:val="TOC1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二、探究——三元协同课堂互动校准之阶</w:t>
          </w:r>
        </w:p>
        <w:p>
          <w:pPr>
            <w:pStyle w:val="TOC2"/>
            <w:ind w:left="238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（一）破程开道：由程式问答走向多层表达</w:t>
          </w:r>
        </w:p>
        <w:p>
          <w:pPr>
            <w:pStyle w:val="TOC3"/>
            <w:ind w:left="476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1. 梯度设问，横向开道</w:t>
          </w:r>
        </w:p>
        <w:p>
          <w:pPr>
            <w:pStyle w:val="TOC3"/>
            <w:ind w:left="476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2. 分层驱动，全员入场</w:t>
          </w:r>
        </w:p>
        <w:p>
          <w:pPr>
            <w:pStyle w:val="TOC3"/>
            <w:ind w:left="476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3. 预设留白，生成入课</w:t>
          </w:r>
        </w:p>
        <w:p>
          <w:pPr>
            <w:pStyle w:val="TOC2"/>
            <w:ind w:left="238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（二）复权归位：由少数独言走向全员可见</w:t>
          </w:r>
        </w:p>
        <w:p>
          <w:pPr>
            <w:pStyle w:val="TOC3"/>
            <w:ind w:left="476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1. 问权下移，学生学会追问</w:t>
          </w:r>
        </w:p>
        <w:p>
          <w:pPr>
            <w:pStyle w:val="TOC3"/>
            <w:ind w:left="476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2. 边缘可见，观点上屏</w:t>
          </w:r>
        </w:p>
        <w:p>
          <w:pPr>
            <w:pStyle w:val="TOC3"/>
            <w:ind w:left="476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3. 三元归位，人守判断</w:t>
          </w:r>
        </w:p>
        <w:p>
          <w:pPr>
            <w:pStyle w:val="TOC2"/>
            <w:ind w:left="238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（三）守界护航：由技术越位回归支架本位</w:t>
          </w:r>
        </w:p>
        <w:p>
          <w:pPr>
            <w:pStyle w:val="TOC3"/>
            <w:ind w:left="476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1. 禁替终答，先思后比</w:t>
          </w:r>
        </w:p>
        <w:p>
          <w:pPr>
            <w:pStyle w:val="TOC3"/>
            <w:ind w:left="476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2. 护航情意，出错先护</w:t>
          </w:r>
        </w:p>
        <w:p>
          <w:pPr>
            <w:pStyle w:val="TOC3"/>
            <w:ind w:left="476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3. 证伪机器，据文校验</w:t>
          </w:r>
        </w:p>
        <w:p>
          <w:pPr>
            <w:pStyle w:val="TOC2"/>
            <w:ind w:left="238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（四）入常落地：由单课校准走向课型复盘</w:t>
          </w:r>
        </w:p>
        <w:p>
          <w:pPr>
            <w:pStyle w:val="TOC1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三、反思——三元协同课堂互动均衡之效</w:t>
          </w:r>
        </w:p>
        <w:p>
          <w:pPr>
            <w:pStyle w:val="TOC2"/>
            <w:ind w:left="238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（一）已见之效：结构与行为的可见变化</w:t>
          </w:r>
        </w:p>
        <w:p>
          <w:pPr>
            <w:pStyle w:val="TOC2"/>
            <w:ind w:left="238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（二）未竟之困：进度、工具与评价三重回潮</w:t>
          </w:r>
        </w:p>
        <w:p>
          <w:pPr>
            <w:pStyle w:val="TOC2"/>
            <w:ind w:left="238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（三）持续之向：支架归位与循证入常</w:t>
          </w:r>
        </w:p>
        <w:p>
          <w:pPr>
            <w:pStyle w:val="TOC"/>
            <w:spacing w:line="360" w:lineRule="auto"/>
          </w:pPr>
          <w:r>
            <w:rPr>
              <w:rFonts w:ascii="Times New Roman" w:hAnsi="Times New Roman" w:eastAsia="宋体"/>
              <w:sz w:val="24"/>
            </w:rPr>
            <w:t xml:space="preserve">（打开文档后请按 F9 更新目录页码）</w:t>
          </w:r>
        </w:p>
      </w:sdtContent>
    </w:sdt>
    <w:p>
      <w:pPr>
        <w:pStyle w:val="ab"/>
        <w:spacing w:line="360" w:lineRule="auto" w:before="0" w:after="0"/>
        <w:jc w:val="center"/>
      </w:pPr>
      <w:r>
        <w:rPr>
          <w:rFonts w:ascii="Times New Roman" w:hAnsi="Times New Roman" w:eastAsia="黑体" w:cs="Times New Roman"/>
          <w:b/>
          <w:sz w:val="32"/>
        </w:rPr>
        <w:t>失衡·校准·均衡</w:t>
      </w:r>
    </w:p>
    <w:p>
      <w:pPr>
        <w:pStyle w:val="ab"/>
        <w:spacing w:line="360" w:lineRule="auto" w:before="0" w:after="0"/>
        <w:jc w:val="center"/>
      </w:pPr>
      <w:r>
        <w:rPr>
          <w:rFonts w:ascii="Times New Roman" w:hAnsi="Times New Roman" w:eastAsia="黑体" w:cs="Times New Roman"/>
          <w:b/>
          <w:sz w:val="32"/>
        </w:rPr>
        <w:t>——AI赋能下小学语文三元协同师生互动优化策略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【摘要】生成式人工智能进入小学语文课堂后，互动主体由“教师—学生”扩展为“教师—AI—学生”。已有研究多讨论资源生成与分层练习，对课堂互动的通道、权责与越位边界仍缺少可观察的校准框架。本文以“问题—策略—结果”为线索，将形式、关系、技术三类失衡对应破程、复权、守界三阶校准，并以课型分责与循证复盘使之入常：破程以梯度设问与分层任务打开横向通道，复权以问权下移与观点上屏扩大可见发言，守界以禁替终答、护航情意与据文校验限制技术越位。核心判断是：三元协同并非三方平均用力，而是AI承担支架、教师承担引领、学生完成意义建构，推动互动由信息交互进入概念交互，并由人守住情意回应。证据以课堂观察、课例分析与政策文本为主，公开数据仅作侧面说明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【关键词】小学语文；生成式人工智能；三元协同师生互动；课堂校准；教学交互</w:t>
      </w:r>
    </w:p>
    <w:p>
      <w:pPr>
        <w:pStyle w:val="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一、审视——三元协同课堂互动失衡之困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生成式人工智能进入课堂后，互动主体由双方变为三方，问答结构却常被原样保留：学生行列式就座，目光朝向屏幕或讲台，发言以举手应答为主。工具可以即时生成问题、归集观点、反馈朗读，但若组织方式、权责关系与技术边界不同步调整，技术在场只会把单向问答做得更流畅。换言之，三元在场并不自动等于三元协同。故先从形式、关系、技术三处审视失衡，为下文校准定位。</w:t>
      </w:r>
    </w:p>
    <w:p>
      <w:pPr>
        <w:keepNext/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178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7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 1 课堂现场：行列式就座、目光朝向屏幕与讲台</w:t>
      </w:r>
    </w:p>
    <w:p>
      <w:pPr>
        <w:pStyle w:val="2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（一）形式失衡：程式问答遮蔽多向通道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形式失衡，指互动被收束为“教师一呼、学生百应”。教师与全体、教师与个别两条线占满课时，生生、组际的横向通道难以进入，教案之外的生成也难以及时回应。深度互动往往不是被技术挡住，而是被放射状流程遮蔽：问题只有一个入口，答案只有一条标准路径，课堂看起来热闹，结构上仍是单向问答。此时即便引入生成式工具，也多半只是把“教师提问”换成“屏幕提问”，通道本身并未打开。</w:t>
      </w:r>
    </w:p>
    <w:p>
      <w:pPr>
        <w:pStyle w:val="2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（二）关系失衡：主客固化消解平等交往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关系失衡，指发起权、可见权、判断权持续掌握在教师和少数学生手中：教师独问、少数独言、边缘学生旁观。生成式工具一旦充当“更正确的声音”，提问权与评价权再让给机器，主客关系更难松动。技术越流畅，沉默学生越容易被“正确答案”挤出对话；表面上人人面对同一屏幕，实际上仍是少数人代表全班发言。</w:t>
      </w:r>
    </w:p>
    <w:p>
      <w:pPr>
        <w:pStyle w:val="2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（三）技术失衡：工具越位遮蔽真实对话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技术失衡，指工具越位替学生思考与判断，常见替答、替评、替演、替证四类表现。操作层流畅不等于概念层发生；情感体察与价值判断仍须由人完成。若终答、终评交给机器，学生得到的是可复制的句子，而不是可检验的理解。语文课堂尤其忌讳以流畅句替代文本证据：读得顺，未必读得懂；评得快，未必评得准。</w:t>
      </w:r>
    </w:p>
    <w:p>
      <w:pPr>
        <w:keepNext/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4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 2 三类失衡合集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表1 三类失衡、识别信号与校准指向</w:t>
      </w:r>
    </w:p>
    <w:p>
      <w:pPr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7600" cy="17218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172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三类失衡彼此牵制：通道不开，权责难还；权责不还，边界难守。只改其中一个条件，另外两个仍会把课堂拉回旧结构。例如，仅增加投屏与生成问题，却不调整发言权与终答边界，课堂仍可能是“屏幕上的一呼百应”。故校准不能只改工具，而须按“破程—复权—守界”递进推进，并落到可重复的课型日常。</w:t>
      </w:r>
    </w:p>
    <w:p>
      <w:pPr>
        <w:pStyle w:val="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二、探究——三元协同课堂互动校准之阶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失衡的根子不在技术本身，而在通道、权责与边界三个条件是否同步成立。据此提出三阶校准：破程打开通道，对应形式失衡；复权归还权责，对应关系失衡；守界限制越位，对应技术失衡。三阶呈现阶梯关系而非并列口号——先有可进入的通道，才谈得上权责再分配；权责归位之后，才需要以边界防止技术回潮越位。三阶之后再以入常落地，使校准从“一节好课”走向“每一节课可执行”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三者不是三方平均用力，而是AI承担支架、教师承担引领、学生完成意义建构。低年段的开放式生成由教师发起并监护，中高年段逐步把提问权、校验权交给学生。这一安排也与课标强调的学习任务群推进相一致：工具服务任务，任务服务理解，理解最终落在学生可表达、可检验的学习结果上。年段差异决定的是监护强度，而不是取消边界——低年段更需教师代为守界，高年段则把守界能力逐步教给学生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这一逻辑可与教学交互层次对照理解：课堂要由操作交互、信息交互拾级进入概念交互，并以情意共鸣为不可外包给算法的边界。三阶校准解决的是“如何互动、谁来互动、什么不可交给AI”，交互层次回答的是“互动要升到哪一层才算发生学习”。二者合观，才能把策略落到可观察的行为上：破程主要把课堂从单一操作推进到可交换的信息交互；复权推动更多学生进入信息交换并开始概念碰撞；守界则保证概念交互与情意回应不被生成文本替代。</w:t>
      </w:r>
    </w:p>
    <w:p>
      <w:pPr>
        <w:keepNext/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7564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交互层次与三元校准综合模型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5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 3 交互层次与三元校准综合模型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表2 三元主体的权责与不可越权之处</w:t>
      </w:r>
    </w:p>
    <w:p>
      <w:pPr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7600" cy="17218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172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（一）破程开道：由程式问答走向多层表达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破程先改问题，再改任务，最后决定是否调用工具。通道一开，程式才松得动；若只换媒介、不改问题结构，所谓“AI赋能”仍可能是更精致的一问一答。破程要回答的核心问题是：学生除了应答教师，还能向谁说、就什么说、以何种梯度说。</w:t>
      </w:r>
    </w:p>
    <w:p>
      <w:pPr>
        <w:pStyle w:val="3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1. 梯度设问，横向开道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把“一呼百应”的大问题拆成有梯度的问题链，使不同层次的学生都有可说之处。问题应从课文与学生的生活经验中生长，而不是只服务教师预设的标准问。工具可用于生成问题梯度、归集不同想法，但不直接给出标准寓意。以《守株待兔》为例，由“等待会不会有好结果”追问到“课文中哪句话能证明”，横向上便打开了多条应答线：有人谈生活经验，有人找原文词句，有人比较不同说法。梯度的意义不在把课堂切碎，而在让表达入口变多，避免只有会说“标准答案”的学生才能入场。教师此时的工作，是把杂多表达再收束回文本证据，而不是用一个“标准寓意”提前关掉讨论。</w:t>
      </w:r>
    </w:p>
    <w:p>
      <w:pPr>
        <w:pStyle w:val="3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2. 分层驱动，全员入场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任务分层让表达较弱的学生也能进入：基础层读通、说清，提升层比较、归类，挑战层质疑、论证。再用同桌互读、小组互说、组际互评，把“教师—学生”两条线扩展为“生—生、组—组”多条通道。低段阅读《去外婆家》以“外婆家有……有……还有……”的句式支架，串联品美食、戏小鸟、赏野花、悟亲情；随后以“说好吃的、说好玩的、说好看的”口语交际支架，让学生各叙己事。支架把表达的入场券发到每个学生手里，参与不再依赖谁先举手。这里AI若介入，宜生成句式卡片或观察角度提示，而不宜代写学生的生活故事——故事必须由学生自己说完，通道才算真正打开。分层不是给学生贴标签，而是保证同一课时内存在多条可达路径，使沉默不再等于无能。</w:t>
      </w:r>
    </w:p>
    <w:p>
      <w:pPr>
        <w:pStyle w:val="3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3. 预设留白，生成入课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教案预留“意外时间”：学生提出教案之外的想法时，先接住、归类，再回扣课文，不急于纠正或绕开。工具可在多角度参考上帮忙，但不给终答。预设越满，生成越窄；留白越足，越能容纳真实思维。实践中常见的失败，是把生成式工具当成“补全教案空白”的装置，结果教案更满、生成更少。破程至此，形式失衡开始松动：课堂不再只有一条放射状问答链，而出现可交叉的横向通道。通道打开，只是校准的第一步；若发言权与判断权仍旧集中，多向结构仍会被少数人重新收束。</w:t>
      </w:r>
    </w:p>
    <w:p>
      <w:pPr>
        <w:pStyle w:val="2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（二）复权归位：由少数独言走向全员可见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通道打开后，若发起权、可见权、判断权仍在教师与少数人手中，多向互动仍会被少数人垄断。复权不是取消教师主导，而是把“问、见、判”三项权责重新配置：学生学会追问，边缘观点被看见，最终判断仍由人完成。可以说，破程解决“有没有通道”，复权解决“通道上是谁在说话、谁的话被听见、谁来判定对错”。</w:t>
      </w:r>
    </w:p>
    <w:p>
      <w:pPr>
        <w:pStyle w:val="3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1. 问权下移，学生学会追问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把“问”教给学生，并规定向工具提问不得直接索要终答。可用微型句式课训练追问——“这句话删掉会怎样”“课文中哪句话支持这个说法”——贴在语文书首页反复调用。《犟龟》课例以预测策略组织阅读：学生沿“借助课题、借助插图、联系生活、联系内容”不断预测并说明依据，问权由教师移交学生，教师退到提问的次位。问权下移的关键，不在让学生“会用AI提问”，而在让学生学会带着依据追问；没有依据的提问，只是把独问从教师换成机器。教师可事先规定：向工具提问时，必须同时准备一句课文原句作对照；否则该提问不进入全班讨论。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表3 学生向AI提问的支架句式</w:t>
      </w:r>
    </w:p>
    <w:p>
      <w:pPr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7600" cy="1994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199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3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2. 边缘可见，观点上屏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投屏不是展示结果，而是开启新一轮对话。把各组关键词汇总上屏，请一组说明归类理由，另一组补充或反驳，最后回到课文找依据；汇总可由工具完成，处理冲突仍由教师组织。沉默学生的想法一旦被点名进入讨论，旁观格局就开始松动。可见权的校准，实质是让“说出来的”与“写在卡片上的”都能进入公共讨论，避免课堂被少数声音代表。对低年段而言，可见权往往比“说得精彩”更要紧：先被看见，才可能继续说；先进入屏幕，才可能进入辩论。</w:t>
      </w:r>
    </w:p>
    <w:p>
      <w:pPr>
        <w:pStyle w:val="3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3. 三元归位，人守判断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判断权与评分权留在人这边：工具归类、投屏、给证据，教师组织对话、追问冲突，学生比照、质疑、论证。生成文本连贯不等于意义正确，凡结论都要回到文本证据。关系理顺后，“机器说的就是对的”才会让位于“课文里有没有依据”。复权完成的标志，不是发言人次增加，而是发起、可见与判断三项权责各归其位。至此，信息交互开始具备升入概念交互的条件；若缺少下一步守界，升层仍可能被“更正确的生成句”打断。</w:t>
      </w:r>
    </w:p>
    <w:p>
      <w:pPr>
        <w:pStyle w:val="2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（三）守界护航：由技术越位回归支架本位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通道与权责调整之后，仍需划定不可逾越的边界，否则工具会以更精致的方式替答、替评、替演、替证。守界的原则很明确：AI可以降低材料准备与信息归集的成本，但不能替代学生完成本应由其完成的思维与表达。守界不是拒绝技术，而是规定技术停在支架层，不进入终答层与情意层。</w:t>
      </w:r>
    </w:p>
    <w:p>
      <w:pPr>
        <w:keepNext/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6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 4 三元校准与技术边界</w:t>
      </w:r>
    </w:p>
    <w:p>
      <w:pPr>
        <w:pStyle w:val="3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1. 禁替终答，先思后比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可以给问题、给材料、给归集，不给本课终答。“标准赏析”折叠到学生独立表达之后只作对照；角度提示、情节提示、病句提醒可以生成，成篇文字须学生完成。可概括为“卡可生成、文须人写”：支架可预先生成，落笔与修改必须由学生独立完成。先思后比，是为了保证概念交互发生在学生身上，而不是发生在生成文本的流畅度上。习作课尤须坚持这一顺序：先有学生自己的观察与草稿，再允许对照机器提示修改；若先给范文终稿，后续所谓修改往往只是措辞润色，思维并未发生。</w:t>
      </w:r>
    </w:p>
    <w:p>
      <w:pPr>
        <w:pStyle w:val="3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2. 护航情意，出错先护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学生读错、说错时，先护住再回文本：先问“你刚才看到了什么、想到了什么”，再范读或同伴带读；当众不展示带羞辱性的机器分数，分数留到课后与自己的进步对照。机器评价一旦当众生效，学生更倾向选择安全答案，情意互动随之收缩。情意共鸣之所以不可外包，是因为出错瞬间的自尊保护与继续对话，只能由在场的人完成。守界在这里表现为一种课堂伦理：技术可以提示对错，但不能当众裁决学生的尊严。</w:t>
      </w:r>
    </w:p>
    <w:p>
      <w:pPr>
        <w:pStyle w:val="3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3. 证伪机器，据文校验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任何生成句子上屏，都要过“课文里有没有依据”这一问。教师可当着学生的面质疑工具，把疑似正确的句子投屏，请学生找原文、辨真伪；文本不支持，就不把流畅句当成意义建构。《犟龟》课例完成预测卡后，可由工具给出客观提示，教师再点评预测的合理性——评价辅助可以交给工具，判断必须留在人这边。学生看见教师当场质疑工具，“机器说的就是对的”才会松动，概念交互才进得去。证伪不是为了贬低技术，而是训练学生把文本证据置于生成流畅之上。</w:t>
      </w:r>
    </w:p>
    <w:p>
      <w:pPr>
        <w:keepNext/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19361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36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 5 课前—课中—课后的人机分工</w:t>
      </w:r>
    </w:p>
    <w:p>
      <w:pPr>
        <w:pStyle w:val="2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（四）入常落地：由单课校准走向课型复盘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三阶校准若停留在公开课，便容易随公开课结束而回潮。要让其从一节课走向每一节课，须做成不同课型可执行、每单元可复盘的日常。入常解决的是“校准如何重复”，避免策略停留在经验口号。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其一，课型分责。识字写字、阅读鉴赏、口语交际、习作与综合实践，AI宜做与慎做不同：宜做情境生成、问题梯度、观点归集、观察角度提示；慎做替学生识记、直接生成中心思想、代写口头表达、产出“标准范文”或替代真实调查。终答、范写与价值判断一律留在人这边。课型分责把守界从原则写成可执行的分工表，减少“这节课能不能用AI”的临时裁量。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表4 课型适配矩阵</w:t>
      </w:r>
    </w:p>
    <w:p>
      <w:pPr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77600" cy="27070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270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其二，观察入表。课中可用简表记录问题开放度、参与覆盖、交互层次、人机边界与情意回应，重在编码摘记，不填虚构分数。观察的目的不是给课堂打分，而是判断本课主要停在操作交互、信息交互，还是已经进入概念交互。没有观察，破程与复权容易被“气氛好”掩盖；有了观察，才能看见通道是否真开、边缘是否真见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其三，单元复盘。课后对照“给终答”与“只给支架”两类设计，比较学生表达差异：目标是否被多数学生触及，发言是否仍集中于固定少数人，哪些环节提供了支架、哪些环节替代了思考。复盘不求一次完美，而求下一轮改进有据可依。若连续两轮仍见替答或边缘旁观，说明破程或复权尚未真正落地，需要回到问题链与任务分层重做设计。以课型分责、观察入表与单元复盘互为支撑，三元协同才能稳定入常。</w:t>
      </w:r>
    </w:p>
    <w:p>
      <w:pPr>
        <w:pStyle w:val="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三、反思——三元协同课堂互动均衡之效</w:t>
      </w:r>
    </w:p>
    <w:p>
      <w:pPr>
        <w:pStyle w:val="2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（一）已见之效：结构与行为的可见变化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就已开展的课例与观察而言，能说明的是结构与行为的变化方向：发言覆盖拓宽，同伴追问开始出现；结论逐步回到文本证据，概念交互开始发生。《去外婆家》的低段全员表达，印证破程与分层支架可以降低入场门槛；《犟龟》的预测—验证—再预测，印证问权下移与据文校验可以推动学生从“听答案”转向“找依据”。两类课例分别对应通道打开与边界守护，说明三阶校准不是抽象口号，而能在不同年段找到落点。更进一步看，低段课例侧重“先开口”，中段课例侧重“先找依据”，二者共同指向同一目标：让互动升入概念层，而不是停在操作层的热闹。这不构成参数估计，仅作侧面增量说明，不外推为普遍因果。</w:t>
      </w:r>
    </w:p>
    <w:p>
      <w:pPr>
        <w:keepNext/>
        <w:spacing w:line="36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576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 6 课例流程合集</w:t>
      </w:r>
    </w:p>
    <w:p>
      <w:pPr>
        <w:pStyle w:val="2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（二）未竟之困：进度、工具与评价三重回潮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均衡仍是目标而非完成态。进度压力下，给终答仍比给支架省力，破程会回潮为更精致的程式化；会用工具的学生未必会追问，复权易停在“会提问句式”而进不到“会检验依据”；评价仍习惯统计发言次数与工具出场次数，情意回应难入常规量表，守界缺少制度支持。三项缺口相互加强：越赶进度越依赖终答，越依赖终答越难训练追问，越缺少追问越只能用次数评价热闹。这说明入常之策仍需课型分责与观察复盘持续支撑，不能指望一次培训或一节示范课自动扩散。</w:t>
      </w:r>
    </w:p>
    <w:p>
      <w:pPr>
        <w:pStyle w:val="2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（三）持续之向：支架归位与循证入常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三元协同的价值不在AI出场次数，而在它能否把通道让给学生、把判断留给人。后续实践宜继续以课型适配与循证复盘校准互动：该给支架时给支架，该留白时留白，该质疑工具时当场质疑。对教研组而言，可将“是否禁替终答、是否出现同伴追问、是否据文校验生成句”作为常态听课关注点，使均衡不只停留在论文表述。唯有把破程、复权、守界写成可重复的日常，技术才能真正回归支架，课堂才可能由失衡走向相对均衡。</w:t>
      </w:r>
    </w:p>
    <w:p>
      <w:pPr>
        <w:pStyle w:val="1"/>
        <w:spacing w:line="360" w:lineRule="auto" w:before="12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参考文献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[1] 中华人民共和国教育部. 义务教育语文课程标准（2022年版）[S]. 北京：北京师范大学出版社，2022.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[2] 教育部基础教育教学指导委员会. 中小学生成式人工智能使用指南（2025年版）[S]. 2025.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[3] 教育部教师队伍建设专家指导委员会. 教师生成式人工智能应用指引（第一版）[S]. 2025.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[4] 佐斌. 师生互动论——课堂师生互动的心理学研究[M]. 武汉：华中师范大学出版社，2002.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[5] 陈丽. 远程学习的教学交互模型和教学交互层次塔[J]. 中国远程教育，2004(5)：24-28.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[6] 方海光，高辰柱，陈佳. 改进型弗兰德斯互动分析系统及其应用[J]. 中国电化教育，2012(10)：109-113.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[7] 王春梅. 生成式人工智能赋能小学语文教学的探索[J]. 实验教学与仪器，2025，42(8)：141-144.</w:t>
      </w:r>
    </w:p>
    <w:sectPr w:rsidR="00C10A2E" w:rsidSect="00145278">
      <w:footerReference w:type="default" r:id="rId53"/>
      <w:headerReference w:type="first" r:id="rId54"/>
      <w:headerReference w:type="default" r:id="rId20"/>
      <w:pgSz w:w="11906" w:h="16838"/>
      <w:pgMar w:top="1440" w:right="1797" w:bottom="1440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78C20" w14:textId="77777777" w:rsidR="005D79F1" w:rsidRDefault="005D79F1">
      <w:pPr>
        <w:spacing w:line="240" w:lineRule="auto"/>
      </w:pPr>
      <w:r>
        <w:separator/>
      </w:r>
    </w:p>
  </w:endnote>
  <w:endnote w:type="continuationSeparator" w:id="0">
    <w:p w14:paraId="28499DB7" w14:textId="77777777" w:rsidR="005D79F1" w:rsidRDefault="005D79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2291385"/>
      <w:docPartObj>
        <w:docPartGallery w:val="Page Numbers (Bottom of Page)"/>
        <w:docPartUnique/>
      </w:docPartObj>
    </w:sdtPr>
    <w:sdtContent>
      <w:p w14:paraId="7A778177" w14:textId="7013F1E6" w:rsidR="00060320" w:rsidRDefault="0006032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201E022" w14:textId="385EDAD5" w:rsidR="00C10A2E" w:rsidRDefault="00C10A2E">
    <w:pPr>
      <w:pStyle w:val="a7"/>
      <w:spacing w:line="360" w:lineRule="auto"/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1967568"/>
      <w:docPartObj>
        <w:docPartGallery w:val="Page Numbers (Bottom of Page)"/>
        <w:docPartUnique/>
      </w:docPartObj>
    </w:sdtPr>
    <w:sdtContent>
      <w:p w14:paraId="1F7BBC1A" w14:textId="77777777" w:rsidR="00060320" w:rsidRDefault="0006032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8EBEB23" w14:textId="77777777" w:rsidR="00060320" w:rsidRDefault="00060320">
    <w:pPr>
      <w:pStyle w:val="a7"/>
      <w:spacing w:line="360" w:lineRule="auto"/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1475927"/>
      <w:docPartObj>
        <w:docPartGallery w:val="Page Numbers (Bottom of Page)"/>
        <w:docPartUnique/>
      </w:docPartObj>
    </w:sdtPr>
    <w:sdtContent>
      <w:p w14:paraId="7B382FDA" w14:textId="77777777" w:rsidR="00060320" w:rsidRDefault="0006032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590AD2A" w14:textId="77777777" w:rsidR="00060320" w:rsidRDefault="00060320">
    <w:pPr>
      <w:pStyle w:val="a7"/>
      <w:spacing w:line="360" w:lineRule="auto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50F21" w14:textId="77777777" w:rsidR="005D79F1" w:rsidRDefault="005D79F1">
      <w:pPr>
        <w:spacing w:line="240" w:lineRule="auto"/>
      </w:pPr>
      <w:r>
        <w:separator/>
      </w:r>
    </w:p>
  </w:footnote>
  <w:footnote w:type="continuationSeparator" w:id="0">
    <w:p w14:paraId="02F9A599" w14:textId="77777777" w:rsidR="005D79F1" w:rsidRDefault="005D79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57195" w14:textId="5E2245F0" w:rsidR="00C10A2E" w:rsidRDefault="00C10A2E" w:rsidP="00C95F22">
    <w:pPr>
      <w:pStyle w:val="a5"/>
      <w:ind w:firstLine="0"/>
      <w:rPr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92240" w14:textId="77777777" w:rsidR="00C95F22" w:rsidRPr="00C95F22" w:rsidRDefault="00C95F22" w:rsidP="00C95F22">
    <w:pPr>
      <w:pStyle w:val="a5"/>
      <w:ind w:firstLine="0"/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eastAsia="宋体" w:cs="Times New Roman"/>
        <w:b w:val="0"/>
        <w:sz w:val="21"/>
      </w:rPr>
      <w:t>余杭区2026年教育学会论文语文学科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C859AD"/>
    <w:multiLevelType w:val="hybridMultilevel"/>
    <w:tmpl w:val="86701176"/>
    <w:lvl w:ilvl="0" w:tplc="715C6A0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9440315">
    <w:abstractNumId w:val="8"/>
  </w:num>
  <w:num w:numId="2" w16cid:durableId="1420101379">
    <w:abstractNumId w:val="6"/>
  </w:num>
  <w:num w:numId="3" w16cid:durableId="1539124203">
    <w:abstractNumId w:val="5"/>
  </w:num>
  <w:num w:numId="4" w16cid:durableId="840657126">
    <w:abstractNumId w:val="4"/>
  </w:num>
  <w:num w:numId="5" w16cid:durableId="1532373890">
    <w:abstractNumId w:val="7"/>
  </w:num>
  <w:num w:numId="6" w16cid:durableId="870071950">
    <w:abstractNumId w:val="3"/>
  </w:num>
  <w:num w:numId="7" w16cid:durableId="2026516429">
    <w:abstractNumId w:val="2"/>
  </w:num>
  <w:num w:numId="8" w16cid:durableId="1784809190">
    <w:abstractNumId w:val="1"/>
  </w:num>
  <w:num w:numId="9" w16cid:durableId="2035112142">
    <w:abstractNumId w:val="0"/>
  </w:num>
  <w:num w:numId="10" w16cid:durableId="1554193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320"/>
    <w:rsid w:val="0006063C"/>
    <w:rsid w:val="00113346"/>
    <w:rsid w:val="00145278"/>
    <w:rsid w:val="0015074B"/>
    <w:rsid w:val="002165EC"/>
    <w:rsid w:val="0029639D"/>
    <w:rsid w:val="002E0040"/>
    <w:rsid w:val="003230B2"/>
    <w:rsid w:val="00326F90"/>
    <w:rsid w:val="00430B96"/>
    <w:rsid w:val="00447A87"/>
    <w:rsid w:val="00535B5B"/>
    <w:rsid w:val="005855DD"/>
    <w:rsid w:val="005D79F1"/>
    <w:rsid w:val="0069504D"/>
    <w:rsid w:val="00844EFF"/>
    <w:rsid w:val="008910F4"/>
    <w:rsid w:val="008D1630"/>
    <w:rsid w:val="009560A4"/>
    <w:rsid w:val="00A2155D"/>
    <w:rsid w:val="00AA1D8D"/>
    <w:rsid w:val="00B22EC2"/>
    <w:rsid w:val="00B374B8"/>
    <w:rsid w:val="00B47730"/>
    <w:rsid w:val="00B55295"/>
    <w:rsid w:val="00B64D49"/>
    <w:rsid w:val="00BD7AFB"/>
    <w:rsid w:val="00C10A2E"/>
    <w:rsid w:val="00C76F66"/>
    <w:rsid w:val="00C95F22"/>
    <w:rsid w:val="00CB0664"/>
    <w:rsid w:val="00CF273C"/>
    <w:rsid w:val="00E25D79"/>
    <w:rsid w:val="00F34C1C"/>
    <w:rsid w:val="00F71694"/>
    <w:rsid w:val="00FC17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DBAEC9"/>
  <w14:defaultImageDpi w14:val="300"/>
  <w15:docId w15:val="{BC0B09C7-CA91-49BE-87A1-CBFC18B1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6F66"/>
    <w:pPr>
      <w:spacing w:after="0" w:line="360" w:lineRule="auto"/>
      <w:ind w:firstLine="48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E25D79"/>
    <w:pPr>
      <w:keepNext/>
      <w:keepLines/>
      <w:spacing w:before="240" w:after="120"/>
      <w:ind w:firstLine="0"/>
      <w:jc w:val="center"/>
      <w:outlineLvl w:val="0"/>
    </w:pPr>
    <w:rPr>
      <w:rFonts w:asciiTheme="majorHAnsi" w:eastAsia="黑体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25D79"/>
    <w:pPr>
      <w:keepNext/>
      <w:keepLines/>
      <w:spacing w:before="160" w:after="80"/>
      <w:ind w:firstLine="0"/>
      <w:outlineLvl w:val="1"/>
    </w:pPr>
    <w:rPr>
      <w:rFonts w:asciiTheme="majorHAnsi" w:eastAsia="黑体" w:hAnsiTheme="majorHAnsi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autoRedefine/>
    <w:uiPriority w:val="9"/>
    <w:unhideWhenUsed/>
    <w:qFormat/>
    <w:rsid w:val="00E25D79"/>
    <w:pPr>
      <w:keepLines/>
      <w:spacing w:before="120" w:after="60"/>
      <w:ind w:firstLine="0"/>
      <w:outlineLvl w:val="2"/>
    </w:pPr>
    <w:rPr>
      <w:rFonts w:ascii="黑体" w:eastAsia="黑体" w:hAnsi="黑体" w:cs="Times New Roman"/>
      <w:b/>
      <w:bCs/>
      <w:sz w:val="30"/>
      <w:szCs w:val="30"/>
      <w:lang w:eastAsia="zh-C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25D79"/>
    <w:rPr>
      <w:rFonts w:asciiTheme="majorHAnsi" w:eastAsia="黑体" w:hAnsiTheme="majorHAnsi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E25D79"/>
    <w:rPr>
      <w:rFonts w:asciiTheme="majorHAnsi" w:eastAsia="黑体" w:hAnsiTheme="majorHAnsi" w:cstheme="majorBidi"/>
      <w:b/>
      <w:bCs/>
      <w:color w:val="000000"/>
      <w:sz w:val="32"/>
      <w:szCs w:val="26"/>
    </w:rPr>
  </w:style>
  <w:style w:type="character" w:customStyle="1" w:styleId="32">
    <w:name w:val="标题 3 字符"/>
    <w:basedOn w:val="a2"/>
    <w:link w:val="31"/>
    <w:uiPriority w:val="9"/>
    <w:rsid w:val="00E25D79"/>
    <w:rPr>
      <w:rFonts w:ascii="黑体" w:eastAsia="黑体" w:hAnsi="黑体" w:cs="Times New Roman"/>
      <w:b/>
      <w:bCs/>
      <w:color w:val="000000"/>
      <w:sz w:val="30"/>
      <w:szCs w:val="30"/>
      <w:lang w:eastAsia="zh-CN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before="240" w:after="240"/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c">
    <w:name w:val="标题 字符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e">
    <w:name w:val="副标题 字符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正文文本 字符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宏文本 字符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引用 字符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unhideWhenUsed/>
    <w:qFormat/>
    <w:rsid w:val="00B64D49"/>
    <w:pPr>
      <w:spacing w:line="240" w:lineRule="auto"/>
    </w:pPr>
    <w:rPr>
      <w:b/>
      <w:bCs/>
      <w:color w:val="auto"/>
      <w:sz w:val="18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明显引用 字符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无间隔 字符"/>
    <w:basedOn w:val="a2"/>
    <w:link w:val="a9"/>
    <w:uiPriority w:val="1"/>
    <w:rsid w:val="00C95F22"/>
  </w:style>
  <w:style w:type="paragraph" w:styleId="TOC1">
    <w:name w:val="toc 1"/>
    <w:basedOn w:val="a1"/>
    <w:next w:val="a1"/>
    <w:autoRedefine/>
    <w:uiPriority w:val="39"/>
    <w:unhideWhenUsed/>
    <w:rsid w:val="00E25D79"/>
  </w:style>
  <w:style w:type="paragraph" w:styleId="TOC2">
    <w:name w:val="toc 2"/>
    <w:basedOn w:val="a1"/>
    <w:next w:val="a1"/>
    <w:autoRedefine/>
    <w:uiPriority w:val="39"/>
    <w:unhideWhenUsed/>
    <w:rsid w:val="00E25D7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E25D79"/>
    <w:pPr>
      <w:ind w:leftChars="400" w:left="840"/>
    </w:pPr>
  </w:style>
  <w:style w:type="character" w:styleId="affa">
    <w:name w:val="Hyperlink"/>
    <w:basedOn w:val="a2"/>
    <w:uiPriority w:val="99"/>
    <w:unhideWhenUsed/>
    <w:rsid w:val="00E25D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image" Target="media/image44.png"/><Relationship Id="rId60" Type="http://schemas.openxmlformats.org/officeDocument/2006/relationships/image" Target="media/image45.png"/><Relationship Id="rId61" Type="http://schemas.openxmlformats.org/officeDocument/2006/relationships/image" Target="media/image46.png"/><Relationship Id="rId62" Type="http://schemas.openxmlformats.org/officeDocument/2006/relationships/image" Target="media/image47.png"/><Relationship Id="rId64" Type="http://schemas.openxmlformats.org/officeDocument/2006/relationships/image" Target="media/image49.png"/><Relationship Id="rId11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header" Target="header4.xml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1805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Hongchang Qian</cp:lastModifiedBy>
  <cp:revision>3</cp:revision>
  <cp:lastPrinted>2026-09-18T11:57:00Z</cp:lastPrinted>
  <dcterms:created xsi:type="dcterms:W3CDTF">2026-09-19T08:55:00Z</dcterms:created>
  <dcterms:modified xsi:type="dcterms:W3CDTF">2026-09-19T09:02:00Z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e450cf9d-b420-4853-9ad4-8c6cdcd25833</vt:lpwstr>
  </property>
</Properties>
</file>