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2"/>
        </w:rPr>
        <w:t>教学专题研究类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2"/>
        </w:rPr>
        <w:t>（小学语文）</w:t>
      </w:r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2"/>
        </w:rPr>
        <w:t>失衡·校准·均衡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2"/>
        </w:rPr>
        <w:t>——AI赋能下小学语文三元协同师生互动优化策略</w:t>
      </w:r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二〇二六年九月</w:t>
      </w:r>
    </w:p>
    <w:sdt>
      <w:sdtPr>
        <w:rPr>
          <w:rFonts w:ascii="Times New Roman" w:eastAsia="宋体" w:hAnsi="Times New Roman" w:cstheme="minorBidi"/>
          <w:b w:val="0"/>
          <w:bCs w:val="0"/>
          <w:sz w:val="24"/>
          <w:szCs w:val="22"/>
          <w:lang w:val="zh-CN" w:eastAsia="zh-CN"/>
        </w:rPr>
        <w:id w:val="-2133855548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25B48C38" w14:textId="3A328D6C" w:rsidR="00E25D79" w:rsidRDefault="00E25D79">
          <w:pPr>
            <w:pStyle w:val="TOC"/>
          </w:pPr>
          <w:r>
            <w:rPr>
              <w:lang w:val="zh-CN" w:eastAsia="zh-CN"/>
            </w:rPr>
            <w:t>目录</w:t>
          </w:r>
        </w:p>
        <w:p>
          <w:pPr>
            <w:pStyle w:val="TOC1"/>
            <w:tabs>
              <w:tab w:val="right" w:leader="dot" w:pos="8302"/>
            </w:tabs>
            <w:spacing w:line="240" w:lineRule="auto" w:before="0" w:after="0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rStyle w:val="affa"/>
            </w:rPr>
            <w:t xml:space="preserve">一、审视：三类失衡之困</w:t>
          </w:r>
          <w:r>
            <w:tab/>
          </w:r>
          <w:r>
            <w:t>2</w:t>
          </w:r>
        </w:p>
        <w:p>
          <w:pPr>
            <w:pStyle w:val="TOC2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1. 形式失衡：程式问答，遮蔽多向互动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2. 关系失衡：主客固化，消解平等交往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3. 技术失衡：工具越位，遮蔽真实对话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二、探究：三阶校准与课型入常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1. 破程之阶：打开通道，让问答走向多向</w:t>
          </w:r>
          <w:r>
            <w:tab/>
          </w:r>
          <w:r>
            <w:t>6</w:t>
          </w:r>
        </w:p>
        <w:p>
          <w:pPr>
            <w:pStyle w:val="TOC3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（1）梯度设问，横向开道</w:t>
          </w:r>
          <w:r>
            <w:tab/>
          </w:r>
          <w:r>
            <w:t>6</w:t>
          </w:r>
        </w:p>
        <w:p>
          <w:pPr>
            <w:pStyle w:val="TOC3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（2）分层驱动，全员入场</w:t>
          </w:r>
          <w:r>
            <w:tab/>
          </w:r>
          <w:r>
            <w:t>6</w:t>
          </w:r>
        </w:p>
        <w:p>
          <w:pPr>
            <w:pStyle w:val="TOC3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（3）预设留白，生成入课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2. 复权之阶：校准主客，让发言走向全员</w:t>
          </w:r>
          <w:r>
            <w:tab/>
          </w:r>
          <w:r>
            <w:t>7</w:t>
          </w:r>
        </w:p>
        <w:p>
          <w:pPr>
            <w:pStyle w:val="TOC3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（1）问权下移，学生学会追问</w:t>
          </w:r>
          <w:r>
            <w:tab/>
          </w:r>
          <w:r>
            <w:t>7</w:t>
          </w:r>
        </w:p>
        <w:p>
          <w:pPr>
            <w:pStyle w:val="TOC3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（2）边缘可见，观点上屏</w:t>
          </w:r>
          <w:r>
            <w:tab/>
          </w:r>
          <w:r>
            <w:t>7</w:t>
          </w:r>
        </w:p>
        <w:p>
          <w:pPr>
            <w:pStyle w:val="TOC3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（3）三元归位，人守判断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3. 守界之阶：限制越位，让技术回归支架</w:t>
          </w:r>
          <w:r>
            <w:tab/>
          </w:r>
          <w:r>
            <w:t>8</w:t>
          </w:r>
        </w:p>
        <w:p>
          <w:pPr>
            <w:pStyle w:val="TOC3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（1）禁替终答，先思后比</w:t>
          </w:r>
          <w:r>
            <w:tab/>
          </w:r>
          <w:r>
            <w:t>8</w:t>
          </w:r>
        </w:p>
        <w:p>
          <w:pPr>
            <w:pStyle w:val="TOC3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（2）护航情意，出错先护</w:t>
          </w:r>
          <w:r>
            <w:tab/>
          </w:r>
          <w:r>
            <w:t>9</w:t>
          </w:r>
        </w:p>
        <w:p>
          <w:pPr>
            <w:pStyle w:val="TOC3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（3）证伪机器，据文校验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4. 入常之阶：课型落地与循证复盘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三、反思：均衡之效与现存局限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8302"/>
            </w:tabs>
            <w:spacing w:line="240" w:lineRule="auto" w:before="0" w:after="0"/>
          </w:pPr>
          <w:r>
            <w:rPr>
              <w:rStyle w:val="affa"/>
            </w:rPr>
            <w:t xml:space="preserve">参考文献</w:t>
          </w:r>
          <w:r>
            <w:tab/>
          </w:r>
          <w:r>
            <w:t>12</w:t>
          </w:r>
        </w:p>
        <w:p w14:paraId="0F4C728D" w14:textId="5FDBF2CD" w:rsidR="00060320" w:rsidRDefault="00E25D79" w:rsidP="00844EFF">
          <w:pPr>
            <w:sectPr w:rsidR="00060320" w:rsidSect="00034616">
              <w:footerReference w:type="default" r:id="rId12"/>
              <w:pgSz w:w="11906" w:h="16838"/>
              <w:pgMar w:top="1440" w:right="1797" w:bottom="1440" w:left="1797" w:header="720" w:footer="720" w:gutter="0"/>
              <w:cols w:space="720"/>
              <w:docGrid w:linePitch="360"/>
            </w:sect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95686C5" w14:textId="77777777" w:rsidR="00C10A2E" w:rsidRDefault="00000000">
      <w:pPr>
        <w:pStyle w:val="ab"/>
        <w:spacing w:after="0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失衡</w:t>
      </w:r>
      <w:r>
        <w:rPr>
          <w:rFonts w:ascii="Times New Roman" w:eastAsia="黑体" w:hAnsi="Times New Roman" w:cs="Times New Roman"/>
          <w:lang w:eastAsia="zh-CN"/>
        </w:rPr>
        <w:t>·</w:t>
      </w:r>
      <w:r>
        <w:rPr>
          <w:rFonts w:ascii="Times New Roman" w:eastAsia="黑体" w:hAnsi="Times New Roman" w:cs="Times New Roman"/>
          <w:lang w:eastAsia="zh-CN"/>
        </w:rPr>
        <w:t>校准</w:t>
      </w:r>
      <w:r>
        <w:rPr>
          <w:rFonts w:ascii="Times New Roman" w:eastAsia="黑体" w:hAnsi="Times New Roman" w:cs="Times New Roman"/>
          <w:lang w:eastAsia="zh-CN"/>
        </w:rPr>
        <w:t>·</w:t>
      </w:r>
      <w:r>
        <w:rPr>
          <w:rFonts w:ascii="Times New Roman" w:eastAsia="黑体" w:hAnsi="Times New Roman" w:cs="Times New Roman"/>
          <w:lang w:eastAsia="zh-CN"/>
        </w:rPr>
        <w:t>均衡</w:t>
      </w:r>
    </w:p>
    <w:p w14:paraId="477D1439" w14:textId="77777777" w:rsidR="00C10A2E" w:rsidRDefault="00000000">
      <w:pPr>
        <w:pStyle w:val="ab"/>
        <w:spacing w:before="0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——AI</w:t>
      </w:r>
      <w:r>
        <w:rPr>
          <w:rFonts w:ascii="Times New Roman" w:eastAsia="黑体" w:hAnsi="Times New Roman" w:cs="Times New Roman"/>
          <w:lang w:eastAsia="zh-CN"/>
        </w:rPr>
        <w:t>赋能下小学语文三元协同师生互动优化策略</w:t>
      </w:r>
    </w:p>
    <w:p w14:paraId="247DB4B0" w14:textId="77777777" w:rsidR="00C10A2E" w:rsidRDefault="00000000">
      <w:pPr>
        <w:spacing w:before="120" w:after="120" w:line="360" w:lineRule="auto"/>
        <w:ind w:firstLine="480"/>
        <w:rPr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【摘要】生成式人工智能进入小学语文课堂后，互动主体由“教师—学生”扩展为“教师—AI—学生”。已有研究多聚焦资源生成与分层练习，对课堂互动的通道、权责与越位边界缺少可观察的校准框架。本文以“问题—策略—结果”为线索，将形式、关系、技术三类失衡对应破程、复权、守界三阶校准：破程以梯度设问、分层驱动打开横向通道，复权以问权下移、观点上屏归还发言权，守界以禁替终答、护航情意、证伪机器限制技术越位；再以课型分责、观察入表、单元复盘将校准入常，形成“三层互动×三元主体×三阶校准”模型与配套的行为编码、观察量表和循证复盘工具。核心判断是：三元协同并非三方平均用力，而是AI承担支架、教师承担引领、学生完成意义建构，推动互动经信息交互进入概念交互，由人守住情意回应。证据以课堂观察、课例分析与政策文本为主，公开数据仅作侧面说明。</w:t>
      </w:r>
    </w:p>
    <w:p w14:paraId="05897F96" w14:textId="77777777" w:rsidR="00C10A2E" w:rsidRDefault="00000000">
      <w:pPr>
        <w:spacing w:after="240"/>
        <w:rPr>
          <w:lang w:eastAsia="zh-CN"/>
        </w:rPr>
      </w:pPr>
      <w:r>
        <w:rPr>
          <w:rFonts w:eastAsia="黑体" w:cs="Times New Roman"/>
          <w:b/>
          <w:lang w:eastAsia="zh-CN"/>
        </w:rPr>
        <w:t>【关键词】</w:t>
      </w:r>
      <w:r>
        <w:rPr>
          <w:rFonts w:cs="Times New Roman"/>
          <w:lang w:eastAsia="zh-CN"/>
        </w:rPr>
        <w:t>小学语文；生成式人工智能；三元协同师生互动；课堂校准；教学交互</w:t>
      </w:r>
    </w:p>
    <w:p>
      <w:pPr>
        <w:pStyle w:val="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一、审视：三类失衡之困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生成式人工智能进入课堂后，互动主体由双方变为三方，问答结构却常被保留：学生行列式就座，目光朝向屏幕或讲台，发言以举手应答为主。若组织方式、权责关系与技术边界不同步调整，技术在场只会固化单向问答。故先从形式、关系、技术三处审视失衡，为下文校准定位。</w:t>
      </w:r>
    </w:p>
    <w:p>
      <w:pPr>
        <w:spacing w:line="360" w:lineRule="auto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5040000" cy="1180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22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1 课堂现场：行列式就座、目光朝向屏幕与讲台</w:t>
      </w:r>
    </w:p>
    <w:p>
      <w:pPr>
        <w:pStyle w:val="2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1. 形式失衡：程式问答，遮蔽多向互动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形式失衡，即互动被收束为“教师一呼、学生百应”。教师与全体、教师与个别两条线占满课时，生生、组际的横向通道难以进入，教案之外的生成得不到回应。深度互动是被放射状流程遮蔽，而非被技术阻挡。</w:t>
      </w:r>
    </w:p>
    <w:p>
      <w:pPr>
        <w:pStyle w:val="2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2. 关系失衡：主客固化，消解平等交往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关系失衡，即发起权、可见权、判断权持续掌握在教师和少数学生手中：教师独问、少数独言、边缘学生旁观。生成式工具若充当“更正确的声音”，提问权与评价权再让给机器，技术越流畅，主客关系越难松动。</w:t>
      </w:r>
    </w:p>
    <w:p>
      <w:pPr>
        <w:pStyle w:val="2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3. 技术失衡：工具越位，遮蔽真实对话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技术失衡，即工具越位替学生思考与判断，呈替答、替评、替演、替证四类表现。操作层流畅不等于概念层发生，情感体察与价值判断仍须由人完成。</w:t>
      </w:r>
    </w:p>
    <w:p>
      <w:pPr>
        <w:spacing w:line="360" w:lineRule="auto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4320000" cy="34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2 三类失衡合集</w:t>
      </w:r>
    </w:p>
    <w:p>
      <w:pPr>
        <w:spacing w:line="360" w:lineRule="auto"/>
        <w:jc w:val="center"/>
        <w:keepNext w:val="1"/>
      </w:pPr>
      <w:r>
        <w:rPr>
          <w:rFonts w:ascii="Times New Roman" w:hAnsi="Times New Roman" w:eastAsia="宋体"/>
          <w:b w:val="0"/>
          <w:sz w:val="24"/>
        </w:rPr>
        <w:t>表1 三类失衡、识别信号与校准指向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77600" cy="17218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172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二、探究：三阶校准与课型入常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失衡的根子不在技术，而在通道、权责与边界三个条件。据此提出三阶校准：破程打开通道，对应形式失衡；复权归还权责，对应关系失衡；守界限制越位，对应技术失衡；三阶之上再以入常落地，使校准从一节课走向每一节课。三者不是三方平均用力，而是AI承担支架、教师承担引领、学生完成意义建构；低年段开放式生成由教师发起并监护，中高年段逐步把提问权、校验权交给学生。</w:t>
      </w:r>
    </w:p>
    <w:p>
      <w:pPr>
        <w:spacing w:line="360" w:lineRule="auto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5040000" cy="269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89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3 教学交互层次模型（操作—信息—概念，并守住情意共鸣）</w:t>
      </w:r>
    </w:p>
    <w:p>
      <w:pPr>
        <w:spacing w:line="360" w:lineRule="auto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4320000" cy="353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7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4 “三层互动×三元主体×三阶校准”理论模型</w:t>
      </w:r>
    </w:p>
    <w:p>
      <w:pPr>
        <w:spacing w:line="360" w:lineRule="auto"/>
        <w:jc w:val="center"/>
        <w:keepNext w:val="1"/>
      </w:pPr>
      <w:r>
        <w:rPr>
          <w:rFonts w:ascii="Times New Roman" w:hAnsi="Times New Roman" w:eastAsia="宋体"/>
          <w:b w:val="0"/>
          <w:sz w:val="24"/>
        </w:rPr>
        <w:t>表2 三元主体的权责与不可越权之处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77600" cy="17218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172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1. 破程之阶：打开通道，让问答走向多向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破程先改问题，再改任务，最后决定是否调用工具；通道一开，程式才松得动。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（1）梯度设问，横向开道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把“一呼百应”的大问题拆成有梯度的问题链，让不同层次的学生都有话可说。问题从课文与学生的生活产生，而非教师预设的标准问；工具用于生成问题梯度、归集不同想法，不直接给出标准寓意。以《守株待兔》为例，由“等待会不会有好结果”追问到“课文中哪句话能证明”，横向上就打开了多条应答线。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（2）分层驱动，全员入场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任务分层让表达较弱的学生也能进入：基础层读通、说清，提升层比较、归类，挑战层质疑、论证。用同桌互读、小组互说、组际互评，把“教师—学生”两条线扩展为“生—生、组—组”多条通道。低段阅读《去外婆家》课例以“外婆家有……有……还有……”的句式支架串联品美食、戏小鸟、赏野花、悟亲情四步，再以“说好吃的、说好玩的、说好看的”的口语交际支架让学生各叙己事——支架把表达的入场券发到每个学生手里，参与不再依赖谁先举手。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（3）预设留白，生成入课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教案预留“意外时间”：学生提出教案之外的想法时，先接住、归类，再回扣课文，不急于纠正或绕开。工具可在多角度参考上帮忙，但不给终答。预设越满，生成越窄；留白越足，越能容纳真实的思维。</w:t>
      </w:r>
    </w:p>
    <w:p>
      <w:pPr>
        <w:pStyle w:val="2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2. 复权之阶：校准主客，让发言走向全员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通道打开后，若发起权、可见权、判断权仍在教师与少数人手中，多向互动仍会被少数人垄断，须逐项归还。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（1）问权下移，学生学会追问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把“问”教给学生，并规定向工具提问不得直接索要终答。用微型句式课训练追问——“这句话删掉会怎样”“课文中哪句话支持这个说法”——贴在语文书首页反复用。《犟龟》课例以预测策略组织阅读：学生沿“借助课题、借助插图、联系生活、联系内容”不断预测并说明依据，问权由教师移交给学生，教师退到提问的次位。</w:t>
      </w:r>
    </w:p>
    <w:p>
      <w:pPr>
        <w:spacing w:line="360" w:lineRule="auto"/>
        <w:jc w:val="center"/>
        <w:keepNext w:val="1"/>
      </w:pPr>
      <w:r>
        <w:rPr>
          <w:rFonts w:ascii="Times New Roman" w:hAnsi="Times New Roman" w:eastAsia="宋体"/>
          <w:b w:val="0"/>
          <w:sz w:val="24"/>
        </w:rPr>
        <w:t>表3 学生向AI提问的支架句式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77600" cy="19946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1994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（2）边缘可见，观点上屏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投屏不是展示，而是开启新一轮对话的工具。把各组关键词汇总上屏，请一组说明归类理由，另一组补充或反驳，最后回到课文找依据；汇总可由工具完成，处理冲突仍由教师组织。沉默学生的想法一旦被点出名字、进入讨论，旁观格局就开始松动。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（3）三元归位，人守判断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判断权与评分权留在人这边：工具归类、投屏、给证据，教师组织对话、追问冲突，学生比照、质疑、论证。生成文本连贯不等于意义正确，凡结论都要回到文本证据。关系理顺后，“机器说的就是对的”才会让位于“课文里有没有依据”。</w:t>
      </w:r>
    </w:p>
    <w:p>
      <w:pPr>
        <w:pStyle w:val="2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3. 守界之阶：限制越位，让技术回归支架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通道与权责之后，还需不可逾越的边界，否则工具仍会以更精致的方式替答、替评、替演、替证。</w:t>
      </w:r>
    </w:p>
    <w:p>
      <w:pPr>
        <w:spacing w:line="360" w:lineRule="auto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4320000" cy="36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5 三元校准与技术边界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（1）禁替终答，先思后比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可以给问题、给材料、给归集，不给本课终答。“标准赏析”折叠到学生独立表达之后只作对照；角度、情节提示、病句提醒可以生成，成篇文字须学生完成。概括为“卡可生成、文须人写”：支架可预先生成，落笔与修改必须由学生独立完成。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（2）护航情意，出错先护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生读错、说错时，先护住再回文本：先问“你刚才看到了什么、想到了什么”，再范读或同伴带读；当众不展示带羞辱性的机器分数，分数留到课后与自己的进步对照。机器评价一旦当众生效，学生更倾向选择安全答案，情意互动随之收缩。</w:t>
      </w:r>
    </w:p>
    <w:p>
      <w:pPr>
        <w:pStyle w:val="3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（3）证伪机器，据文校验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任何生成句子上屏，都要过“课文里有没有依据”这一问。教师当着学生的面质疑工具，把疑似正确的句子投屏，请学生找原文、辨真伪；文本不支持，就不把流畅句当成意义建构。《犟龟》课例完成预测卡后，由AI给出客观评价、教师点评预测的合理性——评价可以交给工具，判断必须留在人这边。学生看见教师当场质疑工具，“机器说的就是对的”才会松动，概念交互才进得去。</w:t>
      </w:r>
    </w:p>
    <w:p>
      <w:pPr>
        <w:spacing w:line="360" w:lineRule="auto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5040000" cy="22588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39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6 课前—课中—课后的人机分工</w:t>
      </w:r>
    </w:p>
    <w:p>
      <w:pPr>
        <w:pStyle w:val="2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 xml:space="preserve">4. 入常之阶：课型落地与循证复盘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要让三阶校准从一节课走向每一节课，须把它做成不同课型可执行、每单元可复盘的日常。其一，观察入表：用统一的质量观察量表（表4），以六维编码与互动链记录行为，不填虚构分数。其二，课型分责：识、写、读、说各守边界，终答、范写、价值判断一律留在人这边，具体分工见课型适配矩阵（表5）。其三，单元复盘：课中以观察简表即时记录多向互动，课后循证复盘比较“给终答”与“只给支架”两种设计下的表达差异（表6）。以观察工具、课型分责与循证复盘互为支撑，三元协同才能稳定入常。</w:t>
      </w:r>
    </w:p>
    <w:p>
      <w:pPr>
        <w:spacing w:line="360" w:lineRule="auto"/>
        <w:jc w:val="center"/>
        <w:keepNext w:val="1"/>
      </w:pPr>
      <w:r>
        <w:rPr>
          <w:rFonts w:ascii="Times New Roman" w:hAnsi="Times New Roman" w:eastAsia="宋体"/>
          <w:b w:val="0"/>
          <w:sz w:val="24"/>
        </w:rPr>
        <w:t>表4 AI赋能小学语文课堂互动质量观察量表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77600" cy="16126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1612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keepNext w:val="1"/>
      </w:pPr>
      <w:r>
        <w:rPr>
          <w:rFonts w:ascii="Times New Roman" w:hAnsi="Times New Roman" w:eastAsia="宋体"/>
          <w:b w:val="0"/>
          <w:sz w:val="24"/>
        </w:rPr>
        <w:t>表5 课型适配矩阵（策略落地总表）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77600" cy="27070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270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1"/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表6 课中多向互动观察简表与课后循证复盘记录表</w:t>
      </w:r>
    </w:p>
    <w:p>
      <w:pPr>
        <w:spacing w:line="360" w:lineRule="auto"/>
        <w:jc w:val="center"/>
        <w:keepNext w:val="1"/>
      </w:pPr>
      <w:r>
        <w:rPr>
          <w:rFonts w:ascii="Times New Roman" w:hAnsi="Times New Roman" w:eastAsia="宋体"/>
          <w:b w:val="0"/>
          <w:sz w:val="21"/>
        </w:rPr>
        <w:t>（1）课中多向互动观察简表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77600" cy="29828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298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keepNext w:val="1"/>
      </w:pPr>
      <w:r>
        <w:rPr>
          <w:rFonts w:ascii="Times New Roman" w:hAnsi="Times New Roman" w:eastAsia="宋体"/>
          <w:b w:val="0"/>
          <w:sz w:val="21"/>
        </w:rPr>
        <w:t>（2）课后循证复盘记录表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77600" cy="18885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188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spacing w:line="360" w:lineRule="auto"/>
        <w:jc w:val="left"/>
      </w:pPr>
      <w:r>
        <w:rPr>
          <w:rFonts w:ascii="Times New Roman" w:hAnsi="Times New Roman" w:eastAsia="黑体"/>
          <w:b w:val="0"/>
          <w:sz w:val="32"/>
        </w:rPr>
        <w:t>三、反思：均衡之效与现存局限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就已开展的课例与观察而言，能说明的是结构与行为的变化方向：发言覆盖拓宽，同伴追问开始出现；结论逐步回到文本证据，概念交互开始发生。《去外婆家》的低段全员表达与《犟龟》的预测校验，分别印证破程与守界在真实课堂中可行。这不构成参数估计，仅作侧面增量说明，不外推为普遍因果。</w:t>
      </w:r>
    </w:p>
    <w:p>
      <w:pPr>
        <w:spacing w:line="360" w:lineRule="auto"/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4320000" cy="30494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8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7 课例流程合集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均衡仍是目标而非完成态：进度压力下，给终答仍比给支架省力，破程会回潮为更精致的程式化；会用工具的学生未必会追问，复权尚停留在工具层面；评价仍习惯统计次数与工具出场，情意回应难入量表，守界缺少制度支持。三项缺口提示，入常之策仍需课型分责与观察复盘的持续支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就此而言，三元协同的价值不在AI出场的次数，而在它能否把通道让给学生、把判断留给人。持续以课型适配与循证复盘校准互动，让技术回归支架，方能由失衡走向均衡。</w:t>
      </w:r>
    </w:p>
    <w:p w14:paraId="2DF36923" w14:textId="0F09EE9A" w:rsidR="00C10A2E" w:rsidRDefault="00000000">
      <w:pPr>
        <w:pStyle w:val="1"/>
        <w:keepNext w:val="0"/>
        <w:rPr>
          <w:lang w:eastAsia="zh-CN"/>
        </w:rPr>
      </w:pPr>
      <w:r>
        <w:rPr>
          <w:rFonts w:ascii="Times New Roman" w:hAnsi="Times New Roman" w:cs="Times New Roman" w:eastAsia="黑体"/>
          <w:b w:val="0"/>
          <w:sz w:val="32"/>
          <w:lang w:eastAsia="zh-CN"/>
        </w:rPr>
        <w:t>参考文献</w:t>
      </w:r>
      <w:bookmarkEnd w:id="39"/>
    </w:p>
    <w:p w14:paraId="6E152726" w14:textId="77777777" w:rsidR="00C10A2E" w:rsidRDefault="00000000">
      <w:pPr>
        <w:ind w:left="420" w:hanging="420"/>
        <w:rPr>
          <w:lang w:eastAsia="zh-CN"/>
        </w:rPr>
      </w:pPr>
      <w:r>
        <w:rPr>
          <w:rFonts w:cs="Times New Roman"/>
          <w:sz w:val="21"/>
          <w:lang w:eastAsia="zh-CN"/>
        </w:rPr>
        <w:t xml:space="preserve">[1] 中华人民共和国教育部. 义务教育语文课程标准（2022年版）[S]. 北京：北京师范大学出版社，2022.</w:t>
      </w:r>
      <w:proofErr w:type="gramStart"/>
      <w:proofErr w:type="gramEnd"/>
    </w:p>
    <w:p w14:paraId="6E152726" w14:textId="77777777" w:rsidR="00C10A2E" w:rsidRDefault="00000000">
      <w:pPr>
        <w:ind w:left="420" w:hanging="420"/>
        <w:rPr>
          <w:lang w:eastAsia="zh-CN"/>
        </w:rPr>
      </w:pPr>
      <w:r>
        <w:rPr>
          <w:rFonts w:cs="Times New Roman"/>
          <w:sz w:val="21"/>
          <w:lang w:eastAsia="zh-CN"/>
        </w:rPr>
        <w:t xml:space="preserve">[2] 教育部基础教育教学指导委员会. 中小学生成式人工智能使用指南（2025年版）[S]. 2025.</w:t>
      </w:r>
      <w:proofErr w:type="gramStart"/>
      <w:proofErr w:type="gramEnd"/>
    </w:p>
    <w:p w14:paraId="6E152726" w14:textId="77777777" w:rsidR="00C10A2E" w:rsidRDefault="00000000">
      <w:pPr>
        <w:ind w:left="420" w:hanging="420"/>
        <w:rPr>
          <w:lang w:eastAsia="zh-CN"/>
        </w:rPr>
      </w:pPr>
      <w:r>
        <w:rPr>
          <w:rFonts w:cs="Times New Roman"/>
          <w:sz w:val="21"/>
          <w:lang w:eastAsia="zh-CN"/>
        </w:rPr>
        <w:t xml:space="preserve">[3] 教育部教师队伍建设专家指导委员会. 教师生成式人工智能应用指引（第一版）[S]. 2025.</w:t>
      </w:r>
      <w:proofErr w:type="gramStart"/>
      <w:proofErr w:type="gramEnd"/>
    </w:p>
    <w:p w14:paraId="6E152726" w14:textId="77777777" w:rsidR="00C10A2E" w:rsidRDefault="00000000">
      <w:pPr>
        <w:ind w:left="420" w:hanging="420"/>
        <w:rPr>
          <w:lang w:eastAsia="zh-CN"/>
        </w:rPr>
      </w:pPr>
      <w:r>
        <w:rPr>
          <w:rFonts w:cs="Times New Roman"/>
          <w:sz w:val="21"/>
          <w:lang w:eastAsia="zh-CN"/>
        </w:rPr>
        <w:t xml:space="preserve">[4] 佐斌. 师生互动论——课堂师生互动的心理学研究[M]. 武汉：华中师范大学出版社，2002.</w:t>
      </w:r>
      <w:proofErr w:type="gramStart"/>
      <w:proofErr w:type="gramEnd"/>
    </w:p>
    <w:p w14:paraId="6E152726" w14:textId="77777777" w:rsidR="00C10A2E" w:rsidRDefault="00000000">
      <w:pPr>
        <w:ind w:left="420" w:hanging="420"/>
        <w:rPr>
          <w:lang w:eastAsia="zh-CN"/>
        </w:rPr>
      </w:pPr>
      <w:r>
        <w:rPr>
          <w:rFonts w:cs="Times New Roman"/>
          <w:sz w:val="21"/>
          <w:lang w:eastAsia="zh-CN"/>
        </w:rPr>
        <w:t xml:space="preserve">[5] 陈丽. 远程学习的教学交互模型和教学交互层次塔[J]. 中国远程教育，2004(5)：24-28.</w:t>
      </w:r>
      <w:proofErr w:type="gramStart"/>
      <w:proofErr w:type="gramEnd"/>
    </w:p>
    <w:p w14:paraId="6E152726" w14:textId="77777777" w:rsidR="00C10A2E" w:rsidRDefault="00000000">
      <w:pPr>
        <w:ind w:left="420" w:hanging="420"/>
        <w:rPr>
          <w:lang w:eastAsia="zh-CN"/>
        </w:rPr>
      </w:pPr>
      <w:r>
        <w:rPr>
          <w:rFonts w:cs="Times New Roman"/>
          <w:sz w:val="21"/>
          <w:lang w:eastAsia="zh-CN"/>
        </w:rPr>
        <w:t xml:space="preserve">[6] 方海光，高辰柱，陈佳. 改进型弗兰德斯互动分析系统及其应用[J]. 中国电化教育，2012(10)：109-113.</w:t>
      </w:r>
      <w:proofErr w:type="gramStart"/>
      <w:proofErr w:type="gramEnd"/>
    </w:p>
    <w:p w14:paraId="6E152726" w14:textId="77777777" w:rsidR="00C10A2E" w:rsidRDefault="00000000">
      <w:pPr>
        <w:ind w:left="420" w:hanging="420"/>
        <w:rPr>
          <w:lang w:eastAsia="zh-CN"/>
        </w:rPr>
      </w:pPr>
      <w:r>
        <w:rPr>
          <w:rFonts w:cs="Times New Roman"/>
          <w:sz w:val="21"/>
          <w:lang w:eastAsia="zh-CN"/>
        </w:rPr>
        <w:t xml:space="preserve">[7] 王春梅. 生成式人工智能赋能小学语文教学的探索[J]. 实验教学与仪器，2025，42(8)：141-144.</w:t>
      </w:r>
      <w:proofErr w:type="gramStart"/>
      <w:proofErr w:type="gramEnd"/>
    </w:p>
    <w:sectPr w:rsidR="00C10A2E" w:rsidSect="00145278">
      <w:footerReference w:type="default" r:id="rId53"/>
      <w:headerReference w:type="first" r:id="rId54"/>
      <w:pgSz w:w="11906" w:h="16838"/>
      <w:pgMar w:top="1440" w:right="1797" w:bottom="1440" w:left="17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78C20" w14:textId="77777777" w:rsidR="005D79F1" w:rsidRDefault="005D79F1">
      <w:pPr>
        <w:spacing w:line="240" w:lineRule="auto"/>
      </w:pPr>
      <w:r>
        <w:separator/>
      </w:r>
    </w:p>
  </w:endnote>
  <w:endnote w:type="continuationSeparator" w:id="0">
    <w:p w14:paraId="28499DB7" w14:textId="77777777" w:rsidR="005D79F1" w:rsidRDefault="005D79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2291385"/>
      <w:docPartObj>
        <w:docPartGallery w:val="Page Numbers (Bottom of Page)"/>
        <w:docPartUnique/>
      </w:docPartObj>
    </w:sdtPr>
    <w:sdtContent>
      <w:p w14:paraId="7A778177" w14:textId="7013F1E6" w:rsidR="00060320" w:rsidRDefault="0006032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201E022" w14:textId="385EDAD5" w:rsidR="00C10A2E" w:rsidRDefault="00C10A2E">
    <w:pPr>
      <w:pStyle w:val="a7"/>
      <w:spacing w:line="360" w:lineRule="auto"/>
      <w:ind w:firstLine="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1967568"/>
      <w:docPartObj>
        <w:docPartGallery w:val="Page Numbers (Bottom of Page)"/>
        <w:docPartUnique/>
      </w:docPartObj>
    </w:sdtPr>
    <w:sdtContent>
      <w:p w14:paraId="1F7BBC1A" w14:textId="77777777" w:rsidR="00060320" w:rsidRDefault="0006032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8EBEB23" w14:textId="77777777" w:rsidR="00060320" w:rsidRDefault="00060320">
    <w:pPr>
      <w:pStyle w:val="a7"/>
      <w:spacing w:line="360" w:lineRule="auto"/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1475927"/>
      <w:docPartObj>
        <w:docPartGallery w:val="Page Numbers (Bottom of Page)"/>
        <w:docPartUnique/>
      </w:docPartObj>
    </w:sdtPr>
    <w:sdtContent>
      <w:p w14:paraId="7B382FDA" w14:textId="77777777" w:rsidR="00060320" w:rsidRDefault="0006032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590AD2A" w14:textId="77777777" w:rsidR="00060320" w:rsidRDefault="00060320">
    <w:pPr>
      <w:pStyle w:val="a7"/>
      <w:spacing w:line="360" w:lineRule="auto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50F21" w14:textId="77777777" w:rsidR="005D79F1" w:rsidRDefault="005D79F1">
      <w:pPr>
        <w:spacing w:line="240" w:lineRule="auto"/>
      </w:pPr>
      <w:r>
        <w:separator/>
      </w:r>
    </w:p>
  </w:footnote>
  <w:footnote w:type="continuationSeparator" w:id="0">
    <w:p w14:paraId="02F9A599" w14:textId="77777777" w:rsidR="005D79F1" w:rsidRDefault="005D79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57195" w14:textId="5E2245F0" w:rsidR="00C10A2E" w:rsidRDefault="00C10A2E" w:rsidP="00C95F22">
    <w:pPr>
      <w:pStyle w:val="a5"/>
      <w:ind w:firstLine="0"/>
      <w:rPr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92240" w14:textId="77777777" w:rsidR="00C95F22" w:rsidRPr="00C95F22" w:rsidRDefault="00C95F22" w:rsidP="00C95F22">
    <w:pPr>
      <w:pStyle w:val="a5"/>
      <w:ind w:firstLine="0"/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1FED6" w14:textId="68640335" w:rsidR="00844EFF" w:rsidRPr="00C95F22" w:rsidRDefault="00844EFF" w:rsidP="00C95F22">
    <w:pPr>
      <w:pStyle w:val="a5"/>
      <w:ind w:firstLine="0"/>
      <w:rPr>
        <w:lang w:eastAsia="zh-CN"/>
      </w:rPr>
    </w:pPr>
    <w:r>
      <w:rPr>
        <w:rFonts w:ascii="仿宋" w:eastAsia="仿宋" w:hAnsi="仿宋" w:cs="仿宋" w:hint="eastAsia"/>
        <w:sz w:val="28"/>
        <w:szCs w:val="28"/>
        <w:lang w:eastAsia="zh-CN"/>
      </w:rPr>
      <w:ptab w:relativeTo="margin" w:alignment="left" w:leader="none"/>
    </w:r>
    <w:r>
      <w:rPr>
        <w:rFonts w:ascii="仿宋" w:eastAsia="仿宋" w:hAnsi="仿宋" w:cs="仿宋" w:hint="eastAsia"/>
        <w:sz w:val="28"/>
        <w:szCs w:val="28"/>
        <w:lang w:eastAsia="zh-CN"/>
      </w:rPr>
      <w:t>余杭区2026</w:t>
    </w:r>
    <w:r>
      <w:rPr>
        <w:rFonts w:ascii="仿宋" w:eastAsia="仿宋" w:hAnsi="仿宋" w:cs="仿宋" w:hint="eastAsia"/>
        <w:sz w:val="28"/>
        <w:szCs w:val="28"/>
        <w:lang w:eastAsia="zh-CN"/>
      </w:rPr>
      <w:t>年教育学会论文</w:t>
    </w:r>
    <w:r w:rsidRPr="00844EFF">
      <w:rPr>
        <w:rFonts w:ascii="仿宋" w:eastAsia="仿宋" w:hAnsi="仿宋" w:cs="仿宋" w:hint="eastAsia"/>
        <w:sz w:val="28"/>
        <w:szCs w:val="28"/>
        <w:u w:val="single"/>
        <w:lang w:eastAsia="zh-CN"/>
      </w:rPr>
      <w:t>语文</w:t>
    </w:r>
    <w:r>
      <w:rPr>
        <w:rFonts w:ascii="仿宋" w:eastAsia="仿宋" w:hAnsi="仿宋" w:cs="仿宋" w:hint="eastAsia"/>
        <w:sz w:val="28"/>
        <w:szCs w:val="28"/>
        <w:lang w:eastAsia="zh-CN"/>
      </w:rPr>
      <w:t>学科</w:t>
    </w:r>
  </w:p>
  <w:p w14:paraId="1981F96C" w14:textId="77777777" w:rsidR="00844EFF" w:rsidRDefault="00844EFF">
    <w:pPr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C859AD"/>
    <w:multiLevelType w:val="hybridMultilevel"/>
    <w:tmpl w:val="86701176"/>
    <w:lvl w:ilvl="0" w:tplc="715C6A0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9440315">
    <w:abstractNumId w:val="8"/>
  </w:num>
  <w:num w:numId="2" w16cid:durableId="1420101379">
    <w:abstractNumId w:val="6"/>
  </w:num>
  <w:num w:numId="3" w16cid:durableId="1539124203">
    <w:abstractNumId w:val="5"/>
  </w:num>
  <w:num w:numId="4" w16cid:durableId="840657126">
    <w:abstractNumId w:val="4"/>
  </w:num>
  <w:num w:numId="5" w16cid:durableId="1532373890">
    <w:abstractNumId w:val="7"/>
  </w:num>
  <w:num w:numId="6" w16cid:durableId="870071950">
    <w:abstractNumId w:val="3"/>
  </w:num>
  <w:num w:numId="7" w16cid:durableId="2026516429">
    <w:abstractNumId w:val="2"/>
  </w:num>
  <w:num w:numId="8" w16cid:durableId="1784809190">
    <w:abstractNumId w:val="1"/>
  </w:num>
  <w:num w:numId="9" w16cid:durableId="2035112142">
    <w:abstractNumId w:val="0"/>
  </w:num>
  <w:num w:numId="10" w16cid:durableId="15541939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320"/>
    <w:rsid w:val="0006063C"/>
    <w:rsid w:val="00113346"/>
    <w:rsid w:val="00145278"/>
    <w:rsid w:val="0015074B"/>
    <w:rsid w:val="002165EC"/>
    <w:rsid w:val="0029639D"/>
    <w:rsid w:val="002E0040"/>
    <w:rsid w:val="003230B2"/>
    <w:rsid w:val="00326F90"/>
    <w:rsid w:val="00430B96"/>
    <w:rsid w:val="00447A87"/>
    <w:rsid w:val="00535B5B"/>
    <w:rsid w:val="005855DD"/>
    <w:rsid w:val="005D79F1"/>
    <w:rsid w:val="0069504D"/>
    <w:rsid w:val="00844EFF"/>
    <w:rsid w:val="008910F4"/>
    <w:rsid w:val="008D1630"/>
    <w:rsid w:val="009560A4"/>
    <w:rsid w:val="00A2155D"/>
    <w:rsid w:val="00AA1D8D"/>
    <w:rsid w:val="00B22EC2"/>
    <w:rsid w:val="00B374B8"/>
    <w:rsid w:val="00B47730"/>
    <w:rsid w:val="00B55295"/>
    <w:rsid w:val="00B64D49"/>
    <w:rsid w:val="00BD7AFB"/>
    <w:rsid w:val="00C10A2E"/>
    <w:rsid w:val="00C76F66"/>
    <w:rsid w:val="00C95F22"/>
    <w:rsid w:val="00CB0664"/>
    <w:rsid w:val="00CF273C"/>
    <w:rsid w:val="00E25D79"/>
    <w:rsid w:val="00F34C1C"/>
    <w:rsid w:val="00F71694"/>
    <w:rsid w:val="00FC17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DBAEC9"/>
  <w14:defaultImageDpi w14:val="300"/>
  <w15:docId w15:val="{BC0B09C7-CA91-49BE-87A1-CBFC18B1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6F66"/>
    <w:pPr>
      <w:spacing w:after="0" w:line="360" w:lineRule="auto"/>
      <w:ind w:firstLine="48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E25D79"/>
    <w:pPr>
      <w:keepNext/>
      <w:keepLines/>
      <w:spacing w:before="240" w:after="120"/>
      <w:ind w:firstLine="0"/>
      <w:jc w:val="center"/>
      <w:outlineLvl w:val="0"/>
    </w:pPr>
    <w:rPr>
      <w:rFonts w:asciiTheme="majorHAnsi" w:eastAsia="黑体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25D79"/>
    <w:pPr>
      <w:keepNext/>
      <w:keepLines/>
      <w:spacing w:before="160" w:after="80"/>
      <w:ind w:firstLine="0"/>
      <w:outlineLvl w:val="1"/>
    </w:pPr>
    <w:rPr>
      <w:rFonts w:asciiTheme="majorHAnsi" w:eastAsia="黑体" w:hAnsiTheme="majorHAnsi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autoRedefine/>
    <w:uiPriority w:val="9"/>
    <w:unhideWhenUsed/>
    <w:qFormat/>
    <w:rsid w:val="00E25D79"/>
    <w:pPr>
      <w:keepLines/>
      <w:spacing w:before="120" w:after="60"/>
      <w:ind w:firstLine="0"/>
      <w:outlineLvl w:val="2"/>
    </w:pPr>
    <w:rPr>
      <w:rFonts w:ascii="黑体" w:eastAsia="黑体" w:hAnsi="黑体" w:cs="Times New Roman"/>
      <w:b/>
      <w:bCs/>
      <w:sz w:val="30"/>
      <w:szCs w:val="30"/>
      <w:lang w:eastAsia="zh-C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E25D79"/>
    <w:rPr>
      <w:rFonts w:asciiTheme="majorHAnsi" w:eastAsia="黑体" w:hAnsiTheme="majorHAnsi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E25D79"/>
    <w:rPr>
      <w:rFonts w:asciiTheme="majorHAnsi" w:eastAsia="黑体" w:hAnsiTheme="majorHAnsi" w:cstheme="majorBidi"/>
      <w:b/>
      <w:bCs/>
      <w:color w:val="000000"/>
      <w:sz w:val="32"/>
      <w:szCs w:val="26"/>
    </w:rPr>
  </w:style>
  <w:style w:type="character" w:customStyle="1" w:styleId="32">
    <w:name w:val="标题 3 字符"/>
    <w:basedOn w:val="a2"/>
    <w:link w:val="31"/>
    <w:uiPriority w:val="9"/>
    <w:rsid w:val="00E25D79"/>
    <w:rPr>
      <w:rFonts w:ascii="黑体" w:eastAsia="黑体" w:hAnsi="黑体" w:cs="Times New Roman"/>
      <w:b/>
      <w:bCs/>
      <w:color w:val="000000"/>
      <w:sz w:val="30"/>
      <w:szCs w:val="30"/>
      <w:lang w:eastAsia="zh-CN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before="240" w:after="240"/>
      <w:ind w:firstLine="0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c">
    <w:name w:val="标题 字符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e">
    <w:name w:val="副标题 字符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正文文本 字符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宏文本 字符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1"/>
    <w:next w:val="a1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引用 字符"/>
    <w:basedOn w:val="a2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1"/>
    <w:next w:val="a1"/>
    <w:uiPriority w:val="35"/>
    <w:unhideWhenUsed/>
    <w:qFormat/>
    <w:rsid w:val="00B64D49"/>
    <w:pPr>
      <w:spacing w:line="240" w:lineRule="auto"/>
    </w:pPr>
    <w:rPr>
      <w:b/>
      <w:bCs/>
      <w:color w:val="auto"/>
      <w:sz w:val="18"/>
      <w:szCs w:val="18"/>
    </w:rPr>
  </w:style>
  <w:style w:type="character" w:styleId="af9">
    <w:name w:val="Strong"/>
    <w:basedOn w:val="a2"/>
    <w:uiPriority w:val="22"/>
    <w:qFormat/>
    <w:rsid w:val="00FC693F"/>
    <w:rPr>
      <w:b/>
      <w:bCs/>
    </w:rPr>
  </w:style>
  <w:style w:type="character" w:styleId="afa">
    <w:name w:val="Emphasis"/>
    <w:basedOn w:val="a2"/>
    <w:uiPriority w:val="20"/>
    <w:qFormat/>
    <w:rsid w:val="00FC693F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明显引用 字符"/>
    <w:basedOn w:val="a2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无间隔 字符"/>
    <w:basedOn w:val="a2"/>
    <w:link w:val="a9"/>
    <w:uiPriority w:val="1"/>
    <w:rsid w:val="00C95F22"/>
  </w:style>
  <w:style w:type="paragraph" w:styleId="TOC1">
    <w:name w:val="toc 1"/>
    <w:basedOn w:val="a1"/>
    <w:next w:val="a1"/>
    <w:autoRedefine/>
    <w:uiPriority w:val="39"/>
    <w:unhideWhenUsed/>
    <w:rsid w:val="00E25D79"/>
  </w:style>
  <w:style w:type="paragraph" w:styleId="TOC2">
    <w:name w:val="toc 2"/>
    <w:basedOn w:val="a1"/>
    <w:next w:val="a1"/>
    <w:autoRedefine/>
    <w:uiPriority w:val="39"/>
    <w:unhideWhenUsed/>
    <w:rsid w:val="00E25D7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E25D79"/>
    <w:pPr>
      <w:ind w:leftChars="400" w:left="840"/>
    </w:pPr>
  </w:style>
  <w:style w:type="character" w:styleId="affa">
    <w:name w:val="Hyperlink"/>
    <w:basedOn w:val="a2"/>
    <w:uiPriority w:val="99"/>
    <w:unhideWhenUsed/>
    <w:rsid w:val="00E25D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56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7" Type="http://schemas.openxmlformats.org/officeDocument/2006/relationships/image" Target="media/image42.png"/><Relationship Id="rId58" Type="http://schemas.openxmlformats.org/officeDocument/2006/relationships/image" Target="media/image43.png"/><Relationship Id="rId59" Type="http://schemas.openxmlformats.org/officeDocument/2006/relationships/image" Target="media/image44.png"/><Relationship Id="rId60" Type="http://schemas.openxmlformats.org/officeDocument/2006/relationships/image" Target="media/image45.png"/><Relationship Id="rId61" Type="http://schemas.openxmlformats.org/officeDocument/2006/relationships/image" Target="media/image46.png"/><Relationship Id="rId62" Type="http://schemas.openxmlformats.org/officeDocument/2006/relationships/image" Target="media/image47.png"/><Relationship Id="rId64" Type="http://schemas.openxmlformats.org/officeDocument/2006/relationships/image" Target="media/image49.png"/><Relationship Id="rId11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1805</Words>
  <Characters>10295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Hongchang Qian</cp:lastModifiedBy>
  <cp:revision>3</cp:revision>
  <cp:lastPrinted>2026-09-18T11:57:00Z</cp:lastPrinted>
  <dcterms:created xsi:type="dcterms:W3CDTF">2026-09-19T08:55:00Z</dcterms:created>
  <dcterms:modified xsi:type="dcterms:W3CDTF">2026-09-19T09:02:00Z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e450cf9d-b420-4853-9ad4-8c6cdcd25833</vt:lpwstr>
  </property>
</Properties>
</file>