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560310" cy="10690860"/>
            <wp:effectExtent l="0" t="0" r="0" b="0"/>
            <wp:wrapSquare wrapText="largest"/>
            <wp:docPr id="1" name="图像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像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1069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type w:val="nextPage"/>
          <w:pgSz w:w="11906" w:h="16838"/>
          <w:pgMar w:left="0" w:right="0" w:gutter="0" w:header="0" w:top="0" w:footer="0" w:bottom="0"/>
          <w:pgNumType w:fmt="decimal"/>
          <w:formProt w:val="false"/>
          <w:textDirection w:val="lrTb"/>
          <w:docGrid w:type="default" w:linePitch="360" w:charSpace="0"/>
        </w:sectPr>
      </w:pP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Style27"/>
            <w:rPr/>
          </w:pPr>
          <w:r>
            <w:rPr>
              <w:lang w:val="zh-CN" w:eastAsia="zh-CN"/>
            </w:rPr>
            <w:t>目录</w:t>
          </w:r>
        </w:p>
        <w:p>
          <w:pPr>
            <w:pStyle w:val="12"/>
            <w:tabs>
              <w:tab w:val="clear" w:pos="720"/>
              <w:tab w:val="right" w:pos="8302" w:leader="dot"/>
            </w:tabs>
            <w:rPr>
              <w:rFonts w:ascii="Cambria" w:hAnsi="Cambria" w:eastAsia="ＭＳ 明朝" w:asciiTheme="minorHAnsi" w:eastAsiaTheme="minorEastAsia" w:hAnsiTheme="minorHAnsi"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rPr>
              <w:webHidden/>
              <w:rFonts w:cs="Times New Roman"/>
              <w:lang w:eastAsia="zh-CN"/>
            </w:rPr>
            <w:instrText xml:space="preserve"> TOC \z \o "1-3" \u \h</w:instrText>
          </w:r>
          <w:r>
            <w:rPr>
              <w:webHidden/>
              <w:rFonts w:cs="Times New Roman"/>
              <w:lang w:eastAsia="zh-CN"/>
            </w:rPr>
            <w:fldChar w:fldCharType="separate"/>
          </w:r>
          <w:hyperlink w:anchor="_Toc240923402">
            <w:r>
              <w:rPr>
                <w:webHidden/>
                <w:rFonts w:cs="Times New Roman"/>
                <w:lang w:eastAsia="zh-CN"/>
              </w:rPr>
              <w:t>一、审视——三元协同课堂互动失衡之困</w:t>
            </w:r>
            <w:r>
              <w:rPr>
                <w:vanish w:val="false"/>
              </w:rPr>
              <w:tab/>
            </w:r>
          </w:hyperlink>
          <w:r>
            <w:rPr>
              <w:vanish w:val="false"/>
            </w:rPr>
            <w:t>1</w:t>
          </w:r>
        </w:p>
        <w:p>
          <w:pPr>
            <w:pStyle w:val="24"/>
            <w:tabs>
              <w:tab w:val="clear" w:pos="720"/>
              <w:tab w:val="right" w:pos="8302" w:leader="dot"/>
            </w:tabs>
            <w:ind w:left="480" w:firstLine="480"/>
            <w:rPr>
              <w:rFonts w:ascii="Cambria" w:hAnsi="Cambria" w:eastAsia="ＭＳ 明朝" w:asciiTheme="minorHAnsi" w:eastAsiaTheme="minorEastAsia" w:hAnsiTheme="minorHAnsi"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923403">
            <w:r>
              <w:rPr>
                <w:webHidden/>
                <w:rFonts w:cs="Times New Roman"/>
                <w:lang w:eastAsia="zh-CN"/>
              </w:rPr>
              <w:t>（一）形式失衡：程式问答遮蔽多向通道</w:t>
            </w:r>
            <w:r>
              <w:rPr>
                <w:vanish w:val="false"/>
              </w:rPr>
              <w:tab/>
            </w:r>
          </w:hyperlink>
          <w:r>
            <w:rPr>
              <w:vanish w:val="false"/>
            </w:rPr>
            <w:t>1</w:t>
          </w:r>
        </w:p>
        <w:p>
          <w:pPr>
            <w:pStyle w:val="24"/>
            <w:tabs>
              <w:tab w:val="clear" w:pos="720"/>
              <w:tab w:val="right" w:pos="8302" w:leader="dot"/>
            </w:tabs>
            <w:ind w:left="480" w:firstLine="480"/>
            <w:rPr>
              <w:rFonts w:ascii="Cambria" w:hAnsi="Cambria" w:eastAsia="ＭＳ 明朝" w:asciiTheme="minorHAnsi" w:eastAsiaTheme="minorEastAsia" w:hAnsiTheme="minorHAnsi"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923404">
            <w:r>
              <w:rPr>
                <w:webHidden/>
                <w:rFonts w:cs="Times New Roman"/>
                <w:lang w:eastAsia="zh-CN"/>
              </w:rPr>
              <w:t>（二）关系失衡：主客固化消解平等交往</w:t>
            </w:r>
            <w:r>
              <w:rPr>
                <w:vanish w:val="false"/>
              </w:rPr>
              <w:tab/>
            </w:r>
          </w:hyperlink>
          <w:r>
            <w:rPr>
              <w:vanish w:val="false"/>
            </w:rPr>
            <w:t>2</w:t>
          </w:r>
        </w:p>
        <w:p>
          <w:pPr>
            <w:pStyle w:val="24"/>
            <w:tabs>
              <w:tab w:val="clear" w:pos="720"/>
              <w:tab w:val="right" w:pos="8302" w:leader="dot"/>
            </w:tabs>
            <w:ind w:left="480" w:firstLine="480"/>
            <w:rPr>
              <w:rFonts w:ascii="Cambria" w:hAnsi="Cambria" w:eastAsia="ＭＳ 明朝" w:asciiTheme="minorHAnsi" w:eastAsiaTheme="minorEastAsia" w:hAnsiTheme="minorHAnsi"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923405">
            <w:r>
              <w:rPr>
                <w:webHidden/>
                <w:rFonts w:cs="Times New Roman"/>
                <w:lang w:eastAsia="zh-CN"/>
              </w:rPr>
              <w:t>（三）技术失衡：工具越位遮蔽真实对话</w:t>
            </w:r>
            <w:r>
              <w:rPr>
                <w:vanish w:val="false"/>
              </w:rPr>
              <w:tab/>
            </w:r>
          </w:hyperlink>
          <w:r>
            <w:rPr>
              <w:vanish w:val="false"/>
            </w:rPr>
            <w:t>2</w:t>
          </w:r>
        </w:p>
        <w:p>
          <w:pPr>
            <w:pStyle w:val="12"/>
            <w:tabs>
              <w:tab w:val="clear" w:pos="720"/>
              <w:tab w:val="right" w:pos="8302" w:leader="dot"/>
            </w:tabs>
            <w:rPr>
              <w:rFonts w:ascii="Cambria" w:hAnsi="Cambria" w:eastAsia="ＭＳ 明朝" w:asciiTheme="minorHAnsi" w:eastAsiaTheme="minorEastAsia" w:hAnsiTheme="minorHAnsi"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923406">
            <w:r>
              <w:rPr>
                <w:webHidden/>
                <w:rFonts w:cs="Times New Roman"/>
                <w:lang w:eastAsia="zh-CN"/>
              </w:rPr>
              <w:t>二、探究——三元协同课堂互动校准之阶</w:t>
            </w:r>
            <w:r>
              <w:rPr>
                <w:vanish w:val="false"/>
              </w:rPr>
              <w:tab/>
            </w:r>
          </w:hyperlink>
          <w:r>
            <w:rPr>
              <w:vanish w:val="false"/>
            </w:rPr>
            <w:t>3</w:t>
          </w:r>
        </w:p>
        <w:p>
          <w:pPr>
            <w:pStyle w:val="24"/>
            <w:tabs>
              <w:tab w:val="clear" w:pos="720"/>
              <w:tab w:val="right" w:pos="8302" w:leader="dot"/>
            </w:tabs>
            <w:ind w:left="480" w:firstLine="480"/>
            <w:rPr>
              <w:rFonts w:ascii="Cambria" w:hAnsi="Cambria" w:eastAsia="ＭＳ 明朝" w:asciiTheme="minorHAnsi" w:eastAsiaTheme="minorEastAsia" w:hAnsiTheme="minorHAnsi"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923407">
            <w:r>
              <w:rPr>
                <w:webHidden/>
                <w:rFonts w:cs="Times New Roman"/>
                <w:lang w:eastAsia="zh-CN"/>
              </w:rPr>
              <w:t>（一）破程开道：由程式问答走向多层表达</w:t>
            </w:r>
            <w:r>
              <w:rPr>
                <w:vanish w:val="false"/>
              </w:rPr>
              <w:tab/>
            </w:r>
          </w:hyperlink>
          <w:r>
            <w:rPr>
              <w:vanish w:val="false"/>
            </w:rPr>
            <w:t>4</w:t>
          </w:r>
        </w:p>
        <w:p>
          <w:pPr>
            <w:pStyle w:val="34"/>
            <w:tabs>
              <w:tab w:val="clear" w:pos="720"/>
              <w:tab w:val="right" w:pos="8302" w:leader="dot"/>
            </w:tabs>
            <w:ind w:left="960" w:firstLine="480"/>
            <w:rPr>
              <w:rFonts w:ascii="Cambria" w:hAnsi="Cambria" w:eastAsia="ＭＳ 明朝" w:asciiTheme="minorHAnsi" w:eastAsiaTheme="minorEastAsia" w:hAnsiTheme="minorHAnsi"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923408">
            <w:r>
              <w:rPr>
                <w:webHidden/>
              </w:rPr>
              <w:t xml:space="preserve">1. </w:t>
            </w:r>
            <w:r>
              <w:rPr/>
              <w:t>梯度设问，横向开道</w:t>
            </w:r>
            <w:r>
              <w:rPr>
                <w:vanish w:val="false"/>
              </w:rPr>
              <w:tab/>
            </w:r>
          </w:hyperlink>
          <w:r>
            <w:rPr>
              <w:vanish w:val="false"/>
            </w:rPr>
            <w:t>4</w:t>
          </w:r>
        </w:p>
        <w:p>
          <w:pPr>
            <w:pStyle w:val="34"/>
            <w:tabs>
              <w:tab w:val="clear" w:pos="720"/>
              <w:tab w:val="right" w:pos="8302" w:leader="dot"/>
            </w:tabs>
            <w:ind w:left="960" w:firstLine="480"/>
            <w:rPr>
              <w:rFonts w:ascii="Cambria" w:hAnsi="Cambria" w:eastAsia="ＭＳ 明朝" w:asciiTheme="minorHAnsi" w:eastAsiaTheme="minorEastAsia" w:hAnsiTheme="minorHAnsi"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923409">
            <w:r>
              <w:rPr>
                <w:webHidden/>
              </w:rPr>
              <w:t xml:space="preserve">2. </w:t>
            </w:r>
            <w:r>
              <w:rPr/>
              <w:t>分层驱动，全员入场</w:t>
            </w:r>
            <w:r>
              <w:rPr>
                <w:vanish w:val="false"/>
              </w:rPr>
              <w:tab/>
            </w:r>
          </w:hyperlink>
          <w:r>
            <w:rPr>
              <w:vanish w:val="false"/>
            </w:rPr>
            <w:t>5</w:t>
          </w:r>
        </w:p>
        <w:p>
          <w:pPr>
            <w:pStyle w:val="34"/>
            <w:tabs>
              <w:tab w:val="clear" w:pos="720"/>
              <w:tab w:val="right" w:pos="8302" w:leader="dot"/>
            </w:tabs>
            <w:ind w:left="960" w:firstLine="480"/>
            <w:rPr>
              <w:rFonts w:ascii="Cambria" w:hAnsi="Cambria" w:eastAsia="ＭＳ 明朝" w:asciiTheme="minorHAnsi" w:eastAsiaTheme="minorEastAsia" w:hAnsiTheme="minorHAnsi"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923410">
            <w:r>
              <w:rPr>
                <w:webHidden/>
              </w:rPr>
              <w:t xml:space="preserve">3. </w:t>
            </w:r>
            <w:r>
              <w:rPr/>
              <w:t>预设留白，生成入课</w:t>
            </w:r>
            <w:r>
              <w:rPr>
                <w:vanish w:val="false"/>
              </w:rPr>
              <w:tab/>
            </w:r>
          </w:hyperlink>
          <w:r>
            <w:rPr>
              <w:vanish w:val="false"/>
            </w:rPr>
            <w:t>5</w:t>
          </w:r>
        </w:p>
        <w:p>
          <w:pPr>
            <w:pStyle w:val="24"/>
            <w:tabs>
              <w:tab w:val="clear" w:pos="720"/>
              <w:tab w:val="right" w:pos="8302" w:leader="dot"/>
            </w:tabs>
            <w:ind w:left="480" w:firstLine="480"/>
            <w:rPr>
              <w:rFonts w:ascii="Cambria" w:hAnsi="Cambria" w:eastAsia="ＭＳ 明朝" w:asciiTheme="minorHAnsi" w:eastAsiaTheme="minorEastAsia" w:hAnsiTheme="minorHAnsi"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923411">
            <w:r>
              <w:rPr>
                <w:webHidden/>
                <w:rFonts w:cs="Times New Roman"/>
                <w:lang w:eastAsia="zh-CN"/>
              </w:rPr>
              <w:t>（二）复权归位：由少数独言走向全员可见</w:t>
            </w:r>
            <w:r>
              <w:rPr>
                <w:vanish w:val="false"/>
              </w:rPr>
              <w:tab/>
            </w:r>
          </w:hyperlink>
          <w:r>
            <w:rPr>
              <w:vanish w:val="false"/>
            </w:rPr>
            <w:t>6</w:t>
          </w:r>
        </w:p>
        <w:p>
          <w:pPr>
            <w:pStyle w:val="34"/>
            <w:tabs>
              <w:tab w:val="clear" w:pos="720"/>
              <w:tab w:val="right" w:pos="8302" w:leader="dot"/>
            </w:tabs>
            <w:ind w:left="960" w:firstLine="480"/>
            <w:rPr>
              <w:rFonts w:ascii="Cambria" w:hAnsi="Cambria" w:eastAsia="ＭＳ 明朝" w:asciiTheme="minorHAnsi" w:eastAsiaTheme="minorEastAsia" w:hAnsiTheme="minorHAnsi"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923412">
            <w:r>
              <w:rPr>
                <w:webHidden/>
              </w:rPr>
              <w:t xml:space="preserve">1. </w:t>
            </w:r>
            <w:r>
              <w:rPr/>
              <w:t>问权下移，学生学会追问</w:t>
            </w:r>
            <w:r>
              <w:rPr>
                <w:vanish w:val="false"/>
              </w:rPr>
              <w:tab/>
            </w:r>
          </w:hyperlink>
          <w:r>
            <w:rPr>
              <w:vanish w:val="false"/>
            </w:rPr>
            <w:t>6</w:t>
          </w:r>
        </w:p>
        <w:p>
          <w:pPr>
            <w:pStyle w:val="34"/>
            <w:tabs>
              <w:tab w:val="clear" w:pos="720"/>
              <w:tab w:val="right" w:pos="8302" w:leader="dot"/>
            </w:tabs>
            <w:ind w:left="960" w:firstLine="480"/>
            <w:rPr>
              <w:rFonts w:ascii="Cambria" w:hAnsi="Cambria" w:eastAsia="ＭＳ 明朝" w:asciiTheme="minorHAnsi" w:eastAsiaTheme="minorEastAsia" w:hAnsiTheme="minorHAnsi"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923413">
            <w:r>
              <w:rPr>
                <w:webHidden/>
              </w:rPr>
              <w:t xml:space="preserve">2. </w:t>
            </w:r>
            <w:r>
              <w:rPr/>
              <w:t>边缘可见，观点上屏</w:t>
            </w:r>
            <w:r>
              <w:rPr>
                <w:vanish w:val="false"/>
              </w:rPr>
              <w:tab/>
            </w:r>
          </w:hyperlink>
          <w:r>
            <w:rPr>
              <w:vanish w:val="false"/>
            </w:rPr>
            <w:t>6</w:t>
          </w:r>
        </w:p>
        <w:p>
          <w:pPr>
            <w:pStyle w:val="34"/>
            <w:tabs>
              <w:tab w:val="clear" w:pos="720"/>
              <w:tab w:val="right" w:pos="8302" w:leader="dot"/>
            </w:tabs>
            <w:ind w:left="960" w:firstLine="480"/>
            <w:rPr>
              <w:rFonts w:ascii="Cambria" w:hAnsi="Cambria" w:eastAsia="ＭＳ 明朝" w:asciiTheme="minorHAnsi" w:eastAsiaTheme="minorEastAsia" w:hAnsiTheme="minorHAnsi"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923414">
            <w:r>
              <w:rPr>
                <w:webHidden/>
              </w:rPr>
              <w:t xml:space="preserve">3. </w:t>
            </w:r>
            <w:r>
              <w:rPr/>
              <w:t>三元归位，人守判断</w:t>
            </w:r>
            <w:r>
              <w:rPr>
                <w:vanish w:val="false"/>
              </w:rPr>
              <w:tab/>
            </w:r>
          </w:hyperlink>
          <w:r>
            <w:rPr>
              <w:vanish w:val="false"/>
            </w:rPr>
            <w:t>7</w:t>
          </w:r>
        </w:p>
        <w:p>
          <w:pPr>
            <w:pStyle w:val="24"/>
            <w:tabs>
              <w:tab w:val="clear" w:pos="720"/>
              <w:tab w:val="right" w:pos="8302" w:leader="dot"/>
            </w:tabs>
            <w:ind w:left="480" w:firstLine="480"/>
            <w:rPr>
              <w:rFonts w:ascii="Cambria" w:hAnsi="Cambria" w:eastAsia="ＭＳ 明朝" w:asciiTheme="minorHAnsi" w:eastAsiaTheme="minorEastAsia" w:hAnsiTheme="minorHAnsi"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923415">
            <w:r>
              <w:rPr>
                <w:webHidden/>
                <w:rFonts w:cs="Times New Roman"/>
                <w:lang w:eastAsia="zh-CN"/>
              </w:rPr>
              <w:t>（三）守界护航：由技术越位回归支架本位</w:t>
            </w:r>
            <w:r>
              <w:rPr>
                <w:vanish w:val="false"/>
              </w:rPr>
              <w:tab/>
            </w:r>
          </w:hyperlink>
          <w:r>
            <w:rPr>
              <w:vanish w:val="false"/>
            </w:rPr>
            <w:t>7</w:t>
          </w:r>
        </w:p>
        <w:p>
          <w:pPr>
            <w:pStyle w:val="34"/>
            <w:tabs>
              <w:tab w:val="clear" w:pos="720"/>
              <w:tab w:val="right" w:pos="8302" w:leader="dot"/>
            </w:tabs>
            <w:ind w:left="960" w:firstLine="480"/>
            <w:rPr>
              <w:rFonts w:ascii="Cambria" w:hAnsi="Cambria" w:eastAsia="ＭＳ 明朝" w:asciiTheme="minorHAnsi" w:eastAsiaTheme="minorEastAsia" w:hAnsiTheme="minorHAnsi"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923416">
            <w:r>
              <w:rPr>
                <w:webHidden/>
              </w:rPr>
              <w:t xml:space="preserve">1. </w:t>
            </w:r>
            <w:r>
              <w:rPr/>
              <w:t>禁替终答，先思后比</w:t>
            </w:r>
            <w:r>
              <w:rPr>
                <w:vanish w:val="false"/>
              </w:rPr>
              <w:tab/>
            </w:r>
          </w:hyperlink>
          <w:r>
            <w:rPr>
              <w:vanish w:val="false"/>
            </w:rPr>
            <w:t>8</w:t>
          </w:r>
        </w:p>
        <w:p>
          <w:pPr>
            <w:pStyle w:val="34"/>
            <w:tabs>
              <w:tab w:val="clear" w:pos="720"/>
              <w:tab w:val="right" w:pos="8302" w:leader="dot"/>
            </w:tabs>
            <w:ind w:left="960" w:firstLine="480"/>
            <w:rPr>
              <w:rFonts w:ascii="Cambria" w:hAnsi="Cambria" w:eastAsia="ＭＳ 明朝" w:asciiTheme="minorHAnsi" w:eastAsiaTheme="minorEastAsia" w:hAnsiTheme="minorHAnsi"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923417">
            <w:r>
              <w:rPr>
                <w:webHidden/>
              </w:rPr>
              <w:t xml:space="preserve">2. </w:t>
            </w:r>
            <w:r>
              <w:rPr/>
              <w:t>护航情意，出错先护</w:t>
            </w:r>
            <w:r>
              <w:rPr>
                <w:vanish w:val="false"/>
              </w:rPr>
              <w:tab/>
            </w:r>
          </w:hyperlink>
          <w:r>
            <w:rPr>
              <w:vanish w:val="false"/>
            </w:rPr>
            <w:t>8</w:t>
          </w:r>
        </w:p>
        <w:p>
          <w:pPr>
            <w:pStyle w:val="34"/>
            <w:tabs>
              <w:tab w:val="clear" w:pos="720"/>
              <w:tab w:val="right" w:pos="8302" w:leader="dot"/>
            </w:tabs>
            <w:ind w:left="960" w:firstLine="480"/>
            <w:rPr>
              <w:rFonts w:ascii="Cambria" w:hAnsi="Cambria" w:eastAsia="ＭＳ 明朝" w:asciiTheme="minorHAnsi" w:eastAsiaTheme="minorEastAsia" w:hAnsiTheme="minorHAnsi"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923418">
            <w:r>
              <w:rPr>
                <w:webHidden/>
              </w:rPr>
              <w:t xml:space="preserve">3. </w:t>
            </w:r>
            <w:r>
              <w:rPr/>
              <w:t>证伪机器，据文校验</w:t>
            </w:r>
            <w:r>
              <w:rPr>
                <w:vanish w:val="false"/>
              </w:rPr>
              <w:tab/>
            </w:r>
          </w:hyperlink>
          <w:r>
            <w:rPr>
              <w:vanish w:val="false"/>
            </w:rPr>
            <w:t>8</w:t>
          </w:r>
        </w:p>
        <w:p>
          <w:pPr>
            <w:pStyle w:val="24"/>
            <w:tabs>
              <w:tab w:val="clear" w:pos="720"/>
              <w:tab w:val="right" w:pos="8302" w:leader="dot"/>
            </w:tabs>
            <w:ind w:left="480" w:firstLine="480"/>
            <w:rPr>
              <w:rFonts w:ascii="Cambria" w:hAnsi="Cambria" w:eastAsia="ＭＳ 明朝" w:asciiTheme="minorHAnsi" w:eastAsiaTheme="minorEastAsia" w:hAnsiTheme="minorHAnsi"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923419">
            <w:r>
              <w:rPr>
                <w:webHidden/>
                <w:rFonts w:cs="Times New Roman"/>
                <w:lang w:eastAsia="zh-CN"/>
              </w:rPr>
              <w:t>（四）入常落地：由单课校准走向课型复盘</w:t>
            </w:r>
            <w:r>
              <w:rPr>
                <w:vanish w:val="false"/>
              </w:rPr>
              <w:tab/>
            </w:r>
          </w:hyperlink>
          <w:r>
            <w:rPr>
              <w:vanish w:val="false"/>
            </w:rPr>
            <w:t>9</w:t>
          </w:r>
        </w:p>
        <w:p>
          <w:pPr>
            <w:pStyle w:val="12"/>
            <w:tabs>
              <w:tab w:val="clear" w:pos="720"/>
              <w:tab w:val="right" w:pos="8302" w:leader="dot"/>
            </w:tabs>
            <w:rPr>
              <w:rFonts w:ascii="Cambria" w:hAnsi="Cambria" w:eastAsia="ＭＳ 明朝" w:asciiTheme="minorHAnsi" w:eastAsiaTheme="minorEastAsia" w:hAnsiTheme="minorHAnsi"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923420">
            <w:r>
              <w:rPr>
                <w:webHidden/>
                <w:rFonts w:cs="Times New Roman"/>
                <w:lang w:eastAsia="zh-CN"/>
              </w:rPr>
              <w:t>三、反思——三元协同课堂互动均衡之效</w:t>
            </w:r>
            <w:r>
              <w:rPr>
                <w:vanish w:val="false"/>
              </w:rPr>
              <w:tab/>
              <w:t>1</w:t>
            </w:r>
          </w:hyperlink>
          <w:r>
            <w:rPr>
              <w:vanish w:val="false"/>
            </w:rPr>
            <w:t>0</w:t>
          </w:r>
        </w:p>
        <w:p>
          <w:pPr>
            <w:pStyle w:val="24"/>
            <w:tabs>
              <w:tab w:val="clear" w:pos="720"/>
              <w:tab w:val="right" w:pos="8302" w:leader="dot"/>
            </w:tabs>
            <w:ind w:left="480" w:firstLine="480"/>
            <w:rPr>
              <w:rFonts w:ascii="Cambria" w:hAnsi="Cambria" w:eastAsia="ＭＳ 明朝" w:asciiTheme="minorHAnsi" w:eastAsiaTheme="minorEastAsia" w:hAnsiTheme="minorHAnsi"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923421">
            <w:r>
              <w:rPr>
                <w:webHidden/>
                <w:rFonts w:cs="Times New Roman"/>
                <w:lang w:eastAsia="zh-CN"/>
              </w:rPr>
              <w:t>（一）已见之效：结构与行为的可见变化</w:t>
            </w:r>
            <w:r>
              <w:rPr>
                <w:vanish w:val="false"/>
              </w:rPr>
              <w:tab/>
              <w:t>1</w:t>
            </w:r>
          </w:hyperlink>
          <w:r>
            <w:rPr>
              <w:vanish w:val="false"/>
            </w:rPr>
            <w:t>0</w:t>
          </w:r>
        </w:p>
        <w:p>
          <w:pPr>
            <w:pStyle w:val="24"/>
            <w:tabs>
              <w:tab w:val="clear" w:pos="720"/>
              <w:tab w:val="right" w:pos="8302" w:leader="dot"/>
            </w:tabs>
            <w:ind w:left="480" w:firstLine="480"/>
            <w:rPr>
              <w:rFonts w:ascii="Cambria" w:hAnsi="Cambria" w:eastAsia="ＭＳ 明朝" w:asciiTheme="minorHAnsi" w:eastAsiaTheme="minorEastAsia" w:hAnsiTheme="minorHAnsi"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923422">
            <w:r>
              <w:rPr>
                <w:webHidden/>
                <w:rFonts w:cs="Times New Roman"/>
                <w:lang w:eastAsia="zh-CN"/>
              </w:rPr>
              <w:t>（二）未竟之困：进度、工具与评价三重回潮</w:t>
            </w:r>
            <w:r>
              <w:rPr>
                <w:vanish w:val="false"/>
              </w:rPr>
              <w:tab/>
              <w:t>1</w:t>
            </w:r>
          </w:hyperlink>
          <w:r>
            <w:rPr>
              <w:vanish w:val="false"/>
            </w:rPr>
            <w:t>1</w:t>
          </w:r>
        </w:p>
        <w:p>
          <w:pPr>
            <w:pStyle w:val="24"/>
            <w:tabs>
              <w:tab w:val="clear" w:pos="720"/>
              <w:tab w:val="right" w:pos="8302" w:leader="dot"/>
            </w:tabs>
            <w:ind w:left="480" w:firstLine="480"/>
            <w:rPr>
              <w:rFonts w:ascii="Cambria" w:hAnsi="Cambria" w:eastAsia="ＭＳ 明朝" w:asciiTheme="minorHAnsi" w:eastAsiaTheme="minorEastAsia" w:hAnsiTheme="minorHAnsi"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923423">
            <w:r>
              <w:rPr>
                <w:webHidden/>
                <w:rFonts w:cs="Times New Roman"/>
                <w:lang w:eastAsia="zh-CN"/>
              </w:rPr>
              <w:t>（三）持续之向：支架归位与循证入常</w:t>
            </w:r>
            <w:r>
              <w:rPr>
                <w:vanish w:val="false"/>
              </w:rPr>
              <w:tab/>
              <w:t>1</w:t>
            </w:r>
          </w:hyperlink>
          <w:r>
            <w:rPr>
              <w:vanish w:val="false"/>
            </w:rPr>
            <w:t>1</w:t>
          </w:r>
        </w:p>
        <w:p>
          <w:pPr>
            <w:pStyle w:val="12"/>
            <w:tabs>
              <w:tab w:val="clear" w:pos="720"/>
              <w:tab w:val="right" w:pos="8302" w:leader="dot"/>
            </w:tabs>
            <w:rPr>
              <w:rFonts w:ascii="Cambria" w:hAnsi="Cambria" w:eastAsia="ＭＳ 明朝" w:asciiTheme="minorHAnsi" w:eastAsiaTheme="minorEastAsia" w:hAnsiTheme="minorHAnsi"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0923424">
            <w:r>
              <w:rPr>
                <w:webHidden/>
                <w:rFonts w:cs="Times New Roman"/>
                <w:lang w:eastAsia="zh-CN"/>
              </w:rPr>
              <w:t>参考文献</w:t>
            </w:r>
            <w:r>
              <w:rPr>
                <w:vanish w:val="false"/>
              </w:rPr>
              <w:tab/>
              <w:t>1</w:t>
            </w:r>
          </w:hyperlink>
          <w:r>
            <w:rPr>
              <w:vanish w:val="false"/>
            </w:rPr>
            <w:t>2</w:t>
          </w:r>
        </w:p>
        <w:p>
          <w:pPr>
            <w:pStyle w:val="Normal"/>
            <w:rPr/>
          </w:pPr>
          <w:r>
            <w:rPr/>
          </w:r>
          <w:r>
            <w:rPr/>
            <w:fldChar w:fldCharType="end"/>
          </w:r>
        </w:p>
        <w:p>
          <w:pPr>
            <w:sectPr>
              <w:type w:val="nextPage"/>
              <w:pgSz w:w="11906" w:h="16838"/>
              <w:pgMar w:left="1797" w:right="1797" w:gutter="0" w:header="0" w:top="1440" w:footer="0" w:bottom="1440"/>
              <w:pgNumType w:fmt="decimal"/>
              <w:formProt w:val="false"/>
              <w:textDirection w:val="lrTb"/>
              <w:docGrid w:type="default" w:linePitch="360" w:charSpace="0"/>
            </w:sectPr>
          </w:pPr>
        </w:p>
      </w:sdtContent>
    </w:sdt>
    <w:p>
      <w:pPr>
        <w:pStyle w:val="Style24"/>
        <w:spacing w:before="0" w:after="0"/>
        <w:contextualSpacing/>
        <w:rPr>
          <w:lang w:eastAsia="zh-CN"/>
        </w:rPr>
      </w:pPr>
      <w:r>
        <w:rPr>
          <w:rFonts w:ascii="Times New Roman" w:hAnsi="Times New Roman" w:cs="Times New Roman" w:eastAsia="黑体"/>
          <w:lang w:eastAsia="zh-CN"/>
        </w:rPr>
        <w:t>失衡</w:t>
      </w:r>
      <w:r>
        <w:rPr>
          <w:rFonts w:eastAsia="黑体" w:cs="Times New Roman" w:ascii="Times New Roman" w:hAnsi="Times New Roman"/>
          <w:lang w:eastAsia="zh-CN"/>
        </w:rPr>
        <w:t>·</w:t>
      </w:r>
      <w:r>
        <w:rPr>
          <w:rFonts w:ascii="Times New Roman" w:hAnsi="Times New Roman" w:cs="Times New Roman" w:eastAsia="黑体"/>
          <w:lang w:eastAsia="zh-CN"/>
        </w:rPr>
        <w:t>校准</w:t>
      </w:r>
      <w:r>
        <w:rPr>
          <w:rFonts w:eastAsia="黑体" w:cs="Times New Roman" w:ascii="Times New Roman" w:hAnsi="Times New Roman"/>
          <w:lang w:eastAsia="zh-CN"/>
        </w:rPr>
        <w:t>·</w:t>
      </w:r>
      <w:r>
        <w:rPr>
          <w:rFonts w:ascii="Times New Roman" w:hAnsi="Times New Roman" w:cs="Times New Roman" w:eastAsia="黑体"/>
          <w:lang w:eastAsia="zh-CN"/>
        </w:rPr>
        <w:t>均衡</w:t>
      </w:r>
    </w:p>
    <w:p>
      <w:pPr>
        <w:pStyle w:val="Style24"/>
        <w:spacing w:before="0" w:after="0"/>
        <w:contextualSpacing/>
        <w:rPr>
          <w:lang w:eastAsia="zh-CN"/>
        </w:rPr>
      </w:pPr>
      <w:r>
        <w:rPr>
          <w:rFonts w:ascii="Times New Roman" w:hAnsi="Times New Roman" w:cs="Times New Roman" w:eastAsia="黑体"/>
          <w:lang w:eastAsia="zh-CN"/>
        </w:rPr>
        <w:t>——</w:t>
      </w:r>
      <w:r>
        <w:rPr>
          <w:rFonts w:eastAsia="黑体" w:cs="Times New Roman" w:ascii="Times New Roman" w:hAnsi="Times New Roman"/>
          <w:lang w:eastAsia="zh-CN"/>
        </w:rPr>
        <w:t>AI</w:t>
      </w:r>
      <w:r>
        <w:rPr>
          <w:rFonts w:ascii="Times New Roman" w:hAnsi="Times New Roman" w:cs="Times New Roman" w:eastAsia="黑体"/>
          <w:lang w:eastAsia="zh-CN"/>
        </w:rPr>
        <w:t>赋能下小学语文三元协同师生互动优化策略</w:t>
      </w:r>
    </w:p>
    <w:p>
      <w:pPr>
        <w:pStyle w:val="Normal"/>
        <w:jc w:val="both"/>
        <w:rPr>
          <w:lang w:eastAsia="zh-CN"/>
        </w:rPr>
      </w:pPr>
      <w:r>
        <w:rPr>
          <w:rFonts w:cs="Times New Roman"/>
          <w:lang w:eastAsia="zh-CN"/>
        </w:rPr>
        <w:t>【摘要】生成式人工智能进入小学语文课堂后，互动主体由“教师—学生”扩展为“教师—</w:t>
      </w:r>
      <w:r>
        <w:rPr>
          <w:rFonts w:cs="Times New Roman"/>
          <w:lang w:eastAsia="zh-CN"/>
        </w:rPr>
        <w:t>AI—</w:t>
      </w:r>
      <w:r>
        <w:rPr>
          <w:rFonts w:cs="Times New Roman"/>
          <w:lang w:eastAsia="zh-CN"/>
        </w:rPr>
        <w:t>学生”。已有研究多讨论资源生成与分层练习，对课堂互动的通道、权责与越位边界仍缺少可观察的校准框架。本文以“问题—策略—结果”为线索，将形式、关系、技术三类失衡对应破程、复权、守界三阶校准，并以课型分责与循证复盘使之入常：破程以梯度设问与分层任务打开横向通道，复权以问权下移与观点上屏扩大可见发言，守界以禁替终答、护航情意与据文校验限制技术越位。核心判断是：三元协同并非三方平均用力，而是</w:t>
      </w:r>
      <w:r>
        <w:rPr>
          <w:rFonts w:cs="Times New Roman"/>
          <w:lang w:eastAsia="zh-CN"/>
        </w:rPr>
        <w:t>AI</w:t>
      </w:r>
      <w:r>
        <w:rPr>
          <w:rFonts w:cs="Times New Roman"/>
          <w:lang w:eastAsia="zh-CN"/>
        </w:rPr>
        <w:t>承担支架、教师承担引领、学生完成意义建构，推动互动由信息交互进入概念交互，并由人守住情意回应。证据以课堂观察、课例分析与政策文本为主，公开数据仅作侧面说明。</w:t>
      </w:r>
    </w:p>
    <w:p>
      <w:pPr>
        <w:pStyle w:val="Normal"/>
        <w:jc w:val="both"/>
        <w:rPr>
          <w:lang w:eastAsia="zh-CN"/>
        </w:rPr>
      </w:pPr>
      <w:r>
        <w:rPr>
          <w:rFonts w:cs="Times New Roman"/>
          <w:lang w:eastAsia="zh-CN"/>
        </w:rPr>
        <w:t>【关键词】小学语文；生成式人工智能；三元协同师生互动；课堂校准；教学交互</w:t>
      </w:r>
    </w:p>
    <w:p>
      <w:pPr>
        <w:pStyle w:val="1"/>
        <w:spacing w:before="120" w:after="120"/>
        <w:contextualSpacing/>
        <w:jc w:val="left"/>
        <w:rPr>
          <w:lang w:eastAsia="zh-CN"/>
        </w:rPr>
      </w:pPr>
      <w:bookmarkStart w:id="0" w:name="_Toc240923402"/>
      <w:r>
        <w:rPr>
          <w:rFonts w:ascii="Times New Roman" w:hAnsi="Times New Roman" w:cs="Times New Roman"/>
          <w:lang w:eastAsia="zh-CN"/>
        </w:rPr>
        <w:t>一、审视——三元协同课堂互动失衡之困</w:t>
      </w:r>
      <w:bookmarkEnd w:id="0"/>
    </w:p>
    <w:p>
      <w:pPr>
        <w:pStyle w:val="Normal"/>
        <w:jc w:val="both"/>
        <w:rPr>
          <w:lang w:eastAsia="zh-CN"/>
        </w:rPr>
      </w:pPr>
      <w:r>
        <w:rPr>
          <w:rFonts w:cs="Times New Roman"/>
          <w:lang w:eastAsia="zh-CN"/>
        </w:rPr>
        <w:t>生成式人工智能进入课堂后，互动主体由双方变为三方，问答结构却常被原样保留：学生行列式就座，目光朝向屏幕或讲台，发言以举手应答为主。工具可以即时生成问题、归集观点、反馈朗读，但若组织方式、权责关系与技术边界不同步调整，技术在场只会把单向问答做得更流畅。换言之，三元在场并不自动等于三元协同。故先从形式、关系、技术三处审视失衡，为下文校准定位。</w:t>
      </w:r>
    </w:p>
    <w:p>
      <w:pPr>
        <w:pStyle w:val="2"/>
        <w:spacing w:before="120" w:after="120"/>
        <w:contextualSpacing/>
        <w:rPr>
          <w:lang w:eastAsia="zh-CN"/>
        </w:rPr>
      </w:pPr>
      <w:bookmarkStart w:id="1" w:name="_Toc240923403"/>
      <w:r>
        <w:rPr>
          <w:rFonts w:ascii="Times New Roman" w:hAnsi="Times New Roman" w:cs="Times New Roman"/>
          <w:lang w:eastAsia="zh-CN"/>
        </w:rPr>
        <w:t>（一）形式失衡：程式问答遮蔽多向通道</w:t>
      </w:r>
      <w:bookmarkEnd w:id="1"/>
    </w:p>
    <w:p>
      <w:pPr>
        <w:pStyle w:val="Normal"/>
        <w:jc w:val="both"/>
        <w:rPr>
          <w:lang w:eastAsia="zh-CN"/>
        </w:rPr>
      </w:pPr>
      <w:r>
        <w:rPr>
          <w:rFonts w:cs="Times New Roman"/>
          <w:lang w:eastAsia="zh-CN"/>
        </w:rPr>
        <w:t>形式失衡，指互动被收束为“教师一呼、学生百应”。教师与全体、教师与个别两条线占满课时，生生、组际的横向通道难以进入，教案之外的生成也难以及时回应。深度互动往往不是被技术挡住，而是被放射状流程遮蔽：问题只有一个入口，答案只有一条标准路径，课堂看起来热闹，结构上仍是单向问答。此时即便引入生成式工具，也多半只是把“教师提问”换成“屏幕提问”，通道本身并未打开。</w:t>
      </w:r>
    </w:p>
    <w:p>
      <w:pPr>
        <w:pStyle w:val="2"/>
        <w:spacing w:before="120" w:after="120"/>
        <w:contextualSpacing/>
        <w:rPr>
          <w:lang w:eastAsia="zh-CN"/>
        </w:rPr>
      </w:pPr>
      <w:bookmarkStart w:id="2" w:name="_Toc240923404"/>
      <w:r>
        <w:rPr>
          <w:rFonts w:ascii="Times New Roman" w:hAnsi="Times New Roman" w:cs="Times New Roman"/>
          <w:lang w:eastAsia="zh-CN"/>
        </w:rPr>
        <w:t>（二）关系失衡：主客固化消解平等交往</w:t>
      </w:r>
      <w:bookmarkEnd w:id="2"/>
    </w:p>
    <w:p>
      <w:pPr>
        <w:pStyle w:val="Normal"/>
        <w:jc w:val="both"/>
        <w:rPr>
          <w:lang w:eastAsia="zh-CN"/>
        </w:rPr>
      </w:pPr>
      <w:r>
        <w:rPr>
          <w:rFonts w:cs="Times New Roman"/>
          <w:lang w:eastAsia="zh-CN"/>
        </w:rPr>
        <w:t>关系失衡，指发起权、可见权、判断权持续掌握在教师和少数学生手中：教师独问、少数独言、边缘学生旁观。生成式工具一旦充当“更正确的声音”，提问权与评价权再让给机器，主客关系更难松动。技术越流畅，沉默学生越容易被“正确答案”挤出对话；表面上人人面对同一屏幕，实际上仍是少数人代表全班发言。</w:t>
      </w:r>
    </w:p>
    <w:p>
      <w:pPr>
        <w:pStyle w:val="2"/>
        <w:spacing w:before="120" w:after="120"/>
        <w:contextualSpacing/>
        <w:rPr>
          <w:lang w:eastAsia="zh-CN"/>
        </w:rPr>
      </w:pPr>
      <w:bookmarkStart w:id="3" w:name="_Toc240923405"/>
      <w:r>
        <w:rPr>
          <w:rFonts w:ascii="Times New Roman" w:hAnsi="Times New Roman" w:cs="Times New Roman"/>
          <w:lang w:eastAsia="zh-CN"/>
        </w:rPr>
        <w:t>（三）技术失衡：工具越位遮蔽真实对话</w:t>
      </w:r>
      <w:bookmarkEnd w:id="3"/>
    </w:p>
    <w:p>
      <w:pPr>
        <w:pStyle w:val="Normal"/>
        <w:jc w:val="both"/>
        <w:rPr>
          <w:lang w:eastAsia="zh-CN"/>
        </w:rPr>
      </w:pPr>
      <w:r>
        <w:rPr>
          <w:rFonts w:cs="Times New Roman"/>
          <w:lang w:eastAsia="zh-CN"/>
        </w:rPr>
        <w:t>技术失衡，指工具越位替学生思考与判断，常见替答、替评、替演、替证四类表现。操作层流畅不等于概念层发生；情感体察与价值判断仍须由人完成。若终答、终评交给机器，学生得到的是可复制的句子，而不是可检验的理解。语文课堂尤其忌讳以流畅句替代文本证据：读得顺，未必读得懂；评得快，未必评得准。</w:t>
      </w:r>
    </w:p>
    <w:p>
      <w:pPr>
        <w:pStyle w:val="Normal"/>
        <w:keepNext w:val="true"/>
        <w:spacing w:before="120" w:after="0"/>
        <w:contextualSpacing/>
        <w:jc w:val="center"/>
        <w:rPr/>
      </w:pPr>
      <w:r>
        <w:rPr/>
        <w:drawing>
          <wp:inline distT="0" distB="0" distL="0" distR="0">
            <wp:extent cx="3036570" cy="2413000"/>
            <wp:effectExtent l="0" t="0" r="0" b="0"/>
            <wp:docPr id="2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657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120"/>
        <w:contextualSpacing/>
        <w:jc w:val="center"/>
        <w:rPr>
          <w:lang w:eastAsia="zh-CN"/>
        </w:rPr>
      </w:pPr>
      <w:r>
        <w:rPr>
          <w:rFonts w:cs="Times New Roman"/>
          <w:lang w:eastAsia="zh-CN"/>
        </w:rPr>
        <w:t xml:space="preserve">图 </w:t>
      </w:r>
      <w:r>
        <w:rPr>
          <w:rFonts w:cs="Times New Roman"/>
          <w:lang w:eastAsia="zh-CN"/>
        </w:rPr>
        <w:t>1</w:t>
      </w:r>
      <w:r>
        <w:rPr>
          <w:rFonts w:cs="Times New Roman"/>
          <w:lang w:eastAsia="zh-CN"/>
        </w:rPr>
        <w:t>三类失衡合集</w:t>
      </w:r>
    </w:p>
    <w:p>
      <w:pPr>
        <w:pStyle w:val="Normal"/>
        <w:keepNext w:val="true"/>
        <w:spacing w:before="60" w:after="120"/>
        <w:contextualSpacing/>
        <w:jc w:val="center"/>
        <w:rPr>
          <w:lang w:eastAsia="zh-CN"/>
        </w:rPr>
      </w:pPr>
      <w:r>
        <w:rPr>
          <w:rFonts w:cs="Times New Roman"/>
          <w:lang w:eastAsia="zh-CN"/>
        </w:rPr>
        <w:t>表</w:t>
      </w:r>
      <w:r>
        <w:rPr>
          <w:rFonts w:cs="Times New Roman"/>
          <w:lang w:eastAsia="zh-CN"/>
        </w:rPr>
        <w:t xml:space="preserve">1 </w:t>
      </w:r>
      <w:r>
        <w:rPr>
          <w:rFonts w:cs="Times New Roman"/>
          <w:lang w:eastAsia="zh-CN"/>
        </w:rPr>
        <w:t>三类失衡、识别信号与校准指向</w:t>
      </w:r>
    </w:p>
    <w:p>
      <w:pPr>
        <w:pStyle w:val="Normal"/>
        <w:spacing w:before="120" w:after="0"/>
        <w:contextualSpacing/>
        <w:jc w:val="center"/>
        <w:rPr/>
      </w:pPr>
      <w:r>
        <w:rPr/>
        <w:drawing>
          <wp:inline distT="0" distB="0" distL="0" distR="0">
            <wp:extent cx="5277485" cy="1722120"/>
            <wp:effectExtent l="0" t="0" r="0" b="0"/>
            <wp:docPr id="3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7485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lang w:eastAsia="zh-CN"/>
        </w:rPr>
      </w:pPr>
      <w:r>
        <w:rPr>
          <w:rFonts w:cs="Times New Roman"/>
          <w:lang w:eastAsia="zh-CN"/>
        </w:rPr>
        <w:t>三类失衡彼此牵制：通道不开，权责难还；权责不还，边界难守。只改其中一个条件，另外两个仍会把课堂拉回旧结构。例如，仅增加投屏与生成问题，却不调整发言权与终答边界，课堂仍可能是“屏幕上的一呼百应”。故校准不能只改工具，而须按“破程—复权—守界”递进推进，并落到可重复的课型日常。</w:t>
      </w:r>
    </w:p>
    <w:p>
      <w:pPr>
        <w:pStyle w:val="1"/>
        <w:spacing w:before="120" w:after="120"/>
        <w:contextualSpacing/>
        <w:jc w:val="left"/>
        <w:rPr>
          <w:lang w:eastAsia="zh-CN"/>
        </w:rPr>
      </w:pPr>
      <w:bookmarkStart w:id="4" w:name="_Toc240923406"/>
      <w:r>
        <w:rPr>
          <w:rFonts w:ascii="Times New Roman" w:hAnsi="Times New Roman" w:cs="Times New Roman"/>
          <w:lang w:eastAsia="zh-CN"/>
        </w:rPr>
        <w:t>二、探究——三元协同课堂互动校准之阶</w:t>
      </w:r>
      <w:bookmarkEnd w:id="4"/>
    </w:p>
    <w:p>
      <w:pPr>
        <w:pStyle w:val="Normal"/>
        <w:jc w:val="both"/>
        <w:rPr>
          <w:lang w:eastAsia="zh-CN"/>
        </w:rPr>
      </w:pPr>
      <w:r>
        <w:rPr>
          <w:rFonts w:cs="Times New Roman"/>
          <w:lang w:eastAsia="zh-CN"/>
        </w:rPr>
        <w:t>失衡的根子不在技术本身，而在通道、权责与边界三个条件是否同步成立。据此提出三阶校准：破程打开通道，对应形式失衡；复权归还权责，对应关系失衡；守界限制越位，对应技术失衡。三阶呈现阶梯关系而非并列口号——先有可进入的通道，才谈得上权责再分配；权责归位之后，才需要以边界防止技术回潮越位。三阶之后再以入常落地，使校准从“一节好课”走向“每一节课可执行”。</w:t>
      </w:r>
    </w:p>
    <w:p>
      <w:pPr>
        <w:pStyle w:val="Normal"/>
        <w:jc w:val="both"/>
        <w:rPr>
          <w:lang w:eastAsia="zh-CN"/>
        </w:rPr>
      </w:pPr>
      <w:r>
        <w:rPr>
          <w:rFonts w:cs="Times New Roman"/>
          <w:lang w:eastAsia="zh-CN"/>
        </w:rPr>
        <w:t>三者不是三方平均用力，而是</w:t>
      </w:r>
      <w:r>
        <w:rPr>
          <w:rFonts w:cs="Times New Roman"/>
          <w:lang w:eastAsia="zh-CN"/>
        </w:rPr>
        <w:t>AI</w:t>
      </w:r>
      <w:r>
        <w:rPr>
          <w:rFonts w:cs="Times New Roman"/>
          <w:lang w:eastAsia="zh-CN"/>
        </w:rPr>
        <w:t>承担支架、教师承担引领、学生完成意义建构。低年段的开放式生成由教师发起并监护，中高年段逐步把提问权、校验权交给学生。这一安排也与课标强调的学习任务群推进相一致：工具服务任务，任务服务理解，理解最终落在学生可表达、可检验的学习结果上。年段差异决定的是监护强度，而不是取消边界——低年段更需教师代为守界，高年段则把守界能力逐步教给学生。</w:t>
      </w:r>
    </w:p>
    <w:p>
      <w:pPr>
        <w:pStyle w:val="Normal"/>
        <w:jc w:val="both"/>
        <w:rPr>
          <w:lang w:eastAsia="zh-CN"/>
        </w:rPr>
      </w:pPr>
      <w:r>
        <w:rPr>
          <w:rFonts w:cs="Times New Roman"/>
          <w:lang w:eastAsia="zh-CN"/>
        </w:rPr>
        <w:t>这一逻辑可与教学交互层次对照理解：课堂要由操作交互、信息交互拾级进入概念交互，并以情意共鸣为不可外包给算法的边界。三阶校准解决的是“如何互动、谁来互动、什么不可交给</w:t>
      </w:r>
      <w:r>
        <w:rPr>
          <w:rFonts w:cs="Times New Roman"/>
          <w:lang w:eastAsia="zh-CN"/>
        </w:rPr>
        <w:t>AI”</w:t>
      </w:r>
      <w:r>
        <w:rPr>
          <w:rFonts w:cs="Times New Roman"/>
          <w:lang w:eastAsia="zh-CN"/>
        </w:rPr>
        <w:t>，交互层次回答的是“互动要升到哪一层才算发生学习”。二者合观，才能把策略落到可观察的行为上：破程主要把课堂从单一操作推进到可交换的信息交互；复权推动更多学生进入信息交换并开始概念碰撞；守界则保证概念交互与情意回应不被生成文本替代。</w:t>
      </w:r>
    </w:p>
    <w:p>
      <w:pPr>
        <w:pStyle w:val="Normal"/>
        <w:keepNext w:val="true"/>
        <w:spacing w:before="120" w:after="0"/>
        <w:contextualSpacing/>
        <w:jc w:val="center"/>
        <w:rPr/>
      </w:pPr>
      <w:r>
        <w:rPr/>
        <w:drawing>
          <wp:inline distT="0" distB="0" distL="0" distR="0">
            <wp:extent cx="5039995" cy="1756410"/>
            <wp:effectExtent l="0" t="0" r="0" b="0"/>
            <wp:docPr id="4" name="Pictur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120"/>
        <w:contextualSpacing/>
        <w:jc w:val="center"/>
        <w:rPr>
          <w:lang w:eastAsia="zh-CN"/>
        </w:rPr>
      </w:pPr>
      <w:r>
        <w:rPr>
          <w:rFonts w:cs="Times New Roman"/>
          <w:lang w:eastAsia="zh-CN"/>
        </w:rPr>
        <w:t xml:space="preserve">图 </w:t>
      </w:r>
      <w:r>
        <w:rPr>
          <w:rFonts w:cs="Times New Roman"/>
          <w:lang w:eastAsia="zh-CN"/>
        </w:rPr>
        <w:t xml:space="preserve">2 </w:t>
      </w:r>
      <w:r>
        <w:rPr>
          <w:rFonts w:cs="Times New Roman"/>
          <w:lang w:eastAsia="zh-CN"/>
        </w:rPr>
        <w:t>交互层次与三元校准综合模型</w:t>
      </w:r>
    </w:p>
    <w:p>
      <w:pPr>
        <w:pStyle w:val="Normal"/>
        <w:keepNext w:val="true"/>
        <w:spacing w:before="60" w:after="120"/>
        <w:contextualSpacing/>
        <w:jc w:val="center"/>
        <w:rPr>
          <w:lang w:eastAsia="zh-CN"/>
        </w:rPr>
      </w:pPr>
      <w:r>
        <w:rPr>
          <w:rFonts w:cs="Times New Roman"/>
          <w:lang w:eastAsia="zh-CN"/>
        </w:rPr>
        <w:t>表</w:t>
      </w:r>
      <w:r>
        <w:rPr>
          <w:rFonts w:cs="Times New Roman"/>
          <w:lang w:eastAsia="zh-CN"/>
        </w:rPr>
        <w:t xml:space="preserve">2 </w:t>
      </w:r>
      <w:r>
        <w:rPr>
          <w:rFonts w:cs="Times New Roman"/>
          <w:lang w:eastAsia="zh-CN"/>
        </w:rPr>
        <w:t>三元主体的权责与不可越权之处</w:t>
      </w:r>
    </w:p>
    <w:p>
      <w:pPr>
        <w:pStyle w:val="Normal"/>
        <w:spacing w:before="120" w:after="0"/>
        <w:contextualSpacing/>
        <w:jc w:val="center"/>
        <w:rPr/>
      </w:pPr>
      <w:r>
        <w:rPr/>
        <w:drawing>
          <wp:inline distT="0" distB="0" distL="0" distR="0">
            <wp:extent cx="5277485" cy="1722120"/>
            <wp:effectExtent l="0" t="0" r="0" b="0"/>
            <wp:docPr id="5" name="Pictur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6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7485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120" w:after="120"/>
        <w:contextualSpacing/>
        <w:rPr>
          <w:lang w:eastAsia="zh-CN"/>
        </w:rPr>
      </w:pPr>
      <w:bookmarkStart w:id="5" w:name="_Toc240923407"/>
      <w:r>
        <w:rPr>
          <w:rFonts w:ascii="Times New Roman" w:hAnsi="Times New Roman" w:cs="Times New Roman"/>
          <w:lang w:eastAsia="zh-CN"/>
        </w:rPr>
        <w:t>（一）破程开道：由程式问答走向多层表达</w:t>
      </w:r>
      <w:bookmarkEnd w:id="5"/>
    </w:p>
    <w:p>
      <w:pPr>
        <w:pStyle w:val="Normal"/>
        <w:jc w:val="both"/>
        <w:rPr>
          <w:lang w:eastAsia="zh-CN"/>
        </w:rPr>
      </w:pPr>
      <w:r>
        <w:rPr>
          <w:rFonts w:cs="Times New Roman"/>
          <w:lang w:eastAsia="zh-CN"/>
        </w:rPr>
        <w:t>破程先改问题，再改任务，最后决定是否调用工具。通道一开，程式才松得动；若只换媒介、不改问题结构，所谓“</w:t>
      </w:r>
      <w:r>
        <w:rPr>
          <w:rFonts w:cs="Times New Roman"/>
          <w:lang w:eastAsia="zh-CN"/>
        </w:rPr>
        <w:t>AI</w:t>
      </w:r>
      <w:r>
        <w:rPr>
          <w:rFonts w:cs="Times New Roman"/>
          <w:lang w:eastAsia="zh-CN"/>
        </w:rPr>
        <w:t>赋能”仍可能是更精致的一问一答。破程要回答的核心问题是：学生除了应答教师，还能向谁说、就什么说、以何种梯度说。</w:t>
      </w:r>
    </w:p>
    <w:p>
      <w:pPr>
        <w:pStyle w:val="3"/>
        <w:spacing w:before="120" w:after="120"/>
        <w:contextualSpacing/>
        <w:rPr/>
      </w:pPr>
      <w:bookmarkStart w:id="6" w:name="_Toc240923408"/>
      <w:r>
        <w:rPr>
          <w:rFonts w:ascii="Times New Roman" w:hAnsi="Times New Roman"/>
          <w:sz w:val="32"/>
        </w:rPr>
        <w:t xml:space="preserve">1. </w:t>
      </w:r>
      <w:r>
        <w:rPr>
          <w:rFonts w:ascii="Times New Roman" w:hAnsi="Times New Roman"/>
          <w:sz w:val="32"/>
        </w:rPr>
        <w:t>梯度设问，横向开道</w:t>
      </w:r>
      <w:bookmarkEnd w:id="6"/>
    </w:p>
    <w:p>
      <w:pPr>
        <w:pStyle w:val="Normal"/>
        <w:jc w:val="both"/>
        <w:rPr>
          <w:lang w:eastAsia="zh-CN"/>
        </w:rPr>
      </w:pPr>
      <w:r>
        <w:rPr>
          <w:rFonts w:cs="Times New Roman"/>
          <w:lang w:eastAsia="zh-CN"/>
        </w:rPr>
        <w:t>把“一呼百应”的大问题拆成有梯度的问题链，使不同层次的学生都有可说之处。问题应从课文与学生的生活经验中生长，而不是只服务教师预设的标准问。工具可用于生成问题梯度、归集不同想法，但不直接给出标准寓意。以《守株待兔》为例，由“等待会不会有好结果”追问到“课文中哪句话能证明”，横向上便打开了多条应答线：有人谈生活经验，有人找原文词句，有人比较不同说法。梯度的意义不在把课堂切碎，而在让表达入口变多，避免只有会说“标准答案”的学生才能入场。教师此时的工作，是把杂多表达再收束回文本证据，而不是用一个“标准寓意”提前关掉讨论。</w:t>
      </w:r>
    </w:p>
    <w:p>
      <w:pPr>
        <w:pStyle w:val="3"/>
        <w:spacing w:before="120" w:after="120"/>
        <w:contextualSpacing/>
        <w:rPr/>
      </w:pPr>
      <w:bookmarkStart w:id="7" w:name="_Toc240923409"/>
      <w:r>
        <w:rPr>
          <w:rFonts w:ascii="Times New Roman" w:hAnsi="Times New Roman"/>
          <w:sz w:val="32"/>
        </w:rPr>
        <w:t xml:space="preserve">2. </w:t>
      </w:r>
      <w:r>
        <w:rPr>
          <w:rFonts w:ascii="Times New Roman" w:hAnsi="Times New Roman"/>
          <w:sz w:val="32"/>
        </w:rPr>
        <w:t>分层驱动，全员入场</w:t>
      </w:r>
      <w:bookmarkEnd w:id="7"/>
    </w:p>
    <w:p>
      <w:pPr>
        <w:pStyle w:val="Normal"/>
        <w:jc w:val="both"/>
        <w:rPr>
          <w:lang w:eastAsia="zh-CN"/>
        </w:rPr>
      </w:pPr>
      <w:r>
        <w:rPr>
          <w:rFonts w:cs="Times New Roman"/>
          <w:lang w:eastAsia="zh-CN"/>
        </w:rPr>
        <w:t>任务分层让表达较弱的学生也能进入：基础层读通、说清，提升层比较、归类，挑战层质疑、论证。再用同桌互读、小组互说、组际互评，把“教师—学生”两条线扩展为“生—生、组—组”多条通道。低段阅读《去外婆家》以“外婆家有……有……还有……”的句式支架，串联品美食、戏小鸟、赏野花、悟亲情；随后以“说好吃的、说好玩的、说好看的”口语交际支架，让学生各叙己事。支架把表达的入场券发到每个学生手里，参与不再依赖谁先举手。这里</w:t>
      </w:r>
      <w:r>
        <w:rPr>
          <w:rFonts w:cs="Times New Roman"/>
          <w:lang w:eastAsia="zh-CN"/>
        </w:rPr>
        <w:t>AI</w:t>
      </w:r>
      <w:r>
        <w:rPr>
          <w:rFonts w:cs="Times New Roman"/>
          <w:lang w:eastAsia="zh-CN"/>
        </w:rPr>
        <w:t>若介入，宜生成句式卡片或观察角度提示，而不宜代写学生的生活故事——故事必须由学生自己说完，通道才算真正打开。分层不是给学生贴标签，而是保证同一课时内存在多条可达路径，使沉默不再等于无能。</w:t>
      </w:r>
    </w:p>
    <w:p>
      <w:pPr>
        <w:pStyle w:val="3"/>
        <w:spacing w:before="120" w:after="120"/>
        <w:contextualSpacing/>
        <w:rPr/>
      </w:pPr>
      <w:bookmarkStart w:id="8" w:name="_Toc240923410"/>
      <w:r>
        <w:rPr>
          <w:rFonts w:ascii="Times New Roman" w:hAnsi="Times New Roman"/>
          <w:sz w:val="32"/>
        </w:rPr>
        <w:t xml:space="preserve">3. </w:t>
      </w:r>
      <w:r>
        <w:rPr>
          <w:rFonts w:ascii="Times New Roman" w:hAnsi="Times New Roman"/>
          <w:sz w:val="32"/>
        </w:rPr>
        <w:t>预设留白，生成入课</w:t>
      </w:r>
      <w:bookmarkEnd w:id="8"/>
    </w:p>
    <w:p>
      <w:pPr>
        <w:pStyle w:val="Normal"/>
        <w:jc w:val="both"/>
        <w:rPr>
          <w:lang w:eastAsia="zh-CN"/>
        </w:rPr>
      </w:pPr>
      <w:r>
        <w:rPr>
          <w:rFonts w:cs="Times New Roman"/>
          <w:lang w:eastAsia="zh-CN"/>
        </w:rPr>
        <w:t>教案预留“意外时间”：学生提出教案之外的想法时，先接住、归类，再回扣课文，不急于纠正或绕开。工具可在多角度参考上帮忙，但不给终答。预设越满，生成越窄；留白越足，越能容纳真实思维。实践中常见的失败，是把生成式工具当成“补全教案空白”的装置，结果教案更满、生成更少。破程至此，形式失衡开始松动：课堂不再只有一条放射状问答链，而出现可交叉的横向通道。通道打开，只是校准的第一步；若发言权与判断权仍旧集中，多向结构仍会被少数人重新收束。</w:t>
      </w:r>
    </w:p>
    <w:p>
      <w:pPr>
        <w:pStyle w:val="2"/>
        <w:spacing w:before="120" w:after="120"/>
        <w:contextualSpacing/>
        <w:rPr>
          <w:lang w:eastAsia="zh-CN"/>
        </w:rPr>
      </w:pPr>
      <w:bookmarkStart w:id="9" w:name="_Toc240923411"/>
      <w:r>
        <w:rPr>
          <w:rFonts w:ascii="Times New Roman" w:hAnsi="Times New Roman" w:cs="Times New Roman"/>
          <w:lang w:eastAsia="zh-CN"/>
        </w:rPr>
        <w:t>（二）复权归位：由少数独言走向全员可见</w:t>
      </w:r>
      <w:bookmarkEnd w:id="9"/>
    </w:p>
    <w:p>
      <w:pPr>
        <w:pStyle w:val="Normal"/>
        <w:jc w:val="both"/>
        <w:rPr>
          <w:lang w:eastAsia="zh-CN"/>
        </w:rPr>
      </w:pPr>
      <w:r>
        <w:rPr>
          <w:rFonts w:cs="Times New Roman"/>
          <w:lang w:eastAsia="zh-CN"/>
        </w:rPr>
        <w:t>通道打开后，若发起权、可见权、判断权仍在教师与少数人手中，多向互动仍会被少数人垄断。复权不是取消教师主导，而是把“问、见、判”三项权责重新配置：学生学会追问，边缘观点被看见，最终判断仍由人完成。可以说，破程解决“有没有通道”，复权解决“通道上是谁在说话、谁的话被听见、谁来判定对错”。</w:t>
      </w:r>
    </w:p>
    <w:p>
      <w:pPr>
        <w:pStyle w:val="3"/>
        <w:spacing w:before="120" w:after="120"/>
        <w:contextualSpacing/>
        <w:rPr/>
      </w:pPr>
      <w:bookmarkStart w:id="10" w:name="_Toc240923412"/>
      <w:r>
        <w:rPr>
          <w:rFonts w:ascii="Times New Roman" w:hAnsi="Times New Roman"/>
          <w:sz w:val="32"/>
        </w:rPr>
        <w:t xml:space="preserve">1. </w:t>
      </w:r>
      <w:r>
        <w:rPr>
          <w:rFonts w:ascii="Times New Roman" w:hAnsi="Times New Roman"/>
          <w:sz w:val="32"/>
        </w:rPr>
        <w:t>问权下移，学生学会追问</w:t>
      </w:r>
      <w:bookmarkEnd w:id="10"/>
    </w:p>
    <w:p>
      <w:pPr>
        <w:pStyle w:val="Normal"/>
        <w:jc w:val="both"/>
        <w:rPr>
          <w:lang w:eastAsia="zh-CN"/>
        </w:rPr>
      </w:pPr>
      <w:r>
        <w:rPr>
          <w:rFonts w:cs="Times New Roman"/>
          <w:lang w:eastAsia="zh-CN"/>
        </w:rPr>
        <w:t>把“问”教给学生，并规定向工具提问不得直接索要终答。可用微型句式课训练追问——“这句话删掉会怎样”“课文中哪句话支持这个说法”——贴在语文书首页反复调用。《犟龟》课例以预测策略组织阅读：学生沿“借助课题、借助插图、联系生活、联系内容”不断预测并说明依据，问权由教师移交学生，教师退到提问的次位。问权下移的关键，不在让学生“会用</w:t>
      </w:r>
      <w:r>
        <w:rPr>
          <w:rFonts w:cs="Times New Roman"/>
          <w:lang w:eastAsia="zh-CN"/>
        </w:rPr>
        <w:t>AI</w:t>
      </w:r>
      <w:r>
        <w:rPr>
          <w:rFonts w:cs="Times New Roman"/>
          <w:lang w:eastAsia="zh-CN"/>
        </w:rPr>
        <w:t>提问”，而在让学生学会带着依据追问；没有依据的提问，只是把独问从教师换成机器。教师可事先规定：向工具提问时，必须同时准备一句课文原句作对照；否则该提问不进入全班讨论。</w:t>
      </w:r>
    </w:p>
    <w:p>
      <w:pPr>
        <w:pStyle w:val="Normal"/>
        <w:keepNext w:val="true"/>
        <w:spacing w:before="60" w:after="120"/>
        <w:contextualSpacing/>
        <w:jc w:val="center"/>
        <w:rPr>
          <w:lang w:eastAsia="zh-CN"/>
        </w:rPr>
      </w:pPr>
      <w:r>
        <w:rPr>
          <w:rFonts w:cs="Times New Roman"/>
          <w:lang w:eastAsia="zh-CN"/>
        </w:rPr>
        <w:t>表</w:t>
      </w:r>
      <w:r>
        <w:rPr>
          <w:rFonts w:cs="Times New Roman"/>
          <w:lang w:eastAsia="zh-CN"/>
        </w:rPr>
        <w:t xml:space="preserve">3 </w:t>
      </w:r>
      <w:r>
        <w:rPr>
          <w:rFonts w:cs="Times New Roman"/>
          <w:lang w:eastAsia="zh-CN"/>
        </w:rPr>
        <w:t>学生向</w:t>
      </w:r>
      <w:r>
        <w:rPr>
          <w:rFonts w:cs="Times New Roman"/>
          <w:lang w:eastAsia="zh-CN"/>
        </w:rPr>
        <w:t>AI</w:t>
      </w:r>
      <w:r>
        <w:rPr>
          <w:rFonts w:cs="Times New Roman"/>
          <w:lang w:eastAsia="zh-CN"/>
        </w:rPr>
        <w:t>提问的支架句式</w:t>
      </w:r>
    </w:p>
    <w:p>
      <w:pPr>
        <w:pStyle w:val="Normal"/>
        <w:spacing w:before="120" w:after="0"/>
        <w:contextualSpacing/>
        <w:jc w:val="center"/>
        <w:rPr/>
      </w:pPr>
      <w:r>
        <w:rPr/>
        <w:drawing>
          <wp:inline distT="0" distB="0" distL="0" distR="0">
            <wp:extent cx="5277485" cy="1994535"/>
            <wp:effectExtent l="0" t="0" r="0" b="0"/>
            <wp:docPr id="6" name="Picture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7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7485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120" w:after="120"/>
        <w:contextualSpacing/>
        <w:rPr/>
      </w:pPr>
      <w:bookmarkStart w:id="11" w:name="_Toc240923413"/>
      <w:r>
        <w:rPr>
          <w:rFonts w:ascii="Times New Roman" w:hAnsi="Times New Roman"/>
          <w:sz w:val="32"/>
        </w:rPr>
        <w:t xml:space="preserve">2. </w:t>
      </w:r>
      <w:r>
        <w:rPr>
          <w:rFonts w:ascii="Times New Roman" w:hAnsi="Times New Roman"/>
          <w:sz w:val="32"/>
        </w:rPr>
        <w:t>边缘可见，观点上屏</w:t>
      </w:r>
      <w:bookmarkEnd w:id="11"/>
    </w:p>
    <w:p>
      <w:pPr>
        <w:pStyle w:val="Normal"/>
        <w:jc w:val="both"/>
        <w:rPr>
          <w:lang w:eastAsia="zh-CN"/>
        </w:rPr>
      </w:pPr>
      <w:r>
        <w:rPr>
          <w:rFonts w:cs="Times New Roman"/>
          <w:lang w:eastAsia="zh-CN"/>
        </w:rPr>
        <w:t>投屏不是展示结果，而是开启新一轮对话。把各组关键词汇总上屏，请一组说明归类理由，另一组补充或反驳，最后回到课文找依据；汇总可由工具完成，处理冲突仍由教师组织。沉默学生的想法一旦被点名进入讨论，旁观格局就开始松动。可见权的校准，实质是让“说出来的”与“写在卡片上的”都能进入公共讨论，避免课堂被少数声音代表。对低年段而言，可见权往往比“说得精彩”更要紧：先被看见，才可能继续说；先进入屏幕，才可能进入辩论。</w:t>
      </w:r>
    </w:p>
    <w:p>
      <w:pPr>
        <w:pStyle w:val="3"/>
        <w:spacing w:before="120" w:after="120"/>
        <w:contextualSpacing/>
        <w:rPr/>
      </w:pPr>
      <w:bookmarkStart w:id="12" w:name="_Toc240923414"/>
      <w:r>
        <w:rPr>
          <w:rFonts w:ascii="Times New Roman" w:hAnsi="Times New Roman"/>
          <w:sz w:val="32"/>
        </w:rPr>
        <w:t xml:space="preserve">3. </w:t>
      </w:r>
      <w:r>
        <w:rPr>
          <w:rFonts w:ascii="Times New Roman" w:hAnsi="Times New Roman"/>
          <w:sz w:val="32"/>
        </w:rPr>
        <w:t>三元归位，人守判断</w:t>
      </w:r>
      <w:bookmarkEnd w:id="12"/>
    </w:p>
    <w:p>
      <w:pPr>
        <w:pStyle w:val="Normal"/>
        <w:jc w:val="both"/>
        <w:rPr>
          <w:lang w:eastAsia="zh-CN"/>
        </w:rPr>
      </w:pPr>
      <w:r>
        <w:rPr>
          <w:rFonts w:cs="Times New Roman"/>
          <w:lang w:eastAsia="zh-CN"/>
        </w:rPr>
        <w:t>判断权与评分权留在人这边：工具归类、投屏、给证据，教师组织对话、追问冲突，学生比照、质疑、论证。生成文本连贯不等于意义正确，凡结论都要回到文本证据。关系理顺后，“机器说的就是对的”才会让位于“课文里有没有依据”。复权完成的标志，不是发言人次增加，而是发起、可见与判断三项权责各归其位。至此，信息交互开始具备升入概念交互的条件；若缺少下一步守界，升层仍可能被“更正确的生成句”打断。</w:t>
      </w:r>
    </w:p>
    <w:p>
      <w:pPr>
        <w:pStyle w:val="2"/>
        <w:spacing w:before="120" w:after="120"/>
        <w:contextualSpacing/>
        <w:rPr>
          <w:lang w:eastAsia="zh-CN"/>
        </w:rPr>
      </w:pPr>
      <w:bookmarkStart w:id="13" w:name="_Toc240923415"/>
      <w:r>
        <w:rPr>
          <w:rFonts w:ascii="Times New Roman" w:hAnsi="Times New Roman" w:cs="Times New Roman"/>
          <w:lang w:eastAsia="zh-CN"/>
        </w:rPr>
        <w:t>（三）守界护航：由技术越位回归支架本位</w:t>
      </w:r>
      <w:bookmarkEnd w:id="13"/>
    </w:p>
    <w:p>
      <w:pPr>
        <w:pStyle w:val="Normal"/>
        <w:jc w:val="both"/>
        <w:rPr>
          <w:lang w:eastAsia="zh-CN"/>
        </w:rPr>
      </w:pPr>
      <w:r>
        <w:rPr>
          <w:rFonts w:cs="Times New Roman"/>
          <w:lang w:eastAsia="zh-CN"/>
        </w:rPr>
        <w:t>通道与权责调整之后，仍需划定不可逾越的边界，否则工具会以更精致的方式替答、替评、替演、替证。守界的原则很明确：</w:t>
      </w:r>
      <w:r>
        <w:rPr>
          <w:rFonts w:cs="Times New Roman"/>
          <w:lang w:eastAsia="zh-CN"/>
        </w:rPr>
        <w:t>AI</w:t>
      </w:r>
      <w:r>
        <w:rPr>
          <w:rFonts w:cs="Times New Roman"/>
          <w:lang w:eastAsia="zh-CN"/>
        </w:rPr>
        <w:t>可以降低材料准备与信息归集的成本，但不能替代学生完成本应由其完成的思维与表达。守界不是拒绝技术，而是规定技术停在支架层，不进入终答层与情意层。</w:t>
      </w:r>
    </w:p>
    <w:p>
      <w:pPr>
        <w:pStyle w:val="Normal"/>
        <w:keepNext w:val="true"/>
        <w:spacing w:before="120" w:after="0"/>
        <w:contextualSpacing/>
        <w:jc w:val="center"/>
        <w:rPr/>
      </w:pPr>
      <w:r>
        <w:rPr/>
        <w:drawing>
          <wp:inline distT="0" distB="0" distL="0" distR="0">
            <wp:extent cx="2160905" cy="1849120"/>
            <wp:effectExtent l="0" t="0" r="0" b="0"/>
            <wp:docPr id="7" name="Picture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8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905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120"/>
        <w:contextualSpacing/>
        <w:jc w:val="center"/>
        <w:rPr>
          <w:lang w:eastAsia="zh-CN"/>
        </w:rPr>
      </w:pPr>
      <w:r>
        <w:rPr>
          <w:rFonts w:cs="Times New Roman"/>
          <w:lang w:eastAsia="zh-CN"/>
        </w:rPr>
        <w:t xml:space="preserve">图 </w:t>
      </w:r>
      <w:r>
        <w:rPr>
          <w:rFonts w:cs="Times New Roman"/>
          <w:lang w:eastAsia="zh-CN"/>
        </w:rPr>
        <w:t>3</w:t>
      </w:r>
      <w:r>
        <w:rPr>
          <w:rFonts w:cs="Times New Roman"/>
          <w:lang w:eastAsia="zh-CN"/>
        </w:rPr>
        <w:t>三元校准与技术边界</w:t>
      </w:r>
    </w:p>
    <w:p>
      <w:pPr>
        <w:pStyle w:val="3"/>
        <w:spacing w:before="120" w:after="120"/>
        <w:contextualSpacing/>
        <w:rPr/>
      </w:pPr>
      <w:bookmarkStart w:id="14" w:name="_Toc240923416"/>
      <w:r>
        <w:rPr>
          <w:rFonts w:ascii="Times New Roman" w:hAnsi="Times New Roman"/>
          <w:sz w:val="32"/>
        </w:rPr>
        <w:t xml:space="preserve">1. </w:t>
      </w:r>
      <w:r>
        <w:rPr>
          <w:rFonts w:ascii="Times New Roman" w:hAnsi="Times New Roman"/>
          <w:sz w:val="32"/>
        </w:rPr>
        <w:t>禁替终答，先思后比</w:t>
      </w:r>
      <w:bookmarkEnd w:id="14"/>
    </w:p>
    <w:p>
      <w:pPr>
        <w:pStyle w:val="Normal"/>
        <w:jc w:val="both"/>
        <w:rPr>
          <w:lang w:eastAsia="zh-CN"/>
        </w:rPr>
      </w:pPr>
      <w:r>
        <w:rPr>
          <w:rFonts w:cs="Times New Roman"/>
          <w:lang w:eastAsia="zh-CN"/>
        </w:rPr>
        <w:t>可以给问题、给材料、给归集，不给本课终答。“标准赏析”折叠到学生独立表达之后只作对照；角度提示、情节提示、病句提醒可以生成，成篇文字须学生完成。可概括为“卡可生成、文须人写”：支架可预先生成，落笔与修改必须由学生独立完成。先思后比，是为了保证概念交互发生在学生身上，而不是发生在生成文本的流畅度上。习作课尤须坚持这一顺序：先有学生自己的观察与草稿，再允许对照机器提示修改；若先给范文终稿，后续所谓修改往往只是措辞润色，思维并未发生。</w:t>
      </w:r>
    </w:p>
    <w:p>
      <w:pPr>
        <w:pStyle w:val="3"/>
        <w:spacing w:before="120" w:after="120"/>
        <w:contextualSpacing/>
        <w:rPr/>
      </w:pPr>
      <w:bookmarkStart w:id="15" w:name="_Toc240923417"/>
      <w:r>
        <w:rPr>
          <w:rFonts w:ascii="Times New Roman" w:hAnsi="Times New Roman"/>
          <w:sz w:val="32"/>
        </w:rPr>
        <w:t xml:space="preserve">2. </w:t>
      </w:r>
      <w:r>
        <w:rPr>
          <w:rFonts w:ascii="Times New Roman" w:hAnsi="Times New Roman"/>
          <w:sz w:val="32"/>
        </w:rPr>
        <w:t>护航情意，出错先护</w:t>
      </w:r>
      <w:bookmarkEnd w:id="15"/>
    </w:p>
    <w:p>
      <w:pPr>
        <w:pStyle w:val="Normal"/>
        <w:jc w:val="both"/>
        <w:rPr>
          <w:lang w:eastAsia="zh-CN"/>
        </w:rPr>
      </w:pPr>
      <w:r>
        <w:rPr>
          <w:rFonts w:cs="Times New Roman"/>
          <w:lang w:eastAsia="zh-CN"/>
        </w:rPr>
        <w:t>学生读错、说错时，先护住再回文本：先问“你刚才看到了什么、想到了什么”，再范读或同伴带读；当众不展示带羞辱性的机器分数，分数留到课后与自己的进步对照。机器评价一旦当众生效，学生更倾向选择安全答案，情意互动随之收缩。情意共鸣之所以不可外包，是因为出错瞬间的自尊保护与继续对话，只能由在场的人完成。守界在这里表现为一种课堂伦理：技术可以提示对错，但不能当众裁决学生的尊严。</w:t>
      </w:r>
    </w:p>
    <w:p>
      <w:pPr>
        <w:pStyle w:val="3"/>
        <w:spacing w:before="120" w:after="120"/>
        <w:contextualSpacing/>
        <w:rPr/>
      </w:pPr>
      <w:bookmarkStart w:id="16" w:name="_Toc240923418"/>
      <w:r>
        <w:rPr>
          <w:rFonts w:ascii="Times New Roman" w:hAnsi="Times New Roman"/>
          <w:sz w:val="32"/>
        </w:rPr>
        <w:t xml:space="preserve">3. </w:t>
      </w:r>
      <w:r>
        <w:rPr>
          <w:rFonts w:ascii="Times New Roman" w:hAnsi="Times New Roman"/>
          <w:sz w:val="32"/>
        </w:rPr>
        <w:t>证伪机器，据文校验</w:t>
      </w:r>
      <w:bookmarkEnd w:id="16"/>
    </w:p>
    <w:p>
      <w:pPr>
        <w:pStyle w:val="Normal"/>
        <w:jc w:val="both"/>
        <w:rPr>
          <w:lang w:eastAsia="zh-CN"/>
        </w:rPr>
      </w:pPr>
      <w:r>
        <w:rPr>
          <w:rFonts w:cs="Times New Roman"/>
          <w:lang w:eastAsia="zh-CN"/>
        </w:rPr>
        <w:t>任何生成句子上屏，都要过“课文里有没有依据”这一问。教师可当着学生的面质疑工具，把疑似正确的句子投屏，请学生找原文、辨真伪；文本不支持，就不把流畅句当成意义建构。《犟龟》课例完成预测卡后，可由工具给出客观提示，教师再点评预测的合理性——评价辅助可以交给工具，判断必须留在人这边。学生看见教师当场质疑工具，“机器说的就是对的”才会松动，概念交互才进得去。证伪不是为了贬低技术，而是训练学生把文本证据置于生成流畅之上。</w:t>
      </w:r>
    </w:p>
    <w:p>
      <w:pPr>
        <w:pStyle w:val="Normal"/>
        <w:keepNext w:val="true"/>
        <w:spacing w:before="120" w:after="0"/>
        <w:contextualSpacing/>
        <w:jc w:val="center"/>
        <w:rPr/>
      </w:pPr>
      <w:r>
        <w:rPr/>
        <w:drawing>
          <wp:inline distT="0" distB="0" distL="0" distR="0">
            <wp:extent cx="4319905" cy="1936115"/>
            <wp:effectExtent l="0" t="0" r="0" b="0"/>
            <wp:docPr id="8" name="Pictur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9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05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120"/>
        <w:contextualSpacing/>
        <w:jc w:val="center"/>
        <w:rPr>
          <w:lang w:eastAsia="zh-CN"/>
        </w:rPr>
      </w:pPr>
      <w:r>
        <w:rPr>
          <w:rFonts w:cs="Times New Roman"/>
          <w:lang w:eastAsia="zh-CN"/>
        </w:rPr>
        <w:t xml:space="preserve">图 </w:t>
      </w:r>
      <w:r>
        <w:rPr>
          <w:rFonts w:cs="Times New Roman"/>
          <w:lang w:eastAsia="zh-CN"/>
        </w:rPr>
        <w:t>4</w:t>
      </w:r>
      <w:r>
        <w:rPr>
          <w:rFonts w:cs="Times New Roman"/>
          <w:lang w:eastAsia="zh-CN"/>
        </w:rPr>
        <w:t>课前—课中—课后的人机分工</w:t>
      </w:r>
    </w:p>
    <w:p>
      <w:pPr>
        <w:pStyle w:val="2"/>
        <w:spacing w:before="120" w:after="120"/>
        <w:contextualSpacing/>
        <w:rPr>
          <w:lang w:eastAsia="zh-CN"/>
        </w:rPr>
      </w:pPr>
      <w:bookmarkStart w:id="17" w:name="_Toc240923419"/>
      <w:r>
        <w:rPr>
          <w:rFonts w:ascii="Times New Roman" w:hAnsi="Times New Roman" w:cs="Times New Roman"/>
          <w:lang w:eastAsia="zh-CN"/>
        </w:rPr>
        <w:t>（四）入常落地：由单课校准走向课型复盘</w:t>
      </w:r>
      <w:bookmarkEnd w:id="17"/>
    </w:p>
    <w:p>
      <w:pPr>
        <w:pStyle w:val="Normal"/>
        <w:jc w:val="both"/>
        <w:rPr>
          <w:lang w:eastAsia="zh-CN"/>
        </w:rPr>
      </w:pPr>
      <w:r>
        <w:rPr>
          <w:rFonts w:cs="Times New Roman"/>
          <w:lang w:eastAsia="zh-CN"/>
        </w:rPr>
        <w:t>三阶校准若停留在公开课，便容易随公开课结束而回潮。要让其从一节课走向每一节课，须做成不同课型可执行、每单元可复盘的日常。入常解决的是“校准如何重复”，避免策略停留在经验口号。</w:t>
      </w:r>
    </w:p>
    <w:p>
      <w:pPr>
        <w:pStyle w:val="Normal"/>
        <w:jc w:val="both"/>
        <w:rPr>
          <w:lang w:eastAsia="zh-CN"/>
        </w:rPr>
      </w:pPr>
      <w:r>
        <w:rPr>
          <w:rFonts w:cs="Times New Roman"/>
          <w:lang w:eastAsia="zh-CN"/>
        </w:rPr>
        <w:t>其一，课型分责。识字写字、阅读鉴赏、口语交际、习作与综合实践，</w:t>
      </w:r>
      <w:r>
        <w:rPr>
          <w:rFonts w:cs="Times New Roman"/>
          <w:lang w:eastAsia="zh-CN"/>
        </w:rPr>
        <w:t>AI</w:t>
      </w:r>
      <w:r>
        <w:rPr>
          <w:rFonts w:cs="Times New Roman"/>
          <w:lang w:eastAsia="zh-CN"/>
        </w:rPr>
        <w:t>宜做与慎做不同：宜做情境生成、问题梯度、观点归集、观察角度提示；慎做替学生识记、直接生成中心思想、代写口头表达、产出“标准范文”或替代真实调查。终答、范写与价值判断一律留在人这边。课型分责把守界从原则写成可执行的分工表，减少“这节课能不能用</w:t>
      </w:r>
      <w:r>
        <w:rPr>
          <w:rFonts w:cs="Times New Roman"/>
          <w:lang w:eastAsia="zh-CN"/>
        </w:rPr>
        <w:t>AI”</w:t>
      </w:r>
      <w:r>
        <w:rPr>
          <w:rFonts w:cs="Times New Roman"/>
          <w:lang w:eastAsia="zh-CN"/>
        </w:rPr>
        <w:t>的临时裁量。</w:t>
      </w:r>
    </w:p>
    <w:p>
      <w:pPr>
        <w:pStyle w:val="Normal"/>
        <w:keepNext w:val="true"/>
        <w:spacing w:before="60" w:after="120"/>
        <w:contextualSpacing/>
        <w:jc w:val="center"/>
        <w:rPr/>
      </w:pPr>
      <w:r>
        <w:rPr>
          <w:rFonts w:cs="Times New Roman"/>
        </w:rPr>
        <w:t>表</w:t>
      </w:r>
      <w:r>
        <w:rPr>
          <w:rFonts w:cs="Times New Roman"/>
        </w:rPr>
        <w:t xml:space="preserve">4 </w:t>
      </w:r>
      <w:r>
        <w:rPr>
          <w:rFonts w:cs="Times New Roman"/>
        </w:rPr>
        <w:t>课型适配矩阵</w:t>
      </w:r>
    </w:p>
    <w:p>
      <w:pPr>
        <w:pStyle w:val="Normal"/>
        <w:spacing w:before="120" w:after="0"/>
        <w:contextualSpacing/>
        <w:jc w:val="center"/>
        <w:rPr/>
      </w:pPr>
      <w:r>
        <w:rPr/>
        <w:drawing>
          <wp:inline distT="0" distB="0" distL="0" distR="0">
            <wp:extent cx="5277485" cy="2707005"/>
            <wp:effectExtent l="0" t="0" r="0" b="0"/>
            <wp:docPr id="9" name="Picture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0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7485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lang w:eastAsia="zh-CN"/>
        </w:rPr>
      </w:pPr>
      <w:r>
        <w:rPr>
          <w:rFonts w:cs="Times New Roman"/>
          <w:lang w:eastAsia="zh-CN"/>
        </w:rPr>
        <w:t>其二，观察入表。课中可用简表记录问题开放度、参与覆盖、交互层次、人机边界与情意回应，重在编码摘记，不填虚构分数。观察的目的不是给课堂打分，而是判断本课主要停在操作交互、信息交互，还是已经进入概念交互。没有观察，破程与复权容易被“气氛好”掩盖；有了观察，才能看见通道是否真开、边缘是否真见。</w:t>
      </w:r>
    </w:p>
    <w:p>
      <w:pPr>
        <w:pStyle w:val="Normal"/>
        <w:jc w:val="both"/>
        <w:rPr>
          <w:lang w:eastAsia="zh-CN"/>
        </w:rPr>
      </w:pPr>
      <w:r>
        <w:rPr>
          <w:rFonts w:cs="Times New Roman"/>
          <w:lang w:eastAsia="zh-CN"/>
        </w:rPr>
        <w:t>其三，单元复盘。课后对照“给终答”与“只给支架”两类设计，比较学生表达差异：目标是否被多数学生触及，发言是否仍集中于固定少数人，哪些环节提供了支架、哪些环节替代了思考。复盘不求一次完美，而求下一轮改进有据可依。若连续两轮仍见替答或边缘旁观，说明破程或复权尚未真正落地，需要回到问题链与任务分层重做设计。以课型分责、观察入表与单元复盘互为支撑，三元协同才能稳定入常。</w:t>
      </w:r>
    </w:p>
    <w:p>
      <w:pPr>
        <w:pStyle w:val="1"/>
        <w:spacing w:before="120" w:after="120"/>
        <w:contextualSpacing/>
        <w:jc w:val="left"/>
        <w:rPr>
          <w:lang w:eastAsia="zh-CN"/>
        </w:rPr>
      </w:pPr>
      <w:bookmarkStart w:id="18" w:name="_Toc240923420"/>
      <w:r>
        <w:rPr>
          <w:rFonts w:ascii="Times New Roman" w:hAnsi="Times New Roman" w:cs="Times New Roman"/>
          <w:lang w:eastAsia="zh-CN"/>
        </w:rPr>
        <w:t>三、反思——三元协同课堂互动均衡之效</w:t>
      </w:r>
      <w:bookmarkEnd w:id="18"/>
    </w:p>
    <w:p>
      <w:pPr>
        <w:pStyle w:val="2"/>
        <w:spacing w:before="120" w:after="120"/>
        <w:contextualSpacing/>
        <w:rPr>
          <w:lang w:eastAsia="zh-CN"/>
        </w:rPr>
      </w:pPr>
      <w:bookmarkStart w:id="19" w:name="_Toc240923421"/>
      <w:r>
        <w:rPr>
          <w:rFonts w:ascii="Times New Roman" w:hAnsi="Times New Roman" w:cs="Times New Roman"/>
          <w:lang w:eastAsia="zh-CN"/>
        </w:rPr>
        <w:t>（一）已见之效：结构与行为的可见变化</w:t>
      </w:r>
      <w:bookmarkEnd w:id="19"/>
    </w:p>
    <w:p>
      <w:pPr>
        <w:pStyle w:val="Normal"/>
        <w:jc w:val="both"/>
        <w:rPr>
          <w:lang w:eastAsia="zh-CN"/>
        </w:rPr>
      </w:pPr>
      <w:r>
        <w:rPr>
          <w:rFonts w:cs="Times New Roman"/>
          <w:lang w:eastAsia="zh-CN"/>
        </w:rPr>
        <w:t>就已开展的课例与观察而言，能说明的是结构与行为的变化方向：发言覆盖拓宽，同伴追问开始出现；结论逐步回到文本证据，概念交互开始发生。《去外婆家》的低段全员表达，印证破程与分层支架可以降低入场门槛；《犟龟》的预测—验证—再预测，印证问权下移与据文校验可以推动学生从“听答案”转向“找依据”。两类课例分别对应通道打开与边界守护，说明三阶校准不是抽象口号，而能在不同年段找到落点。更进一步看，低段课例侧重“先开口”，中段课例侧重“先找依据”，二者共同指向同一目标：让互动升入概念层，而不是停在操作层的热闹。这不构成参数估计，仅作侧面增量说明，不外推为普遍因果。</w:t>
      </w:r>
    </w:p>
    <w:p>
      <w:pPr>
        <w:pStyle w:val="Normal"/>
        <w:keepNext w:val="true"/>
        <w:spacing w:before="120" w:after="0"/>
        <w:contextualSpacing/>
        <w:jc w:val="center"/>
        <w:rPr/>
      </w:pPr>
      <w:r>
        <w:rPr/>
        <w:drawing>
          <wp:inline distT="0" distB="0" distL="0" distR="0">
            <wp:extent cx="4198620" cy="2962910"/>
            <wp:effectExtent l="0" t="0" r="0" b="0"/>
            <wp:docPr id="10" name="Picture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1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862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0"/>
        <w:contextualSpacing/>
        <w:jc w:val="center"/>
        <w:rPr/>
      </w:pPr>
      <w:r>
        <w:rPr>
          <w:rFonts w:cs="Times New Roman"/>
          <w:lang w:eastAsia="zh-CN"/>
        </w:rPr>
        <w:t xml:space="preserve">图 </w:t>
      </w:r>
      <w:r>
        <w:rPr>
          <w:rFonts w:cs="Times New Roman"/>
          <w:lang w:eastAsia="zh-CN"/>
        </w:rPr>
        <w:t xml:space="preserve">5 </w:t>
      </w:r>
      <w:r>
        <w:rPr>
          <w:rFonts w:cs="Times New Roman"/>
          <w:lang w:eastAsia="zh-CN"/>
        </w:rPr>
        <w:t>课例流程合集</w:t>
      </w:r>
    </w:p>
    <w:p>
      <w:pPr>
        <w:pStyle w:val="2"/>
        <w:spacing w:before="120" w:after="120"/>
        <w:contextualSpacing/>
        <w:rPr>
          <w:lang w:eastAsia="zh-CN"/>
        </w:rPr>
      </w:pPr>
      <w:bookmarkStart w:id="20" w:name="_Toc240923422"/>
      <w:r>
        <w:rPr>
          <w:rFonts w:ascii="Times New Roman" w:hAnsi="Times New Roman" w:cs="Times New Roman"/>
          <w:lang w:eastAsia="zh-CN"/>
        </w:rPr>
        <w:t>（二）未竟之困：进度、工具与评价三重回潮</w:t>
      </w:r>
      <w:bookmarkEnd w:id="20"/>
    </w:p>
    <w:p>
      <w:pPr>
        <w:pStyle w:val="Normal"/>
        <w:jc w:val="both"/>
        <w:rPr>
          <w:lang w:eastAsia="zh-CN"/>
        </w:rPr>
      </w:pPr>
      <w:r>
        <w:rPr>
          <w:rFonts w:cs="Times New Roman"/>
          <w:lang w:eastAsia="zh-CN"/>
        </w:rPr>
        <w:t>均衡仍是目标而非完成态。进度压力下，给终答仍比给支架省力，破程会回潮为更精致的程式化；会用工具的学生未必会追问，复权易停在“会提问句式”而进不到“会检验依据”；评价仍习惯统计发言次数与工具出场次数，情意回应难入常规量表，守界缺少制度支持。三项缺口相互加强：越赶进度越依赖终答，越依赖终答越难训练追问，越缺少追问越只能用次数评价热闹。这说明入常之策仍需课型分责与观察复盘持续支撑，不能指望一次培训或一节示范课自动扩散。</w:t>
      </w:r>
    </w:p>
    <w:p>
      <w:pPr>
        <w:pStyle w:val="2"/>
        <w:spacing w:before="120" w:after="120"/>
        <w:contextualSpacing/>
        <w:rPr>
          <w:lang w:eastAsia="zh-CN"/>
        </w:rPr>
      </w:pPr>
      <w:bookmarkStart w:id="21" w:name="_Toc240923423"/>
      <w:r>
        <w:rPr>
          <w:rFonts w:ascii="Times New Roman" w:hAnsi="Times New Roman" w:cs="Times New Roman"/>
          <w:lang w:eastAsia="zh-CN"/>
        </w:rPr>
        <w:t>（三）持续之向：支架归位与循证入常</w:t>
      </w:r>
      <w:bookmarkEnd w:id="21"/>
    </w:p>
    <w:p>
      <w:pPr>
        <w:pStyle w:val="Normal"/>
        <w:jc w:val="both"/>
        <w:rPr>
          <w:rFonts w:cs="Times New Roman"/>
          <w:lang w:eastAsia="zh-CN"/>
        </w:rPr>
      </w:pPr>
      <w:r>
        <w:rPr>
          <w:rFonts w:cs="Times New Roman"/>
          <w:lang w:eastAsia="zh-CN"/>
        </w:rPr>
        <w:t>三元协同的价值不在</w:t>
      </w:r>
      <w:r>
        <w:rPr>
          <w:rFonts w:cs="Times New Roman"/>
          <w:lang w:eastAsia="zh-CN"/>
        </w:rPr>
        <w:t>AI</w:t>
      </w:r>
      <w:r>
        <w:rPr>
          <w:rFonts w:cs="Times New Roman"/>
          <w:lang w:eastAsia="zh-CN"/>
        </w:rPr>
        <w:t>出场次数，而在它能否把通道让给学生、把判断留给人。后续实践宜继续以课型适配与循证复盘校准互动：该给支架时给支架，该留白时留白，该质疑工具时当场质疑。对教研组而言，可将“是否禁替终答、是否出现同伴追问、是否据文校验生成句”作为常态听课关注点，使均衡不只停留在论文表述。唯有把破程、复权、守界写成可重复的日常，技术才能真正回归支架，课堂才可能由失衡走向相对均衡。</w:t>
      </w:r>
    </w:p>
    <w:p>
      <w:pPr>
        <w:pStyle w:val="Normal"/>
        <w:spacing w:lineRule="auto" w:line="276" w:before="0" w:after="200"/>
        <w:ind w:hanging="0"/>
        <w:contextualSpacing/>
        <w:rPr>
          <w:rFonts w:cs="Times New Roman"/>
          <w:lang w:eastAsia="zh-CN"/>
        </w:rPr>
      </w:pPr>
      <w:r>
        <w:rPr>
          <w:lang w:eastAsia="zh-CN"/>
        </w:rPr>
      </w:r>
    </w:p>
    <w:p>
      <w:pPr>
        <w:pStyle w:val="1"/>
        <w:spacing w:before="120" w:after="120"/>
        <w:contextualSpacing/>
        <w:jc w:val="left"/>
        <w:rPr>
          <w:lang w:eastAsia="zh-CN"/>
        </w:rPr>
      </w:pPr>
      <w:bookmarkStart w:id="22" w:name="_Toc240923424"/>
      <w:r>
        <w:rPr>
          <w:rFonts w:ascii="Times New Roman" w:hAnsi="Times New Roman" w:cs="Times New Roman"/>
          <w:lang w:eastAsia="zh-CN"/>
        </w:rPr>
        <w:t>参考文献</w:t>
      </w:r>
      <w:bookmarkEnd w:id="22"/>
    </w:p>
    <w:p>
      <w:pPr>
        <w:pStyle w:val="Normal"/>
        <w:jc w:val="both"/>
        <w:rPr>
          <w:lang w:eastAsia="zh-CN"/>
        </w:rPr>
      </w:pPr>
      <w:r>
        <w:rPr>
          <w:rFonts w:cs="Times New Roman"/>
          <w:lang w:eastAsia="zh-CN"/>
        </w:rPr>
        <w:t xml:space="preserve">[1] </w:t>
      </w:r>
      <w:r>
        <w:rPr>
          <w:rFonts w:cs="Times New Roman"/>
          <w:lang w:eastAsia="zh-CN"/>
        </w:rPr>
        <w:t>中华人民共和国教育部</w:t>
      </w:r>
      <w:r>
        <w:rPr>
          <w:rFonts w:cs="Times New Roman"/>
          <w:lang w:eastAsia="zh-CN"/>
        </w:rPr>
        <w:t xml:space="preserve">. </w:t>
      </w:r>
      <w:r>
        <w:rPr>
          <w:rFonts w:cs="Times New Roman"/>
          <w:lang w:eastAsia="zh-CN"/>
        </w:rPr>
        <w:t>义务教育语文课程标准（</w:t>
      </w:r>
      <w:r>
        <w:rPr>
          <w:rFonts w:cs="Times New Roman"/>
          <w:lang w:eastAsia="zh-CN"/>
        </w:rPr>
        <w:t>2022</w:t>
      </w:r>
      <w:r>
        <w:rPr>
          <w:rFonts w:cs="Times New Roman"/>
          <w:lang w:eastAsia="zh-CN"/>
        </w:rPr>
        <w:t>年版）</w:t>
      </w:r>
      <w:r>
        <w:rPr>
          <w:rFonts w:cs="Times New Roman"/>
          <w:lang w:eastAsia="zh-CN"/>
        </w:rPr>
        <w:t xml:space="preserve">[S]. </w:t>
      </w:r>
      <w:r>
        <w:rPr>
          <w:rFonts w:cs="Times New Roman"/>
          <w:lang w:eastAsia="zh-CN"/>
        </w:rPr>
        <w:t>北京：北京师范大学出版社，</w:t>
      </w:r>
      <w:r>
        <w:rPr>
          <w:rFonts w:cs="Times New Roman"/>
          <w:lang w:eastAsia="zh-CN"/>
        </w:rPr>
        <w:t>2022.</w:t>
      </w:r>
    </w:p>
    <w:p>
      <w:pPr>
        <w:pStyle w:val="Normal"/>
        <w:jc w:val="both"/>
        <w:rPr>
          <w:lang w:eastAsia="zh-CN"/>
        </w:rPr>
      </w:pPr>
      <w:r>
        <w:rPr>
          <w:rFonts w:cs="Times New Roman"/>
          <w:lang w:eastAsia="zh-CN"/>
        </w:rPr>
        <w:t xml:space="preserve">[2] </w:t>
      </w:r>
      <w:r>
        <w:rPr>
          <w:rFonts w:cs="Times New Roman"/>
          <w:lang w:eastAsia="zh-CN"/>
        </w:rPr>
        <w:t>教育部基础教育教学指导委员会</w:t>
      </w:r>
      <w:r>
        <w:rPr>
          <w:rFonts w:cs="Times New Roman"/>
          <w:lang w:eastAsia="zh-CN"/>
        </w:rPr>
        <w:t xml:space="preserve">. </w:t>
      </w:r>
      <w:r>
        <w:rPr>
          <w:rFonts w:cs="Times New Roman"/>
          <w:lang w:eastAsia="zh-CN"/>
        </w:rPr>
        <w:t>中小学生成式人工智能使用指南（</w:t>
      </w:r>
      <w:r>
        <w:rPr>
          <w:rFonts w:cs="Times New Roman"/>
          <w:lang w:eastAsia="zh-CN"/>
        </w:rPr>
        <w:t>2025</w:t>
      </w:r>
      <w:r>
        <w:rPr>
          <w:rFonts w:cs="Times New Roman"/>
          <w:lang w:eastAsia="zh-CN"/>
        </w:rPr>
        <w:t>年版）</w:t>
      </w:r>
      <w:r>
        <w:rPr>
          <w:rFonts w:cs="Times New Roman"/>
          <w:lang w:eastAsia="zh-CN"/>
        </w:rPr>
        <w:t>[S]. 2025.</w:t>
      </w:r>
    </w:p>
    <w:p>
      <w:pPr>
        <w:pStyle w:val="Normal"/>
        <w:jc w:val="both"/>
        <w:rPr>
          <w:lang w:eastAsia="zh-CN"/>
        </w:rPr>
      </w:pPr>
      <w:r>
        <w:rPr>
          <w:rFonts w:cs="Times New Roman"/>
          <w:lang w:eastAsia="zh-CN"/>
        </w:rPr>
        <w:t xml:space="preserve">[3] </w:t>
      </w:r>
      <w:r>
        <w:rPr>
          <w:rFonts w:cs="Times New Roman"/>
          <w:lang w:eastAsia="zh-CN"/>
        </w:rPr>
        <w:t>教育部教师队伍建设专家指导委员会</w:t>
      </w:r>
      <w:r>
        <w:rPr>
          <w:rFonts w:cs="Times New Roman"/>
          <w:lang w:eastAsia="zh-CN"/>
        </w:rPr>
        <w:t xml:space="preserve">. </w:t>
      </w:r>
      <w:r>
        <w:rPr>
          <w:rFonts w:cs="Times New Roman"/>
          <w:lang w:eastAsia="zh-CN"/>
        </w:rPr>
        <w:t>教师生成式人工智能应用指引（第一版）</w:t>
      </w:r>
      <w:r>
        <w:rPr>
          <w:rFonts w:cs="Times New Roman"/>
          <w:lang w:eastAsia="zh-CN"/>
        </w:rPr>
        <w:t>[S]. 2025.</w:t>
      </w:r>
    </w:p>
    <w:p>
      <w:pPr>
        <w:pStyle w:val="Normal"/>
        <w:jc w:val="both"/>
        <w:rPr>
          <w:lang w:eastAsia="zh-CN"/>
        </w:rPr>
      </w:pPr>
      <w:r>
        <w:rPr>
          <w:rFonts w:cs="Times New Roman"/>
          <w:lang w:eastAsia="zh-CN"/>
        </w:rPr>
        <w:t xml:space="preserve">[4] </w:t>
      </w:r>
      <w:r>
        <w:rPr>
          <w:rFonts w:cs="Times New Roman"/>
          <w:lang w:eastAsia="zh-CN"/>
        </w:rPr>
        <w:t>佐斌</w:t>
      </w:r>
      <w:r>
        <w:rPr>
          <w:rFonts w:cs="Times New Roman"/>
          <w:lang w:eastAsia="zh-CN"/>
        </w:rPr>
        <w:t xml:space="preserve">. </w:t>
      </w:r>
      <w:r>
        <w:rPr>
          <w:rFonts w:cs="Times New Roman"/>
          <w:lang w:eastAsia="zh-CN"/>
        </w:rPr>
        <w:t>师生互动论——课堂师生互动的心理学研究</w:t>
      </w:r>
      <w:r>
        <w:rPr>
          <w:rFonts w:cs="Times New Roman"/>
          <w:lang w:eastAsia="zh-CN"/>
        </w:rPr>
        <w:t xml:space="preserve">[M]. </w:t>
      </w:r>
      <w:r>
        <w:rPr>
          <w:rFonts w:cs="Times New Roman"/>
          <w:lang w:eastAsia="zh-CN"/>
        </w:rPr>
        <w:t>武汉：华中师范大学出版社，</w:t>
      </w:r>
      <w:r>
        <w:rPr>
          <w:rFonts w:cs="Times New Roman"/>
          <w:lang w:eastAsia="zh-CN"/>
        </w:rPr>
        <w:t>2002.</w:t>
      </w:r>
    </w:p>
    <w:p>
      <w:pPr>
        <w:pStyle w:val="Normal"/>
        <w:jc w:val="both"/>
        <w:rPr>
          <w:lang w:eastAsia="zh-CN"/>
        </w:rPr>
      </w:pPr>
      <w:r>
        <w:rPr>
          <w:rFonts w:cs="Times New Roman"/>
          <w:lang w:eastAsia="zh-CN"/>
        </w:rPr>
        <w:t xml:space="preserve">[5] </w:t>
      </w:r>
      <w:r>
        <w:rPr>
          <w:rFonts w:cs="Times New Roman"/>
          <w:lang w:eastAsia="zh-CN"/>
        </w:rPr>
        <w:t>陈丽</w:t>
      </w:r>
      <w:r>
        <w:rPr>
          <w:rFonts w:cs="Times New Roman"/>
          <w:lang w:eastAsia="zh-CN"/>
        </w:rPr>
        <w:t xml:space="preserve">. </w:t>
      </w:r>
      <w:r>
        <w:rPr>
          <w:rFonts w:cs="Times New Roman"/>
          <w:lang w:eastAsia="zh-CN"/>
        </w:rPr>
        <w:t>远程学习的教学交互模型和教学交互层次塔</w:t>
      </w:r>
      <w:r>
        <w:rPr>
          <w:rFonts w:cs="Times New Roman"/>
          <w:lang w:eastAsia="zh-CN"/>
        </w:rPr>
        <w:t xml:space="preserve">[J]. </w:t>
      </w:r>
      <w:r>
        <w:rPr>
          <w:rFonts w:cs="Times New Roman"/>
          <w:lang w:eastAsia="zh-CN"/>
        </w:rPr>
        <w:t>中国远程教育，</w:t>
      </w:r>
      <w:r>
        <w:rPr>
          <w:rFonts w:cs="Times New Roman"/>
          <w:lang w:eastAsia="zh-CN"/>
        </w:rPr>
        <w:t>2004(5)</w:t>
      </w:r>
      <w:r>
        <w:rPr>
          <w:rFonts w:cs="Times New Roman"/>
          <w:lang w:eastAsia="zh-CN"/>
        </w:rPr>
        <w:t>：</w:t>
      </w:r>
      <w:r>
        <w:rPr>
          <w:rFonts w:cs="Times New Roman"/>
          <w:lang w:eastAsia="zh-CN"/>
        </w:rPr>
        <w:t>24-28.</w:t>
      </w:r>
    </w:p>
    <w:p>
      <w:pPr>
        <w:pStyle w:val="Normal"/>
        <w:jc w:val="both"/>
        <w:rPr>
          <w:lang w:eastAsia="zh-CN"/>
        </w:rPr>
      </w:pPr>
      <w:r>
        <w:rPr/>
      </w:r>
    </w:p>
    <w:sectPr>
      <w:headerReference w:type="default" r:id="rId12"/>
      <w:footerReference w:type="default" r:id="rId13"/>
      <w:type w:val="nextPage"/>
      <w:pgSz w:w="11906" w:h="16838"/>
      <w:pgMar w:left="1797" w:right="1797" w:gutter="0" w:header="720" w:top="1440" w:footer="720" w:bottom="1440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黑体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540798039"/>
    </w:sdtPr>
    <w:sdtContent>
      <w:p>
        <w:pPr>
          <w:pStyle w:val="Style23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12</w:t>
        </w:r>
        <w:r>
          <w:rPr/>
          <w:fldChar w:fldCharType="end"/>
        </w:r>
      </w:p>
    </w:sdtContent>
  </w:sdt>
  <w:p>
    <w:pPr>
      <w:pStyle w:val="Style23"/>
      <w:spacing w:lineRule="auto" w:line="360"/>
      <w:ind w:hanging="0"/>
      <w:jc w:val="cen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hanging="0"/>
      <w:rPr>
        <w:lang w:eastAsia="zh-CN"/>
      </w:rPr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76f66"/>
    <w:pPr>
      <w:widowControl/>
      <w:bidi w:val="0"/>
      <w:spacing w:lineRule="auto" w:line="360" w:before="0" w:after="0"/>
      <w:ind w:firstLine="480"/>
      <w:jc w:val="left"/>
    </w:pPr>
    <w:rPr>
      <w:rFonts w:ascii="Times New Roman" w:hAnsi="Times New Roman" w:eastAsia="宋体" w:cs=""/>
      <w:color w:val="000000"/>
      <w:kern w:val="0"/>
      <w:sz w:val="24"/>
      <w:szCs w:val="22"/>
      <w:lang w:val="en-US" w:eastAsia="en-US" w:bidi="ar-SA"/>
    </w:rPr>
  </w:style>
  <w:style w:type="paragraph" w:styleId="1">
    <w:name w:val="Heading 1"/>
    <w:basedOn w:val="Normal"/>
    <w:next w:val="Normal"/>
    <w:link w:val="11"/>
    <w:uiPriority w:val="9"/>
    <w:qFormat/>
    <w:rsid w:val="00e25d79"/>
    <w:pPr>
      <w:keepNext w:val="true"/>
      <w:keepLines/>
      <w:spacing w:before="240" w:after="120"/>
      <w:ind w:hanging="0"/>
      <w:jc w:val="center"/>
      <w:outlineLvl w:val="0"/>
    </w:pPr>
    <w:rPr>
      <w:rFonts w:ascii="Calibri" w:hAnsi="Calibri" w:eastAsia="黑体" w:cs="" w:asciiTheme="majorHAnsi" w:cstheme="majorBidi" w:hAnsiTheme="majorHAnsi"/>
      <w:b/>
      <w:bCs/>
      <w:sz w:val="32"/>
      <w:szCs w:val="28"/>
    </w:rPr>
  </w:style>
  <w:style w:type="paragraph" w:styleId="2">
    <w:name w:val="Heading 2"/>
    <w:basedOn w:val="Normal"/>
    <w:next w:val="Normal"/>
    <w:link w:val="21"/>
    <w:uiPriority w:val="9"/>
    <w:unhideWhenUsed/>
    <w:qFormat/>
    <w:rsid w:val="00e25d79"/>
    <w:pPr>
      <w:keepNext w:val="true"/>
      <w:keepLines/>
      <w:spacing w:before="160" w:after="80"/>
      <w:ind w:hanging="0"/>
      <w:outlineLvl w:val="1"/>
    </w:pPr>
    <w:rPr>
      <w:rFonts w:ascii="Calibri" w:hAnsi="Calibri" w:eastAsia="黑体" w:cs="" w:asciiTheme="majorHAnsi" w:cstheme="majorBidi" w:hAnsiTheme="majorHAnsi"/>
      <w:b/>
      <w:bCs/>
      <w:sz w:val="32"/>
      <w:szCs w:val="26"/>
    </w:rPr>
  </w:style>
  <w:style w:type="paragraph" w:styleId="3">
    <w:name w:val="Heading 3"/>
    <w:basedOn w:val="Normal"/>
    <w:next w:val="Normal"/>
    <w:link w:val="31"/>
    <w:autoRedefine/>
    <w:uiPriority w:val="9"/>
    <w:unhideWhenUsed/>
    <w:qFormat/>
    <w:rsid w:val="00e25d79"/>
    <w:pPr>
      <w:keepLines/>
      <w:spacing w:before="120" w:after="60"/>
      <w:ind w:hanging="0"/>
      <w:outlineLvl w:val="2"/>
    </w:pPr>
    <w:rPr>
      <w:rFonts w:ascii="黑体" w:hAnsi="黑体" w:eastAsia="黑体" w:cs="Times New Roman"/>
      <w:b/>
      <w:bCs/>
      <w:sz w:val="30"/>
      <w:szCs w:val="30"/>
      <w:lang w:eastAsia="zh-CN"/>
    </w:rPr>
  </w:style>
  <w:style w:type="paragraph" w:styleId="4">
    <w:name w:val="Heading 4"/>
    <w:basedOn w:val="Normal"/>
    <w:next w:val="Normal"/>
    <w:link w:val="41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5">
    <w:name w:val="Heading 5"/>
    <w:basedOn w:val="Normal"/>
    <w:next w:val="Normal"/>
    <w:link w:val="51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6">
    <w:name w:val="Heading 6"/>
    <w:basedOn w:val="Normal"/>
    <w:next w:val="Normal"/>
    <w:link w:val="61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7">
    <w:name w:val="Heading 7"/>
    <w:basedOn w:val="Normal"/>
    <w:next w:val="Normal"/>
    <w:link w:val="71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8">
    <w:name w:val="Heading 8"/>
    <w:basedOn w:val="Normal"/>
    <w:next w:val="Normal"/>
    <w:link w:val="81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9">
    <w:name w:val="Heading 9"/>
    <w:basedOn w:val="Normal"/>
    <w:next w:val="Normal"/>
    <w:link w:val="91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 w:customStyle="1">
    <w:name w:val="页眉 字符"/>
    <w:basedOn w:val="DefaultParagraphFont"/>
    <w:uiPriority w:val="99"/>
    <w:qFormat/>
    <w:rsid w:val="00e618bf"/>
    <w:rPr/>
  </w:style>
  <w:style w:type="character" w:styleId="Style6" w:customStyle="1">
    <w:name w:val="页脚 字符"/>
    <w:basedOn w:val="DefaultParagraphFont"/>
    <w:uiPriority w:val="99"/>
    <w:qFormat/>
    <w:rsid w:val="00e618bf"/>
    <w:rPr/>
  </w:style>
  <w:style w:type="character" w:styleId="11" w:customStyle="1">
    <w:name w:val="标题 1 字符"/>
    <w:basedOn w:val="DefaultParagraphFont"/>
    <w:uiPriority w:val="9"/>
    <w:qFormat/>
    <w:rsid w:val="00e25d79"/>
    <w:rPr>
      <w:rFonts w:ascii="Calibri" w:hAnsi="Calibri" w:eastAsia="黑体" w:cs="" w:asciiTheme="majorHAnsi" w:cstheme="majorBidi" w:hAnsiTheme="majorHAnsi"/>
      <w:b/>
      <w:bCs/>
      <w:color w:val="000000"/>
      <w:sz w:val="32"/>
      <w:szCs w:val="28"/>
    </w:rPr>
  </w:style>
  <w:style w:type="character" w:styleId="21" w:customStyle="1">
    <w:name w:val="标题 2 字符"/>
    <w:basedOn w:val="DefaultParagraphFont"/>
    <w:uiPriority w:val="9"/>
    <w:qFormat/>
    <w:rsid w:val="00e25d79"/>
    <w:rPr>
      <w:rFonts w:ascii="Calibri" w:hAnsi="Calibri" w:eastAsia="黑体" w:cs="" w:asciiTheme="majorHAnsi" w:cstheme="majorBidi" w:hAnsiTheme="majorHAnsi"/>
      <w:b/>
      <w:bCs/>
      <w:color w:val="000000"/>
      <w:sz w:val="32"/>
      <w:szCs w:val="26"/>
    </w:rPr>
  </w:style>
  <w:style w:type="character" w:styleId="31" w:customStyle="1">
    <w:name w:val="标题 3 字符"/>
    <w:basedOn w:val="DefaultParagraphFont"/>
    <w:uiPriority w:val="9"/>
    <w:qFormat/>
    <w:rsid w:val="00e25d79"/>
    <w:rPr>
      <w:rFonts w:ascii="黑体" w:hAnsi="黑体" w:eastAsia="黑体" w:cs="Times New Roman"/>
      <w:b/>
      <w:bCs/>
      <w:color w:val="000000"/>
      <w:sz w:val="30"/>
      <w:szCs w:val="30"/>
      <w:lang w:eastAsia="zh-CN"/>
    </w:rPr>
  </w:style>
  <w:style w:type="character" w:styleId="Style7" w:customStyle="1">
    <w:name w:val="标题 字符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tyle8" w:customStyle="1">
    <w:name w:val="副标题 字符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Style9" w:customStyle="1">
    <w:name w:val="正文文本 字符"/>
    <w:basedOn w:val="DefaultParagraphFont"/>
    <w:uiPriority w:val="99"/>
    <w:qFormat/>
    <w:rsid w:val="00aa1d8d"/>
    <w:rPr/>
  </w:style>
  <w:style w:type="character" w:styleId="22" w:customStyle="1">
    <w:name w:val="正文文本 2 字符"/>
    <w:basedOn w:val="DefaultParagraphFont"/>
    <w:link w:val="BodyText2"/>
    <w:uiPriority w:val="99"/>
    <w:qFormat/>
    <w:rsid w:val="00aa1d8d"/>
    <w:rPr/>
  </w:style>
  <w:style w:type="character" w:styleId="32" w:customStyle="1">
    <w:name w:val="正文文本 3 字符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Style10" w:customStyle="1">
    <w:name w:val="宏文本 字符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Style11" w:customStyle="1">
    <w:name w:val="引用 字符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41" w:customStyle="1">
    <w:name w:val="标题 4 字符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51" w:customStyle="1">
    <w:name w:val="标题 5 字符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61" w:customStyle="1">
    <w:name w:val="标题 6 字符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71" w:customStyle="1">
    <w:name w:val="标题 7 字符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81" w:customStyle="1">
    <w:name w:val="标题 8 字符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91" w:customStyle="1">
    <w:name w:val="标题 9 字符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Style12">
    <w:name w:val="强调"/>
    <w:basedOn w:val="DefaultParagraphFont"/>
    <w:uiPriority w:val="20"/>
    <w:qFormat/>
    <w:rsid w:val="00fc693f"/>
    <w:rPr>
      <w:i/>
      <w:iCs/>
    </w:rPr>
  </w:style>
  <w:style w:type="character" w:styleId="Style13" w:customStyle="1">
    <w:name w:val="明显引用 字符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Style14" w:customStyle="1">
    <w:name w:val="无间隔 字符"/>
    <w:basedOn w:val="DefaultParagraphFont"/>
    <w:link w:val="NoSpacing"/>
    <w:uiPriority w:val="1"/>
    <w:qFormat/>
    <w:rsid w:val="00c95f22"/>
    <w:rPr/>
  </w:style>
  <w:style w:type="character" w:styleId="Internet">
    <w:name w:val="Internet 链接"/>
    <w:basedOn w:val="DefaultParagraphFont"/>
    <w:uiPriority w:val="99"/>
    <w:unhideWhenUsed/>
    <w:rsid w:val="00e25d79"/>
    <w:rPr>
      <w:color w:val="0000FF" w:themeColor="hyperlink"/>
      <w:u w:val="single"/>
    </w:rPr>
  </w:style>
  <w:style w:type="character" w:styleId="Style15">
    <w:name w:val="索引链接"/>
    <w:qFormat/>
    <w:rPr/>
  </w:style>
  <w:style w:type="paragraph" w:styleId="Style16">
    <w:name w:val="标题样式"/>
    <w:basedOn w:val="Normal"/>
    <w:next w:val="Style17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Style17">
    <w:name w:val="Body Text"/>
    <w:basedOn w:val="Normal"/>
    <w:link w:val="Style9"/>
    <w:uiPriority w:val="99"/>
    <w:unhideWhenUsed/>
    <w:rsid w:val="00aa1d8d"/>
    <w:pPr>
      <w:spacing w:before="0" w:after="120"/>
    </w:pPr>
    <w:rPr/>
  </w:style>
  <w:style w:type="paragraph" w:styleId="Style18">
    <w:name w:val="List"/>
    <w:basedOn w:val="Normal"/>
    <w:uiPriority w:val="99"/>
    <w:unhideWhenUsed/>
    <w:rsid w:val="00aa1d8d"/>
    <w:pPr>
      <w:spacing w:before="0" w:after="0"/>
      <w:ind w:left="360" w:hanging="360"/>
      <w:contextualSpacing/>
    </w:pPr>
    <w:rPr/>
  </w:style>
  <w:style w:type="paragraph" w:styleId="Style19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Style20">
    <w:name w:val="索引"/>
    <w:basedOn w:val="Normal"/>
    <w:qFormat/>
    <w:pPr>
      <w:suppressLineNumbers/>
    </w:pPr>
    <w:rPr>
      <w:rFonts w:cs="Noto Sans CJK SC"/>
    </w:rPr>
  </w:style>
  <w:style w:type="paragraph" w:styleId="Style21">
    <w:name w:val="页眉与页脚"/>
    <w:basedOn w:val="Normal"/>
    <w:qFormat/>
    <w:pPr/>
    <w:rPr/>
  </w:style>
  <w:style w:type="paragraph" w:styleId="Style22">
    <w:name w:val="Header"/>
    <w:basedOn w:val="Normal"/>
    <w:link w:val="Style5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paragraph" w:styleId="Style23">
    <w:name w:val="Footer"/>
    <w:basedOn w:val="Normal"/>
    <w:link w:val="Style6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paragraph" w:styleId="NoSpacing">
    <w:name w:val="No Spacing"/>
    <w:link w:val="Style14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Style24">
    <w:name w:val="Title"/>
    <w:basedOn w:val="Normal"/>
    <w:next w:val="Normal"/>
    <w:link w:val="Style7"/>
    <w:uiPriority w:val="10"/>
    <w:qFormat/>
    <w:rsid w:val="00fc693f"/>
    <w:pPr>
      <w:pBdr>
        <w:bottom w:val="single" w:sz="8" w:space="4" w:color="4F81BD"/>
      </w:pBdr>
      <w:spacing w:before="240" w:after="240"/>
      <w:ind w:hanging="0"/>
      <w:contextualSpacing/>
      <w:jc w:val="center"/>
    </w:pPr>
    <w:rPr>
      <w:rFonts w:ascii="Calibri" w:hAnsi="Calibri" w:eastAsia="ＭＳ ゴシック" w:cs="" w:asciiTheme="majorHAnsi" w:cstheme="majorBidi" w:eastAsiaTheme="majorEastAsia" w:hAnsiTheme="majorHAnsi"/>
      <w:b/>
      <w:spacing w:val="5"/>
      <w:kern w:val="2"/>
      <w:sz w:val="32"/>
      <w:szCs w:val="52"/>
    </w:rPr>
  </w:style>
  <w:style w:type="paragraph" w:styleId="Style25">
    <w:name w:val="Subtitle"/>
    <w:basedOn w:val="Normal"/>
    <w:next w:val="Normal"/>
    <w:link w:val="Style8"/>
    <w:uiPriority w:val="11"/>
    <w:qFormat/>
    <w:rsid w:val="00fc693f"/>
    <w:pPr>
      <w:ind w:firstLine="480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0"/>
      <w:ind w:left="720" w:firstLine="480"/>
      <w:contextualSpacing/>
    </w:pPr>
    <w:rPr/>
  </w:style>
  <w:style w:type="paragraph" w:styleId="BodyText2">
    <w:name w:val="Body Text 2"/>
    <w:basedOn w:val="Normal"/>
    <w:link w:val="22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32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23">
    <w:name w:val="List Bullet 3"/>
    <w:basedOn w:val="Normal"/>
    <w:uiPriority w:val="99"/>
    <w:unhideWhenUsed/>
    <w:rsid w:val="00326f90"/>
    <w:pPr>
      <w:spacing w:before="0" w:after="0"/>
      <w:ind w:left="720" w:hanging="360"/>
      <w:contextualSpacing/>
    </w:pPr>
    <w:rPr/>
  </w:style>
  <w:style w:type="paragraph" w:styleId="33">
    <w:name w:val="List Bullet 4"/>
    <w:basedOn w:val="Normal"/>
    <w:uiPriority w:val="99"/>
    <w:unhideWhenUsed/>
    <w:rsid w:val="00326f90"/>
    <w:pPr>
      <w:spacing w:before="0" w:after="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firstLine="48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firstLine="48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firstLine="480"/>
      <w:contextualSpacing/>
    </w:pPr>
    <w:rPr/>
  </w:style>
  <w:style w:type="paragraph" w:styleId="Macro">
    <w:name w:val="macro"/>
    <w:link w:val="Style10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Style11"/>
    <w:uiPriority w:val="29"/>
    <w:qFormat/>
    <w:rsid w:val="00fc693f"/>
    <w:pPr/>
    <w:rPr>
      <w:i/>
      <w:iCs/>
      <w:color w:val="000000" w:themeColor="text1"/>
    </w:rPr>
  </w:style>
  <w:style w:type="paragraph" w:styleId="Caption">
    <w:name w:val="caption"/>
    <w:basedOn w:val="Normal"/>
    <w:next w:val="Normal"/>
    <w:uiPriority w:val="35"/>
    <w:unhideWhenUsed/>
    <w:qFormat/>
    <w:rsid w:val="00b64d49"/>
    <w:pPr>
      <w:spacing w:lineRule="auto" w:line="240"/>
    </w:pPr>
    <w:rPr>
      <w:b/>
      <w:bCs/>
      <w:color w:val="auto"/>
      <w:sz w:val="18"/>
      <w:szCs w:val="18"/>
    </w:rPr>
  </w:style>
  <w:style w:type="paragraph" w:styleId="IntenseQuote">
    <w:name w:val="Intense Quote"/>
    <w:basedOn w:val="Normal"/>
    <w:next w:val="Normal"/>
    <w:link w:val="Style13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firstLine="480"/>
    </w:pPr>
    <w:rPr>
      <w:b/>
      <w:bCs/>
      <w:i/>
      <w:iCs/>
      <w:color w:val="4F81BD" w:themeColor="accent1"/>
    </w:rPr>
  </w:style>
  <w:style w:type="paragraph" w:styleId="Style26">
    <w:name w:val="Index Heading"/>
    <w:basedOn w:val="Style16"/>
    <w:pPr/>
    <w:rPr/>
  </w:style>
  <w:style w:type="paragraph" w:styleId="Style27">
    <w:name w:val="TOC Heading"/>
    <w:basedOn w:val="1"/>
    <w:next w:val="Normal"/>
    <w:uiPriority w:val="39"/>
    <w:unhideWhenUsed/>
    <w:qFormat/>
    <w:rsid w:val="00fc693f"/>
    <w:pPr>
      <w:outlineLvl w:val="9"/>
    </w:pPr>
    <w:rPr/>
  </w:style>
  <w:style w:type="paragraph" w:styleId="12">
    <w:name w:val="TOC 1"/>
    <w:basedOn w:val="Normal"/>
    <w:next w:val="Normal"/>
    <w:autoRedefine/>
    <w:uiPriority w:val="39"/>
    <w:unhideWhenUsed/>
    <w:rsid w:val="00e25d79"/>
    <w:pPr/>
    <w:rPr/>
  </w:style>
  <w:style w:type="paragraph" w:styleId="24">
    <w:name w:val="TOC 2"/>
    <w:basedOn w:val="Normal"/>
    <w:next w:val="Normal"/>
    <w:autoRedefine/>
    <w:uiPriority w:val="39"/>
    <w:unhideWhenUsed/>
    <w:rsid w:val="00e25d79"/>
    <w:pPr>
      <w:ind w:left="420" w:firstLine="480"/>
    </w:pPr>
    <w:rPr/>
  </w:style>
  <w:style w:type="paragraph" w:styleId="34">
    <w:name w:val="TOC 3"/>
    <w:basedOn w:val="Normal"/>
    <w:next w:val="Normal"/>
    <w:autoRedefine/>
    <w:uiPriority w:val="39"/>
    <w:unhideWhenUsed/>
    <w:rsid w:val="00e25d79"/>
    <w:pPr>
      <w:ind w:left="840" w:firstLine="48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<Relationship Id="rId1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LibreOffice/7.3.7.2$Linux_X86_64 LibreOffice_project/30$Build-2</Application>
  <AppVersion>15.0000</AppVersion>
  <Pages>14</Pages>
  <Words>6315</Words>
  <Characters>6466</Characters>
  <CharactersWithSpaces>6533</CharactersWithSpaces>
  <Paragraphs>106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2026-09-19T08:55:00Z</dcterms:created>
  <dc:creator>python-docx</dc:creator>
  <dc:description>generated by python-docx</dc:description>
  <dc:language>zh-CN</dc:language>
  <cp:lastModifiedBy/>
  <cp:lastPrinted>2026-09-18T11:57:00Z</cp:lastPrinted>
  <dcterms:modified xsi:type="dcterms:W3CDTF">2026-09-22T11:43:08Z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e450cf9d-b420-4853-9ad4-8c6cdcd25833</vt:lpwstr>
  </property>
</Properties>
</file>