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pPr>
        <w:pStyle w:val="Heading2"/>
      </w:pPr>
      <w:r>
        <w:t>1. Parties and purpose</w:t>
      </w:r>
    </w:p>
    <w:p>
      <w:r>
        <w:t>This Master Services Agreement is made between Harbourline Freight Pte Ltd (the Customer) and Kestrel Analytics Ltd (the Supplier). The Supplier will provide the analytics platform and related services described in Schedule 1.</w:t>
      </w:r>
    </w:p>
    <w:p>
      <w:pPr>
        <w:pStyle w:val="Heading2"/>
      </w:pPr>
      <w:r>
        <w:t>2. Term</w:t>
      </w:r>
    </w:p>
    <w:p>
      <w:r>
        <w:t>This Agreement starts on 1 March 2026 and continues for an initial term of 24 months. It then renews automatically for successive periods of 12 months unless either party gives at least 90 days' written notice before the end of the current period.</w:t>
      </w:r>
    </w:p>
    <w:p>
      <w:pPr>
        <w:pStyle w:val="Heading2"/>
      </w:pPr>
      <w:r>
        <w:t>3. Fees and payment</w:t>
      </w:r>
    </w:p>
    <w:p>
      <w:r>
        <w:t>The Customer will pay the fixed monthly fee of SGD 42,000 set out in the fee schedule below. The Supplier will invoice monthly in arrears. Each invoice is payable within 45 days of the invoice date.</w:t>
      </w:r>
    </w:p>
    <w:p>
      <w:r>
        <w:t>Overdue amounts bear interest at 1.5% per month until paid. Fees are exclusive of goods and services tax.</w:t>
      </w:r>
    </w:p>
    <w:p>
      <w:r>
        <w:t>Fee schedule (monthly, SGD)</w:t>
      </w:r>
    </w:p>
    <w:tbl>
      <w:tblPr>
        <w:tblW w:type="auto" w:w="0"/>
        <w:tblLook w:firstColumn="1" w:firstRow="1" w:lastColumn="0" w:lastRow="0" w:noHBand="0" w:noVBand="1" w:val="04A0"/>
      </w:tblPr>
      <w:tblGrid>
        <w:gridCol w:w="4320"/>
        <w:gridCol w:w="4320"/>
      </w:tblGrid>
      <w:tr>
        <w:tc>
          <w:tcPr>
            <w:tcW w:type="dxa" w:w="4320"/>
          </w:tcPr>
          <w:p>
            <w:r>
              <w:t>Service</w:t>
            </w:r>
          </w:p>
        </w:tc>
        <w:tc>
          <w:tcPr>
            <w:tcW w:type="dxa" w:w="4320"/>
          </w:tcPr>
          <w:p>
            <w:r>
              <w:t>Monthly fee</w:t>
            </w:r>
          </w:p>
        </w:tc>
      </w:tr>
      <w:tr>
        <w:tc>
          <w:tcPr>
            <w:tcW w:type="dxa" w:w="4320"/>
          </w:tcPr>
          <w:p>
            <w:r>
              <w:t>Platform licence</w:t>
            </w:r>
          </w:p>
        </w:tc>
        <w:tc>
          <w:tcPr>
            <w:tcW w:type="dxa" w:w="4320"/>
          </w:tcPr>
          <w:p>
            <w:r>
              <w:t>28,000</w:t>
            </w:r>
          </w:p>
        </w:tc>
      </w:tr>
      <w:tr>
        <w:tc>
          <w:tcPr>
            <w:tcW w:type="dxa" w:w="4320"/>
          </w:tcPr>
          <w:p>
            <w:r>
              <w:t>Support</w:t>
            </w:r>
          </w:p>
        </w:tc>
        <w:tc>
          <w:tcPr>
            <w:tcW w:type="dxa" w:w="4320"/>
          </w:tcPr>
          <w:p>
            <w:r>
              <w:t>9,000</w:t>
            </w:r>
          </w:p>
        </w:tc>
      </w:tr>
      <w:tr>
        <w:tc>
          <w:tcPr>
            <w:tcW w:type="dxa" w:w="4320"/>
          </w:tcPr>
          <w:p>
            <w:r>
              <w:t>Data integration</w:t>
            </w:r>
          </w:p>
        </w:tc>
        <w:tc>
          <w:tcPr>
            <w:tcW w:type="dxa" w:w="4320"/>
          </w:tcPr>
          <w:p>
            <w:r>
              <w:t>5,000</w:t>
            </w:r>
          </w:p>
        </w:tc>
      </w:tr>
      <w:tr>
        <w:tc>
          <w:tcPr>
            <w:tcW w:type="dxa" w:w="4320"/>
          </w:tcPr>
          <w:p>
            <w:r>
              <w:t>Total</w:t>
            </w:r>
          </w:p>
        </w:tc>
        <w:tc>
          <w:tcPr>
            <w:tcW w:type="dxa" w:w="4320"/>
          </w:tcPr>
          <w:p>
            <w:r>
              <w:t>42,000</w:t>
            </w:r>
          </w:p>
        </w:tc>
      </w:tr>
    </w:tbl>
    <w:p>
      <w:pPr>
        <w:pStyle w:val="Heading2"/>
      </w:pPr>
      <w:r>
        <w:t>4. Service levels</w:t>
      </w:r>
    </w:p>
    <w:p>
      <w:r>
        <w:t>The Supplier will make the platform available for at least 99.5% of each calendar month, excluding planned maintenance notified at least five days in advance.</w:t>
      </w:r>
    </w:p>
    <w:p>
      <w:r>
        <w:t>If availability falls below this target, the Customer is entitled to a service credit of 5% of the monthly fee for each full 0.5% by which availability is below the target, up to a maximum of 20% of the monthly fee.</w:t>
      </w:r>
    </w:p>
    <w:p>
      <w:pPr>
        <w:pStyle w:val="Heading2"/>
      </w:pPr>
      <w:r>
        <w:t>5. Termination</w:t>
      </w:r>
    </w:p>
    <w:p>
      <w:r>
        <w:t>After the first 12 months, either party may terminate this Agreement for convenience by giving 60 days' written notice.</w:t>
      </w:r>
    </w:p>
    <w:p>
      <w:r>
        <w:t>Either party may terminate immediately if the other commits a material breach that is not remedied within 30 days of written notice requiring it to be remedied.</w:t>
      </w:r>
    </w:p>
    <w:p>
      <w:pPr>
        <w:pStyle w:val="Heading2"/>
      </w:pPr>
      <w:r>
        <w:t>6. Liability</w:t>
      </w:r>
    </w:p>
    <w:p>
      <w:r>
        <w:t>Each party's total liability under this Agreement is limited to the total fees paid in the 12 months preceding the claim. Neither party is liable for indirect or consequential loss. Nothing limits liability for fraud or for death or personal injury caused by negligence.</w:t>
      </w:r>
    </w:p>
    <w:p>
      <w:pPr>
        <w:pStyle w:val="Heading2"/>
      </w:pPr>
      <w:r>
        <w:t>7. Confidentiality and data protection</w:t>
      </w:r>
    </w:p>
    <w:p>
      <w:r>
        <w:t>Each party will keep the other's confidential information secret. These obligations continue for five years after this Agreement ends.</w:t>
      </w:r>
    </w:p>
    <w:p>
      <w:r>
        <w:t>The Supplier will notify the Customer within 48 hours of becoming aware of any incident affecting the Customer's personal data, and will give reasonable help with any resulting regulatory notification.</w:t>
      </w:r>
    </w:p>
    <w:p>
      <w:pPr>
        <w:pStyle w:val="Heading2"/>
      </w:pPr>
      <w:r>
        <w:t>8. Governing law and disputes</w:t>
      </w:r>
    </w:p>
    <w:p>
      <w:r>
        <w:t>This Agreement is governed by the laws of Singapore. Any dispute that cannot be settled by negotiation within 30 days will be referred to arbitration administered by the Singapore International Arbitration Centre.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