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724" w:rsidRPr="00EA27E2" w:rsidRDefault="00DC6724" w:rsidP="00DC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• L'ORCHESTRE 1 1* 1 2 / 1 2 1 1 - 1percu - cordes (21220) </w:t>
      </w:r>
    </w:p>
    <w:p w:rsidR="00DC6724" w:rsidRPr="00EA27E2" w:rsidRDefault="00DC6724" w:rsidP="00DC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Performance de Gabriel Mattei &amp; Zahra </w:t>
      </w:r>
      <w:proofErr w:type="spellStart"/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>Poonawala</w:t>
      </w:r>
      <w:proofErr w:type="spellEnd"/>
      <w:r w:rsidR="00394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hyperlink r:id="rId5" w:history="1">
        <w:r w:rsidR="00394E66" w:rsidRPr="00E57510">
          <w:rPr>
            <w:rStyle w:val="Lienhypertexte"/>
            <w:rFonts w:ascii="Times New Roman" w:eastAsia="Times New Roman" w:hAnsi="Times New Roman" w:cs="Times New Roman"/>
            <w:i/>
            <w:iCs/>
            <w:sz w:val="24"/>
            <w:szCs w:val="24"/>
          </w:rPr>
          <w:t>http://www.zahrapoonawala.org/</w:t>
        </w:r>
      </w:hyperlink>
      <w:r w:rsidR="00394E6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A27E2">
        <w:rPr>
          <w:rFonts w:ascii="Times New Roman" w:eastAsia="Times New Roman" w:hAnsi="Times New Roman" w:cs="Times New Roman"/>
          <w:sz w:val="24"/>
          <w:szCs w:val="24"/>
        </w:rPr>
        <w:br/>
      </w:r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>Pièce pour 18 musiciens</w:t>
      </w:r>
      <w:r w:rsidRPr="00EA27E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A27E2">
        <w:rPr>
          <w:rFonts w:ascii="Times New Roman" w:eastAsia="Times New Roman" w:hAnsi="Times New Roman" w:cs="Times New Roman"/>
          <w:sz w:val="24"/>
          <w:szCs w:val="24"/>
        </w:rPr>
        <w:br/>
      </w:r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Le 15 septembre 2011 au </w:t>
      </w:r>
      <w:proofErr w:type="spellStart"/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>Ceaac</w:t>
      </w:r>
      <w:proofErr w:type="spellEnd"/>
      <w:r w:rsidRPr="00EA27E2">
        <w:rPr>
          <w:rFonts w:ascii="Times New Roman" w:eastAsia="Times New Roman" w:hAnsi="Times New Roman" w:cs="Times New Roman"/>
          <w:i/>
          <w:iCs/>
          <w:sz w:val="24"/>
          <w:szCs w:val="24"/>
        </w:rPr>
        <w:t>, Strasbourg</w:t>
      </w:r>
      <w:bookmarkStart w:id="0" w:name="_GoBack"/>
      <w:bookmarkEnd w:id="0"/>
    </w:p>
    <w:p w:rsidR="00DC6724" w:rsidRPr="00EA27E2" w:rsidRDefault="00DC6724" w:rsidP="00DC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7E2">
        <w:rPr>
          <w:rFonts w:ascii="Times New Roman" w:eastAsia="Times New Roman" w:hAnsi="Times New Roman" w:cs="Times New Roman"/>
          <w:sz w:val="24"/>
          <w:szCs w:val="24"/>
        </w:rPr>
        <w:t xml:space="preserve">L’interprétation de la musique d’orchestre ne fait pas appel qu’à une virtuosité instrumentale individuelle mais également à une communication non verbale entre les musiciens. L’attitude corporelle de chaque musicien, son implication physique dans son interaction avec les membres de l’orchestre et sa détermination à appartenir à ce collectif en action constituent l’essence de la vie interne d’un orchestre. </w:t>
      </w:r>
      <w:r w:rsidRPr="00EA27E2">
        <w:rPr>
          <w:rFonts w:ascii="Times New Roman" w:eastAsia="Times New Roman" w:hAnsi="Times New Roman" w:cs="Times New Roman"/>
          <w:sz w:val="24"/>
          <w:szCs w:val="24"/>
        </w:rPr>
        <w:br/>
        <w:t>Notre performance présentée au CEEAC permettait une immersion, pour notre public, dans ce tissu relationnel entre interprètes. Avec trois gestes musicaux simples (relais sonore, dialogue entre 2 groupes et improvisation individuelle), nous avons fait partager l’expérience orchestrale vécus habituellement que par les musiciens.</w:t>
      </w:r>
    </w:p>
    <w:p w:rsidR="00DC6724" w:rsidRPr="00EA27E2" w:rsidRDefault="00DC6724" w:rsidP="00DC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4E7" w:rsidRDefault="00394E66"/>
    <w:sectPr w:rsidR="00963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724"/>
    <w:rsid w:val="00394E66"/>
    <w:rsid w:val="00DC6724"/>
    <w:rsid w:val="00E93EB5"/>
    <w:rsid w:val="00E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67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94E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7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6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672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94E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zahrapoonawala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2017-03-15T14:14:00Z</dcterms:created>
  <dcterms:modified xsi:type="dcterms:W3CDTF">2017-04-04T08:53:00Z</dcterms:modified>
</cp:coreProperties>
</file>