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T3nets</w:t>
      </w:r>
    </w:p>
    <w:p>
      <w:pPr>
        <w:spacing w:after="600"/>
        <w:jc w:val="center"/>
      </w:pPr>
      <w:r>
        <w:rPr>
          <w:rFonts w:ascii="Arial" w:cs="Arial" w:eastAsia="Arial" w:hAnsi="Arial"/>
          <w:color w:val="5D6D7E"/>
          <w:sz w:val="36"/>
          <w:szCs w:val="36"/>
        </w:rPr>
        <w:t xml:space="preserve">System Architecture Document</w:t>
      </w:r>
    </w:p>
    <w:p>
      <w:pPr>
        <w:pBdr>
          <w:top w:val="single" w:color="1B4F72" w:sz="6" w:space="20"/>
        </w:pBdr>
        <w:spacing w:before="200" w:after="200"/>
        <w:jc w:val="center"/>
      </w:pPr>
      <w:r>
        <w:rPr>
          <w:rFonts w:ascii="Arial" w:cs="Arial" w:eastAsia="Arial" w:hAnsi="Arial"/>
          <w:color w:val="2C3E50"/>
          <w:sz w:val="28"/>
          <w:szCs w:val="28"/>
        </w:rPr>
        <w:t xml:space="preserve">Multi-Tenant AI Agent Platform</w:t>
      </w:r>
    </w:p>
    <w:p>
      <w:pPr>
        <w:spacing w:before="1200"/>
      </w:pPr>
    </w:p>
    <w:p>
      <w:pPr>
        <w:spacing w:after="100"/>
        <w:jc w:val="center"/>
      </w:pPr>
      <w:r>
        <w:rPr>
          <w:rFonts w:ascii="Arial" w:cs="Arial" w:eastAsia="Arial" w:hAnsi="Arial"/>
          <w:color w:val="5D6D7E"/>
          <w:sz w:val="22"/>
          <w:szCs w:val="22"/>
        </w:rPr>
        <w:t xml:space="preserve">Version 1.0  |  February 25, 2026</w:t>
      </w:r>
    </w:p>
    <w:p>
      <w:pPr>
        <w:jc w:val="center"/>
      </w:pPr>
      <w:r>
        <w:rPr>
          <w:rFonts w:ascii="Arial" w:cs="Arial" w:eastAsia="Arial" w:hAnsi="Arial"/>
          <w:b/>
          <w:bCs/>
          <w:color w:val="27AE60"/>
          <w:sz w:val="22"/>
          <w:szCs w:val="22"/>
        </w:rPr>
        <w:t xml:space="preserve">Current Phase: 2 (Multi-Tenancy)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6"/>
          <w:szCs w:val="36"/>
        </w:rPr>
        <w:t xml:space="preserve">1. Executive Summary</w:t>
      </w:r>
    </w:p>
    <w:p>
      <w:pPr>
        <w:spacing w:after="160" w:before="0" w:line="276"/>
      </w:pPr>
      <w:r>
        <w:rPr>
          <w:rFonts w:ascii="Arial" w:cs="Arial" w:eastAsia="Arial" w:hAnsi="Arial"/>
          <w:color w:val="2C3E50"/>
          <w:sz w:val="22"/>
          <w:szCs w:val="22"/>
        </w:rPr>
        <w:t xml:space="preserve">T3nets is a multi-tenant AI agent platform that connects teams to their productivity tools (Jira, GitHub, and more) through conversational AI powered by Anthropic Claude. The platform is designed for cost efficiency, security, and extensibility.</w:t>
      </w:r>
    </w:p>
    <w:p>
      <w:pPr>
        <w:spacing w:after="160" w:before="0" w:line="276"/>
      </w:pPr>
      <w:r>
        <w:rPr>
          <w:rFonts w:ascii="Arial" w:cs="Arial" w:eastAsia="Arial" w:hAnsi="Arial"/>
          <w:color w:val="2C3E50"/>
          <w:sz w:val="22"/>
          <w:szCs w:val="22"/>
        </w:rPr>
        <w:t xml:space="preserve">The core innovation is a </w:t>
      </w:r>
      <w:r>
        <w:rPr>
          <w:rFonts w:ascii="Arial" w:cs="Arial" w:eastAsia="Arial" w:hAnsi="Arial"/>
          <w:b/>
          <w:bCs/>
          <w:color w:val="2C3E50"/>
          <w:sz w:val="22"/>
          <w:szCs w:val="22"/>
        </w:rPr>
        <w:t xml:space="preserve">hybrid routing engine</w:t>
      </w:r>
      <w:r>
        <w:rPr>
          <w:rFonts w:ascii="Arial" w:cs="Arial" w:eastAsia="Arial" w:hAnsi="Arial"/>
          <w:color w:val="2C3E50"/>
          <w:sz w:val="22"/>
          <w:szCs w:val="22"/>
        </w:rPr>
        <w:t xml:space="preserve"> that cuts AI costs by 50–60% compared to routing every message through Claude. Simple greetings are handled locally at zero cost, known skill triggers bypass the AI decision layer, and only ambiguous or complex queries engage the full Claude pipeline with tools.</w:t>
      </w:r>
    </w:p>
    <w:p>
      <w:pPr>
        <w:spacing w:after="160" w:before="0" w:line="276"/>
      </w:pPr>
      <w:r>
        <w:rPr>
          <w:rFonts w:ascii="Arial" w:cs="Arial" w:eastAsia="Arial" w:hAnsi="Arial"/>
          <w:color w:val="2C3E50"/>
          <w:sz w:val="22"/>
          <w:szCs w:val="22"/>
        </w:rPr>
        <w:t xml:space="preserve">The system follows a cloud-agnostic architecture: all business logic lives in a portable core with zero cloud imports, while environment-specific adapters handle AWS (Bedrock, DynamoDB, Cognito), local development (SQLite, Anthropic API), and future clouds (Azure, GCP).</w:t>
      </w:r>
    </w:p>
    <w:p>
      <w:pPr>
        <w:pStyle w:val="Heading1"/>
        <w:spacing w:before="360" w:after="200"/>
      </w:pPr>
      <w:r>
        <w:rPr>
          <w:rFonts w:ascii="Arial" w:cs="Arial" w:eastAsia="Arial" w:hAnsi="Arial"/>
          <w:b/>
          <w:bCs/>
          <w:color w:val="1B4F72"/>
          <w:sz w:val="36"/>
          <w:szCs w:val="36"/>
        </w:rPr>
        <w:t xml:space="preserve">2. System Overview</w:t>
      </w:r>
    </w:p>
    <w:p>
      <w:pPr>
        <w:pStyle w:val="Heading2"/>
        <w:spacing w:before="280" w:after="160"/>
      </w:pPr>
      <w:r>
        <w:rPr>
          <w:rFonts w:ascii="Arial" w:cs="Arial" w:eastAsia="Arial" w:hAnsi="Arial"/>
          <w:b/>
          <w:bCs/>
          <w:color w:val="2C3E50"/>
          <w:sz w:val="28"/>
          <w:szCs w:val="28"/>
        </w:rPr>
        <w:t xml:space="preserve">2.1 High-Level Architecture</w:t>
      </w:r>
    </w:p>
    <w:p>
      <w:pPr>
        <w:spacing w:after="160" w:before="0" w:line="276"/>
      </w:pPr>
      <w:r>
        <w:rPr>
          <w:rFonts w:ascii="Arial" w:cs="Arial" w:eastAsia="Arial" w:hAnsi="Arial"/>
          <w:color w:val="2C3E50"/>
          <w:sz w:val="22"/>
          <w:szCs w:val="22"/>
        </w:rPr>
        <w:t xml:space="preserve">The platform consists of four major layers, each independently deployable and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chat.html, login.html, onboard.html, settings.html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Browser-based SPA-style UI with JWT auth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Server</w:t>
            </w:r>
          </w:p>
        </w:tc>
        <w:tc>
          <w:tcPr>
            <w:tcW w:type="dxa" w:w="3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dev_server.py (local), server.py (AWS)</w:t>
            </w:r>
          </w:p>
        </w:tc>
        <w:tc>
          <w:tcPr>
            <w:tcW w:type="dxa" w:w="3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HTTP API serving UI pages and data endpoints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Core Engine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Router, Skills Registry, Memory, Models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Cloud-agnostic business logic (agent/)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Infrastructure</w:t>
            </w:r>
          </w:p>
        </w:tc>
        <w:tc>
          <w:tcPr>
            <w:tcW w:type="dxa" w:w="3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Terraform, ECS Fargate, API Gateway, DynamoDB</w:t>
            </w:r>
          </w:p>
        </w:tc>
        <w:tc>
          <w:tcPr>
            <w:tcW w:type="dxa" w:w="3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AWS deployment with Cognito auth</w:t>
            </w:r>
          </w:p>
        </w:tc>
      </w:tr>
    </w:tbl>
    <w:p>
      <w:pPr>
        <w:pStyle w:val="Heading2"/>
        <w:spacing w:before="280" w:after="160"/>
      </w:pPr>
      <w:r>
        <w:rPr>
          <w:rFonts w:ascii="Arial" w:cs="Arial" w:eastAsia="Arial" w:hAnsi="Arial"/>
          <w:b/>
          <w:bCs/>
          <w:color w:val="2C3E50"/>
          <w:sz w:val="28"/>
          <w:szCs w:val="28"/>
        </w:rPr>
        <w:t xml:space="preserve">2.2 Request Flow</w:t>
      </w:r>
    </w:p>
    <w:p>
      <w:pPr>
        <w:spacing w:after="160" w:before="0" w:line="276"/>
      </w:pPr>
      <w:r>
        <w:rPr>
          <w:rFonts w:ascii="Arial" w:cs="Arial" w:eastAsia="Arial" w:hAnsi="Arial"/>
          <w:color w:val="2C3E50"/>
          <w:sz w:val="22"/>
          <w:szCs w:val="22"/>
        </w:rPr>
        <w:t xml:space="preserve">Every inbound message follows this path through the system:</w:t>
      </w:r>
    </w:p>
    <w:p>
      <w:pPr>
        <w:spacing w:after="80" w:before="80"/>
        <w:ind w:left="360"/>
      </w:pPr>
      <w:r>
        <w:rPr>
          <w:rFonts w:ascii="Courier New" w:cs="Courier New" w:eastAsia="Courier New" w:hAnsi="Courier New"/>
          <w:color w:val="2C3E50"/>
          <w:sz w:val="18"/>
          <w:szCs w:val="18"/>
        </w:rPr>
        <w:t xml:space="preserve">Browser → API Gateway (JWT validation) → ALB → ECS Fargate</w:t>
      </w:r>
    </w:p>
    <w:p>
      <w:pPr>
        <w:spacing w:after="80" w:before="80"/>
        <w:ind w:left="360"/>
      </w:pPr>
      <w:r>
        <w:rPr>
          <w:rFonts w:ascii="Courier New" w:cs="Courier New" w:eastAsia="Courier New" w:hAnsi="Courier New"/>
          <w:color w:val="2C3E50"/>
          <w:sz w:val="18"/>
          <w:szCs w:val="18"/>
        </w:rPr>
        <w:t xml:space="preserve">  → Server extracts auth (JWT → DynamoDB fallback)</w:t>
      </w:r>
    </w:p>
    <w:p>
      <w:pPr>
        <w:spacing w:after="80" w:before="80"/>
        <w:ind w:left="360"/>
      </w:pPr>
      <w:r>
        <w:rPr>
          <w:rFonts w:ascii="Courier New" w:cs="Courier New" w:eastAsia="Courier New" w:hAnsi="Courier New"/>
          <w:color w:val="2C3E50"/>
          <w:sz w:val="18"/>
          <w:szCs w:val="18"/>
        </w:rPr>
        <w:t xml:space="preserve">  → Router: Tier 1 (regex) → Tier 2 (rules) → Tier 3 (Claude)</w:t>
      </w:r>
    </w:p>
    <w:p>
      <w:pPr>
        <w:spacing w:after="80" w:before="80"/>
        <w:ind w:left="360"/>
      </w:pPr>
      <w:r>
        <w:rPr>
          <w:rFonts w:ascii="Courier New" w:cs="Courier New" w:eastAsia="Courier New" w:hAnsi="Courier New"/>
          <w:color w:val="2C3E50"/>
          <w:sz w:val="18"/>
          <w:szCs w:val="18"/>
        </w:rPr>
        <w:t xml:space="preserve">  → Skill execution via EventBus</w:t>
      </w:r>
    </w:p>
    <w:p>
      <w:pPr>
        <w:spacing w:after="80" w:before="80"/>
        <w:ind w:left="360"/>
      </w:pPr>
      <w:r>
        <w:rPr>
          <w:rFonts w:ascii="Courier New" w:cs="Courier New" w:eastAsia="Courier New" w:hAnsi="Courier New"/>
          <w:color w:val="2C3E50"/>
          <w:sz w:val="18"/>
          <w:szCs w:val="18"/>
        </w:rPr>
        <w:t xml:space="preserve">  → Save turn to ConversationStore (DynamoDB)</w:t>
      </w:r>
    </w:p>
    <w:p>
      <w:pPr>
        <w:spacing w:after="80" w:before="80"/>
        <w:ind w:left="360"/>
      </w:pPr>
      <w:r>
        <w:rPr>
          <w:rFonts w:ascii="Courier New" w:cs="Courier New" w:eastAsia="Courier New" w:hAnsi="Courier New"/>
          <w:color w:val="2C3E50"/>
          <w:sz w:val="18"/>
          <w:szCs w:val="18"/>
        </w:rPr>
        <w:t xml:space="preserve">  → JSON response to browser</w:t>
      </w:r>
    </w:p>
    <w:p>
      <w:pPr>
        <w:pStyle w:val="Heading1"/>
        <w:spacing w:before="360" w:after="200"/>
      </w:pPr>
      <w:r>
        <w:rPr>
          <w:rFonts w:ascii="Arial" w:cs="Arial" w:eastAsia="Arial" w:hAnsi="Arial"/>
          <w:b/>
          <w:bCs/>
          <w:color w:val="1B4F72"/>
          <w:sz w:val="36"/>
          <w:szCs w:val="36"/>
        </w:rPr>
        <w:t xml:space="preserve">3. Core Engine (agent/)</w:t>
      </w:r>
    </w:p>
    <w:p>
      <w:pPr>
        <w:spacing w:after="160" w:before="0" w:line="276"/>
      </w:pPr>
      <w:r>
        <w:rPr>
          <w:rFonts w:ascii="Arial" w:cs="Arial" w:eastAsia="Arial" w:hAnsi="Arial"/>
          <w:color w:val="2C3E50"/>
          <w:sz w:val="22"/>
          <w:szCs w:val="22"/>
        </w:rPr>
        <w:t xml:space="preserve">All business logic lives in the agent/ directory with zero cloud imports. This makes the core portable across any deployment environment and trivially testable with mocks.</w:t>
      </w:r>
    </w:p>
    <w:p>
      <w:pPr>
        <w:pStyle w:val="Heading2"/>
        <w:spacing w:before="280" w:after="160"/>
      </w:pPr>
      <w:r>
        <w:rPr>
          <w:rFonts w:ascii="Arial" w:cs="Arial" w:eastAsia="Arial" w:hAnsi="Arial"/>
          <w:b/>
          <w:bCs/>
          <w:color w:val="2C3E50"/>
          <w:sz w:val="28"/>
          <w:szCs w:val="28"/>
        </w:rPr>
        <w:t xml:space="preserve">3.1 Hybrid Routing Engine</w:t>
      </w:r>
    </w:p>
    <w:p>
      <w:pPr>
        <w:spacing w:after="160" w:before="0" w:line="276"/>
      </w:pPr>
      <w:r>
        <w:rPr>
          <w:rFonts w:ascii="Arial" w:cs="Arial" w:eastAsia="Arial" w:hAnsi="Arial"/>
          <w:color w:val="2C3E50"/>
          <w:sz w:val="22"/>
          <w:szCs w:val="22"/>
        </w:rPr>
        <w:t xml:space="preserve">The router is the heart of T3nets. It classifies every inbound message into one of three cost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1800"/>
        <w:gridCol w:w="1860"/>
      </w:tblGrid>
      <w:tr>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Handling</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Tier 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Regex pattern match → canned response</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&lt;1ms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 "thanks"</w:t>
            </w:r>
          </w:p>
        </w:tc>
      </w:tr>
      <w:tr>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E67E22"/>
                <w:sz w:val="20"/>
                <w:szCs w:val="20"/>
              </w:rPr>
              <w:t xml:space="preserve">Tier 2</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Skill trigger match → execute → Claude formats</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~$0.01</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1–2s</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"sprint status"</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Tier 3</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Claude with tools → decides action → formats</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~$0.02–0.05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2–4s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Complex queries</w:t>
            </w:r>
          </w:p>
        </w:tc>
      </w:tr>
    </w:tbl>
    <w:p>
      <w:pPr>
        <w:spacing w:after="160" w:before="120" w:line="276"/>
      </w:pPr>
      <w:r>
        <w:rPr>
          <w:rFonts w:ascii="Arial" w:cs="Arial" w:eastAsia="Arial" w:hAnsi="Arial"/>
          <w:color w:val="2C3E50"/>
          <w:sz w:val="22"/>
          <w:szCs w:val="22"/>
        </w:rPr>
        <w:t>At 100 messages/day, hybrid routing reduces monthly AI costs from ~$90–150 to ~$30–60. Approximately 40% of messages are conversational (Tier 1), 30% rule-matched (Tier 2), and 30% AI-routed (Tier 3).</w:t>
      </w:r>
    </w:p>
    <w:p>
      <w:pPr>
        <w:pStyle w:val="Heading2"/>
        <w:spacing w:before="280" w:after="160"/>
      </w:pPr>
      <w:r>
        <w:rPr>
          <w:rFonts w:ascii="Arial" w:cs="Arial" w:eastAsia="Arial" w:hAnsi="Arial"/>
          <w:b/>
          <w:bCs/>
          <w:color w:val="2C3E50"/>
          <w:sz w:val="28"/>
          <w:szCs w:val="28"/>
        </w:rPr>
        <w:t xml:space="preserve">3.2 Skills System</w:t>
      </w:r>
    </w:p>
    <w:p>
      <w:pPr>
        <w:spacing w:after="160" w:before="0" w:line="276"/>
      </w:pPr>
      <w:r>
        <w:rPr>
          <w:rFonts w:ascii="Arial" w:cs="Arial" w:eastAsia="Arial" w:hAnsi="Arial"/>
          <w:color w:val="2C3E50"/>
          <w:sz w:val="22"/>
          <w:szCs w:val="22"/>
        </w:rPr>
        <w:t xml:space="preserve">Skills are modular integrations that connect to external tools. Each skill is a directory containing:</w:t>
      </w:r>
    </w:p>
    <w:p>
      <w:pPr>
        <w:pStyle w:val="ListParagraph"/>
        <w:numPr>
          <w:ilvl w:val="0"/>
          <w:numId w:val="2"/>
        </w:numPr>
        <w:spacing w:after="80"/>
      </w:pPr>
      <w:r>
        <w:rPr>
          <w:rFonts w:ascii="Courier New" w:cs="Courier New" w:eastAsia="Courier New" w:hAnsi="Courier New"/>
          <w:b/>
          <w:bCs/>
          <w:color w:val="2C3E50"/>
          <w:sz w:val="20"/>
          <w:szCs w:val="20"/>
        </w:rPr>
        <w:t xml:space="preserve">skill.yaml</w:t>
      </w:r>
      <w:r>
        <w:rPr>
          <w:rFonts w:ascii="Arial" w:cs="Arial" w:eastAsia="Arial" w:hAnsi="Arial"/>
          <w:color w:val="2C3E50"/>
          <w:sz w:val="22"/>
          <w:szCs w:val="22"/>
        </w:rPr>
        <w:t xml:space="preserve"> — metadata, trigger phrases, parameter definitions</w:t>
      </w:r>
    </w:p>
    <w:p>
      <w:pPr>
        <w:pStyle w:val="ListParagraph"/>
        <w:numPr>
          <w:ilvl w:val="0"/>
          <w:numId w:val="2"/>
        </w:numPr>
        <w:spacing w:after="80"/>
      </w:pPr>
      <w:r>
        <w:rPr>
          <w:rFonts w:ascii="Courier New" w:cs="Courier New" w:eastAsia="Courier New" w:hAnsi="Courier New"/>
          <w:b/>
          <w:bCs/>
          <w:color w:val="2C3E50"/>
          <w:sz w:val="20"/>
          <w:szCs w:val="20"/>
        </w:rPr>
        <w:t xml:space="preserve">worker.py</w:t>
      </w:r>
      <w:r>
        <w:rPr>
          <w:rFonts w:ascii="Arial" w:cs="Arial" w:eastAsia="Arial" w:hAnsi="Arial"/>
          <w:color w:val="2C3E50"/>
          <w:sz w:val="22"/>
          <w:szCs w:val="22"/>
        </w:rPr>
        <w:t xml:space="preserve"> — async execute() function that calls external APIs</w:t>
      </w:r>
    </w:p>
    <w:p>
      <w:pPr>
        <w:spacing w:after="160" w:before="0" w:line="276"/>
      </w:pPr>
      <w:r>
        <w:rPr>
          <w:rFonts w:ascii="Arial" w:cs="Arial" w:eastAsia="Arial" w:hAnsi="Arial"/>
          <w:color w:val="2C3E50"/>
          <w:sz w:val="22"/>
          <w:szCs w:val="22"/>
        </w:rPr>
        <w:t xml:space="preserve">Current skills: sprint_status (Jira), release_notes (Jira), ping (health check). The SkillRegistry loads skills at startup and provides tool definitions for Claude.</w:t>
      </w:r>
    </w:p>
    <w:p>
      <w:pPr>
        <w:pStyle w:val="Heading2"/>
        <w:spacing w:before="280" w:after="160"/>
      </w:pPr>
      <w:r>
        <w:rPr>
          <w:rFonts w:ascii="Arial" w:cs="Arial" w:eastAsia="Arial" w:hAnsi="Arial"/>
          <w:b/>
          <w:bCs/>
          <w:color w:val="2C3E50"/>
          <w:sz w:val="28"/>
          <w:szCs w:val="28"/>
        </w:rPr>
        <w:t xml:space="preserve">3.3 Interfaces</w:t>
      </w:r>
    </w:p>
    <w:p>
      <w:pPr>
        <w:spacing w:after="160" w:before="0" w:line="276"/>
      </w:pPr>
      <w:r>
        <w:rPr>
          <w:rFonts w:ascii="Arial" w:cs="Arial" w:eastAsia="Arial" w:hAnsi="Arial"/>
          <w:color w:val="2C3E50"/>
          <w:sz w:val="22"/>
          <w:szCs w:val="22"/>
        </w:rPr>
        <w:t xml:space="preserve">Abstract base classes define the contracts between the core engine and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Local Adapter</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AWS Adapter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AIProvider</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Anthropic direct API</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Bedrock Converse API</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ConversationStore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SQLite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DynamoDB</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TenantStore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SQLite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DynamoDB (single-table)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SecretsProvider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.env file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Secrets Manager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EventBus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DirectBus (sync)</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DirectBus (future: EventBridge)</w:t>
            </w:r>
          </w:p>
        </w:tc>
      </w:tr>
    </w:tbl>
    <w:p>
      <w:r>
        <w:br w:type="page"/>
      </w:r>
    </w:p>
    <w:p>
      <w:pPr>
        <w:pStyle w:val="Heading1"/>
        <w:spacing w:before="360" w:after="200"/>
      </w:pPr>
      <w:r>
        <w:rPr>
          <w:rFonts w:ascii="Arial" w:cs="Arial" w:eastAsia="Arial" w:hAnsi="Arial"/>
          <w:b/>
          <w:bCs/>
          <w:color w:val="1B4F72"/>
          <w:sz w:val="36"/>
          <w:szCs w:val="36"/>
        </w:rPr>
        <w:t xml:space="preserve">4. Authentication &amp; Multi-Tenancy</w:t>
      </w:r>
    </w:p>
    <w:p>
      <w:pPr>
        <w:pStyle w:val="Heading2"/>
        <w:spacing w:before="280" w:after="160"/>
      </w:pPr>
      <w:r>
        <w:rPr>
          <w:rFonts w:ascii="Arial" w:cs="Arial" w:eastAsia="Arial" w:hAnsi="Arial"/>
          <w:b/>
          <w:bCs/>
          <w:color w:val="2C3E50"/>
          <w:sz w:val="28"/>
          <w:szCs w:val="28"/>
        </w:rPr>
        <w:t xml:space="preserve">4.1 Authentication Flow</w:t>
      </w:r>
    </w:p>
    <w:p>
      <w:pPr>
        <w:spacing w:after="160" w:before="0" w:line="276"/>
      </w:pPr>
      <w:r>
        <w:rPr>
          <w:rFonts w:ascii="Arial" w:cs="Arial" w:eastAsia="Arial" w:hAnsi="Arial"/>
          <w:color w:val="2C3E50"/>
          <w:sz w:val="22"/>
          <w:szCs w:val="22"/>
        </w:rPr>
        <w:t xml:space="preserve">Authentication uses AWS Cognito with PKCE OAuth 2.0. The flow works as follows:</w:t>
      </w:r>
    </w:p>
    <w:p>
      <w:pPr>
        <w:pStyle w:val="ListParagraph"/>
        <w:numPr>
          <w:ilvl w:val="0"/>
          <w:numId w:val="2"/>
        </w:numPr>
        <w:spacing w:after="80"/>
      </w:pPr>
      <w:r>
        <w:rPr>
          <w:rFonts w:ascii="Arial" w:cs="Arial" w:eastAsia="Arial" w:hAnsi="Arial"/>
          <w:color w:val="2C3E50"/>
          <w:sz w:val="22"/>
          <w:szCs w:val="22"/>
        </w:rPr>
        <w:t xml:space="preserve">User visits /login → frontend redirects to Cognito Hosted UI</w:t>
      </w:r>
    </w:p>
    <w:p>
      <w:pPr>
        <w:pStyle w:val="ListParagraph"/>
        <w:numPr>
          <w:ilvl w:val="0"/>
          <w:numId w:val="2"/>
        </w:numPr>
        <w:spacing w:after="80"/>
      </w:pPr>
      <w:r>
        <w:rPr>
          <w:rFonts w:ascii="Arial" w:cs="Arial" w:eastAsia="Arial" w:hAnsi="Arial"/>
          <w:color w:val="2C3E50"/>
          <w:sz w:val="22"/>
          <w:szCs w:val="22"/>
        </w:rPr>
        <w:t xml:space="preserve">User authenticates (email/password or social) → Cognito returns authorization code</w:t>
      </w:r>
    </w:p>
    <w:p>
      <w:pPr>
        <w:pStyle w:val="ListParagraph"/>
        <w:numPr>
          <w:ilvl w:val="0"/>
          <w:numId w:val="2"/>
        </w:numPr>
        <w:spacing w:after="80"/>
      </w:pPr>
      <w:r>
        <w:rPr>
          <w:rFonts w:ascii="Arial" w:cs="Arial" w:eastAsia="Arial" w:hAnsi="Arial"/>
          <w:color w:val="2C3E50"/>
          <w:sz w:val="22"/>
          <w:szCs w:val="22"/>
        </w:rPr>
        <w:t xml:space="preserve">Frontend exchanges code for tokens at /callback → stores id_token in localStorage</w:t>
      </w:r>
    </w:p>
    <w:p>
      <w:pPr>
        <w:pStyle w:val="ListParagraph"/>
        <w:numPr>
          <w:ilvl w:val="0"/>
          <w:numId w:val="2"/>
        </w:numPr>
        <w:spacing w:after="80"/>
      </w:pPr>
      <w:r>
        <w:rPr>
          <w:rFonts w:ascii="Arial" w:cs="Arial" w:eastAsia="Arial" w:hAnsi="Arial"/>
          <w:color w:val="2C3E50"/>
          <w:sz w:val="22"/>
          <w:szCs w:val="22"/>
        </w:rPr>
        <w:t xml:space="preserve">All API requests include Authorization: Bearer {id_token}</w:t>
      </w:r>
    </w:p>
    <w:p>
      <w:pPr>
        <w:pStyle w:val="ListParagraph"/>
        <w:numPr>
          <w:ilvl w:val="0"/>
          <w:numId w:val="2"/>
        </w:numPr>
        <w:spacing w:after="80"/>
      </w:pPr>
      <w:r>
        <w:rPr>
          <w:rFonts w:ascii="Arial" w:cs="Arial" w:eastAsia="Arial" w:hAnsi="Arial"/>
          <w:color w:val="2C3E50"/>
          <w:sz w:val="22"/>
          <w:szCs w:val="22"/>
        </w:rPr>
        <w:t xml:space="preserve">API Gateway JWT authorizer validates token signature and expiry on the $default route</w:t>
      </w:r>
    </w:p>
    <w:p>
      <w:pPr>
        <w:pStyle w:val="ListParagraph"/>
        <w:numPr>
          <w:ilvl w:val="0"/>
          <w:numId w:val="2"/>
        </w:numPr>
        <w:spacing w:after="80"/>
      </w:pPr>
      <w:r>
        <w:rPr>
          <w:rFonts w:ascii="Arial" w:cs="Arial" w:eastAsia="Arial" w:hAnsi="Arial"/>
          <w:color w:val="2C3E50"/>
          <w:sz w:val="22"/>
          <w:szCs w:val="22"/>
        </w:rPr>
        <w:t xml:space="preserve">Server-side middleware extracts sub, email, and custom:tenant_id from JWT payload</w:t>
      </w:r>
    </w:p>
    <w:p>
      <w:pPr>
        <w:pStyle w:val="Heading2"/>
        <w:spacing w:before="280" w:after="160"/>
      </w:pPr>
      <w:r>
        <w:rPr>
          <w:rFonts w:ascii="Arial" w:cs="Arial" w:eastAsia="Arial" w:hAnsi="Arial"/>
          <w:b/>
          <w:bCs/>
          <w:color w:val="2C3E50"/>
          <w:sz w:val="28"/>
          <w:szCs w:val="28"/>
        </w:rPr>
        <w:t xml:space="preserve">4.2 User-Tenant Resolution (DynamoDB Fallback)</w:t>
      </w:r>
    </w:p>
    <w:p>
      <w:pPr>
        <w:spacing w:after="160" w:before="0" w:line="276"/>
      </w:pPr>
      <w:r>
        <w:rPr>
          <w:rFonts w:ascii="Arial" w:cs="Arial" w:eastAsia="Arial" w:hAnsi="Arial"/>
          <w:color w:val="2C3E50"/>
          <w:sz w:val="22"/>
          <w:szCs w:val="22"/>
        </w:rPr>
        <w:t xml:space="preserve">This is the most recently implemented architecture change. </w:t>
      </w:r>
      <w:r>
        <w:rPr>
          <w:rFonts w:ascii="Arial" w:cs="Arial" w:eastAsia="Arial" w:hAnsi="Arial"/>
          <w:b/>
          <w:bCs/>
          <w:color w:val="2C3E50"/>
          <w:sz w:val="22"/>
          <w:szCs w:val="22"/>
        </w:rPr>
        <w:t xml:space="preserve">The system uses a two-tier resolution strategy </w:t>
      </w:r>
      <w:r>
        <w:rPr>
          <w:rFonts w:ascii="Arial" w:cs="Arial" w:eastAsia="Arial" w:hAnsi="Arial"/>
          <w:color w:val="2C3E50"/>
          <w:sz w:val="22"/>
          <w:szCs w:val="22"/>
        </w:rPr>
        <w:t xml:space="preserve">to determine which tenant a user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30"/>
        <w:gridCol w:w="293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1</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JWT custom:tenant_id</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Token has tenant claim (most users)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Fast path — no DB call</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2</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DynamoDB cognito-sub GSI</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JWT lacks tenant_id (new users, stale tokens)</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GSI query by COGNITO#{sub}</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3</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Default tenant / onboarding</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not found in DB</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Redirect to onboarding wizard</w:t>
            </w:r>
          </w:p>
        </w:tc>
      </w:tr>
    </w:tbl>
    <w:p>
      <w:pPr>
        <w:spacing w:after="160" w:before="120" w:line="276"/>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Cognito’s custom:tenant_id is set after onboarding, but the JWT only reflects it after re-login. New users and users with stale tokens would lose their email identity without the DynamoDB fallback. The cognito-sub-lookup GSI enables cross-tenant user resolution by Cognito sub (always present in the JWT).</w:t>
      </w:r>
    </w:p>
    <w:p>
      <w:pPr>
        <w:pStyle w:val="Heading2"/>
        <w:spacing w:before="280" w:after="160"/>
      </w:pPr>
      <w:r>
        <w:rPr>
          <w:rFonts w:ascii="Arial" w:cs="Arial" w:eastAsia="Arial" w:hAnsi="Arial"/>
          <w:b/>
          <w:bCs/>
          <w:color w:val="2C3E50"/>
          <w:sz w:val="28"/>
          <w:szCs w:val="28"/>
        </w:rPr>
        <w:t xml:space="preserve">4.3 Tenant Isolation</w:t>
      </w:r>
    </w:p>
    <w:p>
      <w:pPr>
        <w:spacing w:after="160" w:before="0" w:line="276"/>
      </w:pPr>
      <w:r>
        <w:rPr>
          <w:rFonts w:ascii="Arial" w:cs="Arial" w:eastAsia="Arial" w:hAnsi="Arial"/>
          <w:color w:val="2C3E50"/>
          <w:sz w:val="22"/>
          <w:szCs w:val="22"/>
        </w:rPr>
        <w:t xml:space="preserve">Data isolation is enforced at every layer:</w:t>
      </w:r>
    </w:p>
    <w:p>
      <w:pPr>
        <w:pStyle w:val="ListParagraph"/>
        <w:numPr>
          <w:ilvl w:val="0"/>
          <w:numId w:val="2"/>
        </w:numPr>
        <w:spacing w:after="80"/>
      </w:pPr>
      <w:r>
        <w:rPr>
          <w:rFonts w:ascii="Arial" w:cs="Arial" w:eastAsia="Arial" w:hAnsi="Arial"/>
          <w:b/>
          <w:bCs/>
          <w:color w:val="2C3E50"/>
          <w:sz w:val="22"/>
          <w:szCs w:val="22"/>
        </w:rPr>
        <w:t xml:space="preserve">DynamoDB: </w:t>
      </w:r>
      <w:r>
        <w:rPr>
          <w:rFonts w:ascii="Arial" w:cs="Arial" w:eastAsia="Arial" w:hAnsi="Arial"/>
          <w:color w:val="2C3E50"/>
          <w:sz w:val="22"/>
          <w:szCs w:val="22"/>
        </w:rPr>
        <w:t xml:space="preserve">All keys are prefixed with TENANT#{tenant_id}. Users, settings, and channel mappings are partition-scoped.</w:t>
      </w:r>
    </w:p>
    <w:p>
      <w:pPr>
        <w:pStyle w:val="ListParagraph"/>
        <w:numPr>
          <w:ilvl w:val="0"/>
          <w:numId w:val="2"/>
        </w:numPr>
        <w:spacing w:after="80"/>
      </w:pPr>
      <w:r>
        <w:rPr>
          <w:rFonts w:ascii="Arial" w:cs="Arial" w:eastAsia="Arial" w:hAnsi="Arial"/>
          <w:b/>
          <w:bCs/>
          <w:color w:val="2C3E50"/>
          <w:sz w:val="22"/>
          <w:szCs w:val="22"/>
        </w:rPr>
        <w:t xml:space="preserve">Secrets Manager: </w:t>
      </w:r>
      <w:r>
        <w:rPr>
          <w:rFonts w:ascii="Arial" w:cs="Arial" w:eastAsia="Arial" w:hAnsi="Arial"/>
          <w:color w:val="2C3E50"/>
          <w:sz w:val="22"/>
          <w:szCs w:val="22"/>
        </w:rPr>
        <w:t xml:space="preserve">Path-based isolation: /{project}/{env}/tenants/{tenant_id}/{integration}. IAM policy scopes access by path.</w:t>
      </w:r>
    </w:p>
    <w:p>
      <w:pPr>
        <w:pStyle w:val="ListParagraph"/>
        <w:numPr>
          <w:ilvl w:val="0"/>
          <w:numId w:val="2"/>
        </w:numPr>
        <w:spacing w:after="80"/>
      </w:pPr>
      <w:r>
        <w:rPr>
          <w:rFonts w:ascii="Arial" w:cs="Arial" w:eastAsia="Arial" w:hAnsi="Arial"/>
          <w:b/>
          <w:bCs/>
          <w:color w:val="2C3E50"/>
          <w:sz w:val="22"/>
          <w:szCs w:val="22"/>
        </w:rPr>
        <w:t xml:space="preserve">Conversations: </w:t>
      </w:r>
      <w:r>
        <w:rPr>
          <w:rFonts w:ascii="Arial" w:cs="Arial" w:eastAsia="Arial" w:hAnsi="Arial"/>
          <w:color w:val="2C3E50"/>
          <w:sz w:val="22"/>
          <w:szCs w:val="22"/>
        </w:rPr>
        <w:t xml:space="preserve">Conversation keys include tenant_id as the partition key. No cross-tenant data leakage is possible.</w:t>
      </w:r>
    </w:p>
    <w:p>
      <w:pPr>
        <w:pStyle w:val="ListParagraph"/>
        <w:numPr>
          <w:ilvl w:val="0"/>
          <w:numId w:val="2"/>
        </w:numPr>
        <w:spacing w:after="80"/>
      </w:pPr>
      <w:r>
        <w:rPr>
          <w:rFonts w:ascii="Arial" w:cs="Arial" w:eastAsia="Arial" w:hAnsi="Arial"/>
          <w:b/>
          <w:bCs/>
          <w:color w:val="2C3E50"/>
          <w:sz w:val="22"/>
          <w:szCs w:val="22"/>
        </w:rPr>
        <w:t xml:space="preserve">API Gateway: </w:t>
      </w:r>
      <w:r>
        <w:rPr>
          <w:rFonts w:ascii="Arial" w:cs="Arial" w:eastAsia="Arial" w:hAnsi="Arial"/>
          <w:color w:val="2C3E50"/>
          <w:sz w:val="22"/>
          <w:szCs w:val="22"/>
        </w:rPr>
        <w:t xml:space="preserve">JWT authorizer on the $default catch-all route. Public routes (login, onboard, auth config) bypass auth for the bootstrap flow.</w:t>
      </w:r>
    </w:p>
    <w:p>
      <w:pPr>
        <w:pStyle w:val="Heading1"/>
        <w:spacing w:before="360" w:after="200"/>
      </w:pPr>
      <w:r>
        <w:rPr>
          <w:rFonts w:ascii="Arial" w:cs="Arial" w:eastAsia="Arial" w:hAnsi="Arial"/>
          <w:b/>
          <w:bCs/>
          <w:color w:val="1B4F72"/>
          <w:sz w:val="36"/>
          <w:szCs w:val="36"/>
        </w:rPr>
        <w:t xml:space="preserve">5. Data Architecture</w:t>
      </w:r>
    </w:p>
    <w:p>
      <w:pPr>
        <w:pStyle w:val="Heading2"/>
        <w:spacing w:before="280" w:after="160"/>
      </w:pPr>
      <w:r>
        <w:rPr>
          <w:rFonts w:ascii="Arial" w:cs="Arial" w:eastAsia="Arial" w:hAnsi="Arial"/>
          <w:b/>
          <w:bCs/>
          <w:color w:val="2C3E50"/>
          <w:sz w:val="28"/>
          <w:szCs w:val="28"/>
        </w:rPr>
        <w:t xml:space="preserve">5.1 DynamoDB Schema (Single-Table Design)</w:t>
      </w:r>
    </w:p>
    <w:p>
      <w:pPr>
        <w:spacing w:after="160" w:before="0" w:line="276"/>
      </w:pPr>
      <w:r>
        <w:rPr>
          <w:rFonts w:ascii="Arial" w:cs="Arial" w:eastAsia="Arial" w:hAnsi="Arial"/>
          <w:color w:val="2C3E50"/>
          <w:sz w:val="22"/>
          <w:szCs w:val="22"/>
        </w:rPr>
        <w:t xml:space="preserve">T3nets uses two DynamoDB tables with PAY_PER_REQUEST billing:</w:t>
      </w:r>
    </w:p>
    <w:p>
      <w:pPr>
        <w:pStyle w:val="Heading3"/>
        <w:spacing w:before="200" w:after="120"/>
      </w:pPr>
      <w:r>
        <w:rPr>
          <w:rFonts w:ascii="Arial" w:cs="Arial" w:eastAsia="Arial" w:hAnsi="Arial"/>
          <w:b/>
          <w:bCs/>
          <w:color w:val="5D6D7E"/>
          <w:sz w:val="24"/>
          <w:szCs w:val="24"/>
        </w:rPr>
        <w:t xml:space="preserve">Tenants Table</w:t>
      </w:r>
    </w:p>
    <w:p>
      <w:pPr>
        <w:spacing w:after="160" w:before="0" w:line="276"/>
      </w:pPr>
      <w:r>
        <w:rPr>
          <w:rFonts w:ascii="Arial" w:cs="Arial" w:eastAsia="Arial" w:hAnsi="Arial"/>
          <w:color w:val="2C3E50"/>
          <w:sz w:val="22"/>
          <w:szCs w:val="22"/>
        </w:rPr>
        <w:t xml:space="preserve">Single-table design storing tenants, users, and channel mappings. Uses item-type prefixes in sort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 Type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2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SK</w:t>
            </w:r>
          </w:p>
        </w:tc>
        <w:tc>
          <w:tcPr>
            <w:tcW w:type="dxa" w:w="2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GSI Keys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Tenant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TENANT#{id}</w:t>
            </w:r>
          </w:p>
        </w:tc>
        <w:tc>
          <w:tcPr>
            <w:tcW w:type="dxa" w:w="2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META</w:t>
            </w:r>
          </w:p>
        </w:tc>
        <w:tc>
          <w:tcPr>
            <w:tcW w:type="dxa" w:w="2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User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TENANT#{id}</w:t>
            </w:r>
          </w:p>
        </w:tc>
        <w:tc>
          <w:tcPr>
            <w:tcW w:type="dxa" w:w="2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USER#{user_id}</w:t>
            </w:r>
          </w:p>
        </w:tc>
        <w:tc>
          <w:tcPr>
            <w:tcW w:type="dxa" w:w="2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gsi2pk: COGNITO#{sub}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Channel Map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TENANT#{id}</w:t>
            </w:r>
          </w:p>
        </w:tc>
        <w:tc>
          <w:tcPr>
            <w:tcW w:type="dxa" w:w="2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CHANNEL#{type}#{id}</w:t>
            </w:r>
          </w:p>
        </w:tc>
        <w:tc>
          <w:tcPr>
            <w:tcW w:type="dxa" w:w="2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gsi1pk: CHANNEL#{type}#{id}</w:t>
            </w:r>
          </w:p>
        </w:tc>
      </w:tr>
    </w:tbl>
    <w:p>
      <w:pPr>
        <w:pStyle w:val="Heading3"/>
        <w:spacing w:before="200" w:after="120"/>
      </w:pPr>
      <w:r>
        <w:rPr>
          <w:rFonts w:ascii="Arial" w:cs="Arial" w:eastAsia="Arial" w:hAnsi="Arial"/>
          <w:b/>
          <w:bCs/>
          <w:color w:val="5D6D7E"/>
          <w:sz w:val="24"/>
          <w:szCs w:val="24"/>
        </w:rPr>
        <w:t xml:space="preserve">Global Secondary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GSI Name</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channel-mapping</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gsi1pk = CHANNEL#{type}#{id}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Resolve tenant from webhook payloads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cognito-sub-lookup</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gsi2pk = COGNITO#{sub}</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Resolve user/tenant when JWT lacks tenant_id</w:t>
            </w:r>
          </w:p>
        </w:tc>
      </w:tr>
    </w:tbl>
    <w:p>
      <w:pPr>
        <w:pStyle w:val="Heading3"/>
        <w:spacing w:before="200" w:after="120"/>
      </w:pPr>
      <w:r>
        <w:rPr>
          <w:rFonts w:ascii="Arial" w:cs="Arial" w:eastAsia="Arial" w:hAnsi="Arial"/>
          <w:b/>
          <w:bCs/>
          <w:color w:val="5D6D7E"/>
          <w:sz w:val="24"/>
          <w:szCs w:val="24"/>
        </w:rPr>
        <w:t xml:space="preserve">Conversations Table</w:t>
      </w:r>
    </w:p>
    <w:p>
      <w:pPr>
        <w:spacing w:after="160" w:before="0" w:line="276"/>
      </w:pPr>
      <w:r>
        <w:rPr>
          <w:rFonts w:ascii="Arial" w:cs="Arial" w:eastAsia="Arial" w:hAnsi="Arial"/>
          <w:color w:val="2C3E50"/>
          <w:sz w:val="22"/>
          <w:szCs w:val="22"/>
        </w:rPr>
        <w:t xml:space="preserve">Stores chat history with 30-day TTL auto-expiry. Keys: PK = {tenant_id}, SK = {conversation_id}. Messages stored as a JSON array with optional metadata (route type, model, token count, user email).</w:t>
      </w:r>
    </w:p>
    <w:p>
      <w:pPr>
        <w:pStyle w:val="Heading2"/>
        <w:spacing w:before="280" w:after="160"/>
      </w:pPr>
      <w:r>
        <w:rPr>
          <w:rFonts w:ascii="Arial" w:cs="Arial" w:eastAsia="Arial" w:hAnsi="Arial"/>
          <w:b/>
          <w:bCs/>
          <w:color w:val="2C3E50"/>
          <w:sz w:val="28"/>
          <w:szCs w:val="28"/>
        </w:rPr>
        <w:t xml:space="preserve">5.2 User Model</w:t>
      </w:r>
    </w:p>
    <w:p>
      <w:pPr>
        <w:spacing w:after="160" w:before="0" w:line="276"/>
      </w:pPr>
      <w:r>
        <w:rPr>
          <w:rFonts w:ascii="Arial" w:cs="Arial" w:eastAsia="Arial" w:hAnsi="Arial"/>
          <w:color w:val="2C3E50"/>
          <w:sz w:val="22"/>
          <w:szCs w:val="22"/>
        </w:rPr>
        <w:t xml:space="preserve">The TenantUser model captures identity across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user_id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Unique within tenant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tenant_id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Owning tenant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email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email (from Cognito)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cognito_sub</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Cognito subject ID — enables cross-tenant lookup via GSI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admin or member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last_login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ISO 8601 timestamp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channel_identities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JSON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{"teams": "aad-id", "slack": "U12345"}</w:t>
            </w:r>
          </w:p>
        </w:tc>
      </w:tr>
    </w:tbl>
    <w:p>
      <w:r>
        <w:br w:type="page"/>
      </w:r>
    </w:p>
    <w:p>
      <w:pPr>
        <w:pStyle w:val="Heading1"/>
        <w:spacing w:before="360" w:after="200"/>
      </w:pPr>
      <w:r>
        <w:rPr>
          <w:rFonts w:ascii="Arial" w:cs="Arial" w:eastAsia="Arial" w:hAnsi="Arial"/>
          <w:b/>
          <w:bCs/>
          <w:color w:val="1B4F72"/>
          <w:sz w:val="36"/>
          <w:szCs w:val="36"/>
        </w:rPr>
        <w:t xml:space="preserve">6. AWS Infrastructure</w:t>
      </w:r>
    </w:p>
    <w:p>
      <w:pPr>
        <w:pStyle w:val="Heading2"/>
        <w:spacing w:before="280" w:after="160"/>
      </w:pPr>
      <w:r>
        <w:rPr>
          <w:rFonts w:ascii="Arial" w:cs="Arial" w:eastAsia="Arial" w:hAnsi="Arial"/>
          <w:b/>
          <w:bCs/>
          <w:color w:val="2C3E50"/>
          <w:sz w:val="28"/>
          <w:szCs w:val="28"/>
        </w:rPr>
        <w:t xml:space="preserve">6.1 Deployment Architecture</w:t>
      </w:r>
    </w:p>
    <w:p>
      <w:pPr>
        <w:spacing w:after="160" w:before="0" w:line="276"/>
      </w:pPr>
      <w:r>
        <w:rPr>
          <w:rFonts w:ascii="Arial" w:cs="Arial" w:eastAsia="Arial" w:hAnsi="Arial"/>
          <w:color w:val="2C3E50"/>
          <w:sz w:val="22"/>
          <w:szCs w:val="22"/>
        </w:rPr>
        <w:t xml:space="preserve">The AWS deployment uses a fully Terraform-managed stack:</w:t>
      </w:r>
    </w:p>
    <w:p>
      <w:pPr>
        <w:spacing w:after="80" w:before="80"/>
        <w:ind w:left="360"/>
      </w:pPr>
      <w:r>
        <w:rPr>
          <w:rFonts w:ascii="Courier New" w:cs="Courier New" w:eastAsia="Courier New" w:hAnsi="Courier New"/>
          <w:color w:val="2C3E50"/>
          <w:sz w:val="18"/>
          <w:szCs w:val="18"/>
        </w:rPr>
        <w:t xml:space="preserve">Internet → API Gateway (HTTP v2, JWT auth) → VPC Link → ALB (internal)</w:t>
      </w:r>
    </w:p>
    <w:p>
      <w:pPr>
        <w:spacing w:after="80" w:before="80"/>
        <w:ind w:left="360"/>
      </w:pPr>
      <w:r>
        <w:rPr>
          <w:rFonts w:ascii="Courier New" w:cs="Courier New" w:eastAsia="Courier New" w:hAnsi="Courier New"/>
          <w:color w:val="2C3E50"/>
          <w:sz w:val="18"/>
          <w:szCs w:val="18"/>
        </w:rPr>
        <w:t xml:space="preserve">  → ECS Fargate (0.25 vCPU, 512MB) → DynamoDB + Secrets Manager + Bedrock</w:t>
      </w:r>
    </w:p>
    <w:p>
      <w:pPr>
        <w:pStyle w:val="Heading2"/>
        <w:spacing w:before="280" w:after="160"/>
      </w:pPr>
      <w:r>
        <w:rPr>
          <w:rFonts w:ascii="Arial" w:cs="Arial" w:eastAsia="Arial" w:hAnsi="Arial"/>
          <w:b/>
          <w:bCs/>
          <w:color w:val="2C3E50"/>
          <w:sz w:val="28"/>
          <w:szCs w:val="28"/>
        </w:rPr>
        <w:t xml:space="preserve">6.2 Terraform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28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c>
          <w:tcPr>
            <w:tcW w:type="dxa" w:w="2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networking</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VPC, 2 public + 2 private subnets, NAT Gateway, IGW</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~$32 (NAT)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data</w:t>
            </w:r>
          </w:p>
        </w:tc>
        <w:tc>
          <w:tcPr>
            <w:tcW w:type="dxa" w:w="4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DynamoDB tables (tenants + conversations), 2 GSIs</w:t>
            </w:r>
          </w:p>
        </w:tc>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~$1–2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compute</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ECS Fargate cluster, task definition, internal ALB, IAM roles</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~$5–10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api</w:t>
            </w:r>
          </w:p>
        </w:tc>
        <w:tc>
          <w:tcPr>
            <w:tcW w:type="dxa" w:w="4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API Gateway HTTP v2, JWT authorizer, public/private routes</w:t>
            </w:r>
          </w:p>
        </w:tc>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~$1–2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secrets</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Secrets Manager with path-based per-tenant isolation</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~$0.50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ecr</w:t>
            </w:r>
          </w:p>
        </w:tc>
        <w:tc>
          <w:tcPr>
            <w:tcW w:type="dxa" w:w="4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Container registry with lifecycle (keep last 10 images)</w:t>
            </w:r>
          </w:p>
        </w:tc>
        <w:tc>
          <w:tcPr>
            <w:tcW w:type="dxa" w:w="2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~$0.50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cognito</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pool, app client, custom:tenant_id attribute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Free tier</w:t>
            </w:r>
          </w:p>
        </w:tc>
      </w:tr>
    </w:tbl>
    <w:p>
      <w:pPr>
        <w:spacing w:after="160" w:before="120" w:line="276"/>
      </w:pPr>
      <w:r>
        <w:rPr>
          <w:rFonts w:ascii="Arial" w:cs="Arial" w:eastAsia="Arial" w:hAnsi="Arial"/>
          <w:b/>
          <w:bCs/>
          <w:color w:val="2C3E50"/>
          <w:sz w:val="22"/>
          <w:szCs w:val="22"/>
        </w:rPr>
        <w:t xml:space="preserve">Total dev environment cost: ~$35–50/month </w:t>
      </w:r>
      <w:r>
        <w:rPr>
          <w:rFonts w:ascii="Arial" w:cs="Arial" w:eastAsia="Arial" w:hAnsi="Arial"/>
          <w:color w:val="2C3E50"/>
          <w:sz w:val="22"/>
          <w:szCs w:val="22"/>
        </w:rPr>
        <w:t xml:space="preserve">(excluding Bedrock usage, which is ~$10–50 depending on volume).</w:t>
      </w:r>
    </w:p>
    <w:p>
      <w:pPr>
        <w:pStyle w:val="Heading2"/>
        <w:spacing w:before="280" w:after="160"/>
      </w:pPr>
      <w:r>
        <w:rPr>
          <w:rFonts w:ascii="Arial" w:cs="Arial" w:eastAsia="Arial" w:hAnsi="Arial"/>
          <w:b/>
          <w:bCs/>
          <w:color w:val="2C3E50"/>
          <w:sz w:val="28"/>
          <w:szCs w:val="28"/>
        </w:rPr>
        <w:t xml:space="preserve">6.3 API Gateway Route Strategy</w:t>
      </w:r>
    </w:p>
    <w:p>
      <w:pPr>
        <w:spacing w:after="160" w:before="0" w:line="276"/>
      </w:pPr>
      <w:r>
        <w:rPr>
          <w:rFonts w:ascii="Arial" w:cs="Arial" w:eastAsia="Arial" w:hAnsi="Arial"/>
          <w:color w:val="2C3E50"/>
          <w:sz w:val="22"/>
          <w:szCs w:val="22"/>
        </w:rPr>
        <w:t xml:space="preserve">The API Gateway uses a $default catch-all with JWT authorizer for all data endpoints. Specific public routes bypass auth for the bootstrap/onboarding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$default (catch-all)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JWT Required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 API data endpoints</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GET /, /chat, /login, /settings, /onboard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Public</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UI pages (must load for JS to check tokens)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GET /api/auth/config, /api/auth/me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Public</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Cognito config + current user info</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POST /api/admin/tenants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Public</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Tenant creation during onboarding</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 /api/auth/assign-tenant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Public</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Set Cognito tenant_id post-onboarding</w:t>
            </w:r>
          </w:p>
        </w:tc>
      </w:tr>
    </w:tbl>
    <w:p>
      <w:pPr>
        <w:pStyle w:val="Heading1"/>
        <w:spacing w:before="360" w:after="200"/>
      </w:pPr>
      <w:r>
        <w:rPr>
          <w:rFonts w:ascii="Arial" w:cs="Arial" w:eastAsia="Arial" w:hAnsi="Arial"/>
          <w:b/>
          <w:bCs/>
          <w:color w:val="1B4F72"/>
          <w:sz w:val="36"/>
          <w:szCs w:val="36"/>
        </w:rPr>
        <w:t xml:space="preserve">7. Onboarding Flow</w:t>
      </w:r>
    </w:p>
    <w:p>
      <w:pPr>
        <w:spacing w:after="160" w:before="0" w:line="276"/>
      </w:pPr>
      <w:r>
        <w:rPr>
          <w:rFonts w:ascii="Arial" w:cs="Arial" w:eastAsia="Arial" w:hAnsi="Arial"/>
          <w:color w:val="2C3E50"/>
          <w:sz w:val="22"/>
          <w:szCs w:val="22"/>
        </w:rPr>
        <w:t xml:space="preserve">New users go through a step-by-step onboarding wizard that creates their tenant, configures integrations, and activates the account:</w:t>
      </w:r>
    </w:p>
    <w:p>
      <w:pPr>
        <w:pStyle w:val="ListParagraph"/>
        <w:numPr>
          <w:ilvl w:val="0"/>
          <w:numId w:val="2"/>
        </w:numPr>
        <w:spacing w:after="80"/>
      </w:pPr>
      <w:r>
        <w:rPr>
          <w:rFonts w:ascii="Arial" w:cs="Arial" w:eastAsia="Arial" w:hAnsi="Arial"/>
          <w:b/>
          <w:bCs/>
          <w:color w:val="2C3E50"/>
          <w:sz w:val="22"/>
          <w:szCs w:val="22"/>
        </w:rPr>
        <w:t xml:space="preserve">Step 1 — Team Setup: </w:t>
      </w:r>
      <w:r>
        <w:rPr>
          <w:rFonts w:ascii="Arial" w:cs="Arial" w:eastAsia="Arial" w:hAnsi="Arial"/>
          <w:color w:val="2C3E50"/>
          <w:sz w:val="22"/>
          <w:szCs w:val="22"/>
        </w:rPr>
        <w:t xml:space="preserve">Enter team name, auto-generate tenant ID, create tenant in DynamoDB with status “onboarding”, create admin user with cognito_sub.</w:t>
      </w:r>
    </w:p>
    <w:p>
      <w:pPr>
        <w:pStyle w:val="ListParagraph"/>
        <w:numPr>
          <w:ilvl w:val="0"/>
          <w:numId w:val="2"/>
        </w:numPr>
        <w:spacing w:after="80"/>
      </w:pPr>
      <w:r>
        <w:rPr>
          <w:rFonts w:ascii="Arial" w:cs="Arial" w:eastAsia="Arial" w:hAnsi="Arial"/>
          <w:b/>
          <w:bCs/>
          <w:color w:val="2C3E50"/>
          <w:sz w:val="22"/>
          <w:szCs w:val="22"/>
        </w:rPr>
        <w:t xml:space="preserve">Step 2 — Jira Integration: </w:t>
      </w:r>
      <w:r>
        <w:rPr>
          <w:rFonts w:ascii="Arial" w:cs="Arial" w:eastAsia="Arial" w:hAnsi="Arial"/>
          <w:color w:val="2C3E50"/>
          <w:sz w:val="22"/>
          <w:szCs w:val="22"/>
        </w:rPr>
        <w:t xml:space="preserve">Enter Jira URL, email, and API token. Test connection via /rest/api/3/myself. Save credentials to Secrets Manager under the new tenant’s path.</w:t>
      </w:r>
    </w:p>
    <w:p>
      <w:pPr>
        <w:pStyle w:val="ListParagraph"/>
        <w:numPr>
          <w:ilvl w:val="0"/>
          <w:numId w:val="2"/>
        </w:numPr>
        <w:spacing w:after="80"/>
      </w:pPr>
      <w:r>
        <w:rPr>
          <w:rFonts w:ascii="Arial" w:cs="Arial" w:eastAsia="Arial" w:hAnsi="Arial"/>
          <w:b/>
          <w:bCs/>
          <w:color w:val="2C3E50"/>
          <w:sz w:val="22"/>
          <w:szCs w:val="22"/>
        </w:rPr>
        <w:t xml:space="preserve">Step 3 — Activate: </w:t>
      </w:r>
      <w:r>
        <w:rPr>
          <w:rFonts w:ascii="Arial" w:cs="Arial" w:eastAsia="Arial" w:hAnsi="Arial"/>
          <w:color w:val="2C3E50"/>
          <w:sz w:val="22"/>
          <w:szCs w:val="22"/>
        </w:rPr>
        <w:t xml:space="preserve">PATCH tenant status from “onboarding” to “active.” Set custom:tenant_id in Cognito via admin API. User redirected to /login for a fresh token with the tenant claim.</w:t>
      </w:r>
    </w:p>
    <w:p>
      <w:pPr>
        <w:pStyle w:val="Heading1"/>
        <w:spacing w:before="360" w:after="200"/>
      </w:pPr>
      <w:r>
        <w:rPr>
          <w:rFonts w:ascii="Arial" w:cs="Arial" w:eastAsia="Arial" w:hAnsi="Arial"/>
          <w:b/>
          <w:bCs/>
          <w:color w:val="1B4F72"/>
          <w:sz w:val="36"/>
          <w:szCs w:val="36"/>
        </w:rPr>
        <w:t xml:space="preserve">8. Repository Structure</w:t>
      </w:r>
    </w:p>
    <w:p>
      <w:pPr>
        <w:spacing w:after="80" w:before="80"/>
        <w:ind w:left="360"/>
      </w:pPr>
      <w:r>
        <w:rPr>
          <w:rFonts w:ascii="Courier New" w:cs="Courier New" w:eastAsia="Courier New" w:hAnsi="Courier New"/>
          <w:color w:val="2C3E50"/>
          <w:sz w:val="18"/>
          <w:szCs w:val="18"/>
        </w:rPr>
        <w:t xml:space="preserve">t3nets/</w:t>
      </w:r>
    </w:p>
    <w:p>
      <w:pPr>
        <w:spacing w:after="80" w:before="80"/>
        <w:ind w:left="360"/>
      </w:pPr>
      <w:r>
        <w:rPr>
          <w:rFonts w:ascii="Courier New" w:cs="Courier New" w:eastAsia="Courier New" w:hAnsi="Courier New"/>
          <w:color w:val="2C3E50"/>
          <w:sz w:val="18"/>
          <w:szCs w:val="18"/>
        </w:rPr>
        <w:t xml:space="preserve">├── agent/                 # Cloud-agnostic core (zero cloud imports)</w:t>
      </w:r>
    </w:p>
    <w:p>
      <w:pPr>
        <w:spacing w:after="80" w:before="80"/>
        <w:ind w:left="360"/>
      </w:pPr>
      <w:r>
        <w:rPr>
          <w:rFonts w:ascii="Courier New" w:cs="Courier New" w:eastAsia="Courier New" w:hAnsi="Courier New"/>
          <w:color w:val="2C3E50"/>
          <w:sz w:val="18"/>
          <w:szCs w:val="18"/>
        </w:rPr>
        <w:t xml:space="preserve">│   ├── router/            # Hybrid routing engine (3 tiers)</w:t>
      </w:r>
    </w:p>
    <w:p>
      <w:pPr>
        <w:spacing w:after="80" w:before="80"/>
        <w:ind w:left="360"/>
      </w:pPr>
      <w:r>
        <w:rPr>
          <w:rFonts w:ascii="Courier New" w:cs="Courier New" w:eastAsia="Courier New" w:hAnsi="Courier New"/>
          <w:color w:val="2C3E50"/>
          <w:sz w:val="18"/>
          <w:szCs w:val="18"/>
        </w:rPr>
        <w:t xml:space="preserve">│   ├── skills/            # Skill definitions (YAML + Python workers)</w:t>
      </w:r>
    </w:p>
    <w:p>
      <w:pPr>
        <w:spacing w:after="80" w:before="80"/>
        <w:ind w:left="360"/>
      </w:pPr>
      <w:r>
        <w:rPr>
          <w:rFonts w:ascii="Courier New" w:cs="Courier New" w:eastAsia="Courier New" w:hAnsi="Courier New"/>
          <w:color w:val="2C3E50"/>
          <w:sz w:val="18"/>
          <w:szCs w:val="18"/>
        </w:rPr>
        <w:t xml:space="preserve">│   ├── interfaces/        # Abstract contracts (TenantStore, AIProvider, etc.)</w:t>
      </w:r>
    </w:p>
    <w:p>
      <w:pPr>
        <w:spacing w:after="80" w:before="80"/>
        <w:ind w:left="360"/>
      </w:pPr>
      <w:r>
        <w:rPr>
          <w:rFonts w:ascii="Courier New" w:cs="Courier New" w:eastAsia="Courier New" w:hAnsi="Courier New"/>
          <w:color w:val="2C3E50"/>
          <w:sz w:val="18"/>
          <w:szCs w:val="18"/>
        </w:rPr>
        <w:t xml:space="preserve">│   ├── models/            # Shared dataclasses (Tenant, TenantUser, etc.)</w:t>
      </w:r>
    </w:p>
    <w:p>
      <w:pPr>
        <w:spacing w:after="80" w:before="80"/>
        <w:ind w:left="360"/>
      </w:pPr>
      <w:r>
        <w:rPr>
          <w:rFonts w:ascii="Courier New" w:cs="Courier New" w:eastAsia="Courier New" w:hAnsi="Courier New"/>
          <w:color w:val="2C3E50"/>
          <w:sz w:val="18"/>
          <w:szCs w:val="18"/>
        </w:rPr>
        <w:t xml:space="preserve">│   ├── channels/          # Channel adapters (dashboard, future: Teams)</w:t>
      </w:r>
    </w:p>
    <w:p>
      <w:pPr>
        <w:spacing w:after="80" w:before="80"/>
        <w:ind w:left="360"/>
      </w:pPr>
      <w:r>
        <w:rPr>
          <w:rFonts w:ascii="Courier New" w:cs="Courier New" w:eastAsia="Courier New" w:hAnsi="Courier New"/>
          <w:color w:val="2C3E50"/>
          <w:sz w:val="18"/>
          <w:szCs w:val="18"/>
        </w:rPr>
        <w:t xml:space="preserve">│   └── memory/            # Conversation history management</w:t>
      </w:r>
    </w:p>
    <w:p>
      <w:pPr>
        <w:spacing w:after="80" w:before="80"/>
        <w:ind w:left="360"/>
      </w:pPr>
      <w:r>
        <w:rPr>
          <w:rFonts w:ascii="Courier New" w:cs="Courier New" w:eastAsia="Courier New" w:hAnsi="Courier New"/>
          <w:color w:val="2C3E50"/>
          <w:sz w:val="18"/>
          <w:szCs w:val="18"/>
        </w:rPr>
        <w:t xml:space="preserve">├── adapters/</w:t>
      </w:r>
    </w:p>
    <w:p>
      <w:pPr>
        <w:spacing w:after="80" w:before="80"/>
        <w:ind w:left="360"/>
      </w:pPr>
      <w:r>
        <w:rPr>
          <w:rFonts w:ascii="Courier New" w:cs="Courier New" w:eastAsia="Courier New" w:hAnsi="Courier New"/>
          <w:color w:val="2C3E50"/>
          <w:sz w:val="18"/>
          <w:szCs w:val="18"/>
        </w:rPr>
        <w:t xml:space="preserve">│   ├── local/             # SQLite, Anthropic API, .env, HTML pages</w:t>
      </w:r>
    </w:p>
    <w:p>
      <w:pPr>
        <w:spacing w:after="80" w:before="80"/>
        <w:ind w:left="360"/>
      </w:pPr>
      <w:r>
        <w:rPr>
          <w:rFonts w:ascii="Courier New" w:cs="Courier New" w:eastAsia="Courier New" w:hAnsi="Courier New"/>
          <w:color w:val="2C3E50"/>
          <w:sz w:val="18"/>
          <w:szCs w:val="18"/>
        </w:rPr>
        <w:t xml:space="preserve">│   └── aws/               # DynamoDB, Bedrock, Secrets Manager, Cognito</w:t>
      </w:r>
    </w:p>
    <w:p>
      <w:pPr>
        <w:spacing w:after="80" w:before="80"/>
        <w:ind w:left="360"/>
      </w:pPr>
      <w:r>
        <w:rPr>
          <w:rFonts w:ascii="Courier New" w:cs="Courier New" w:eastAsia="Courier New" w:hAnsi="Courier New"/>
          <w:color w:val="2C3E50"/>
          <w:sz w:val="18"/>
          <w:szCs w:val="18"/>
        </w:rPr>
        <w:t xml:space="preserve">├── infra/aws/             # Terraform modules (7 modules)</w:t>
      </w:r>
    </w:p>
    <w:p>
      <w:pPr>
        <w:spacing w:after="80" w:before="80"/>
        <w:ind w:left="360"/>
      </w:pPr>
      <w:r>
        <w:rPr>
          <w:rFonts w:ascii="Courier New" w:cs="Courier New" w:eastAsia="Courier New" w:hAnsi="Courier New"/>
          <w:color w:val="2C3E50"/>
          <w:sz w:val="18"/>
          <w:szCs w:val="18"/>
        </w:rPr>
        <w:t xml:space="preserve">├── scripts/               # deploy.sh, seed.sh, import-routes.sh</w:t>
      </w:r>
    </w:p>
    <w:p>
      <w:pPr>
        <w:spacing w:after="80" w:before="80"/>
        <w:ind w:left="360"/>
      </w:pPr>
      <w:r>
        <w:rPr>
          <w:rFonts w:ascii="Courier New" w:cs="Courier New" w:eastAsia="Courier New" w:hAnsi="Courier New"/>
          <w:color w:val="2C3E50"/>
          <w:sz w:val="18"/>
          <w:szCs w:val="18"/>
        </w:rPr>
        <w:t xml:space="preserve">├── tests/                 # 26 tests (onboarding, auth, tenant, SQLite)</w:t>
      </w:r>
    </w:p>
    <w:p>
      <w:pPr>
        <w:spacing w:after="80" w:before="80"/>
        <w:ind w:left="360"/>
      </w:pPr>
      <w:r>
        <w:rPr>
          <w:rFonts w:ascii="Courier New" w:cs="Courier New" w:eastAsia="Courier New" w:hAnsi="Courier New"/>
          <w:color w:val="2C3E50"/>
          <w:sz w:val="18"/>
          <w:szCs w:val="18"/>
        </w:rPr>
        <w:t xml:space="preserve">├── docs/                  # Architecture docs, ADRs, schema reference</w:t>
      </w:r>
    </w:p>
    <w:p>
      <w:pPr>
        <w:spacing w:after="80" w:before="80"/>
        <w:ind w:left="360"/>
      </w:pPr>
      <w:r>
        <w:rPr>
          <w:rFonts w:ascii="Courier New" w:cs="Courier New" w:eastAsia="Courier New" w:hAnsi="Courier New"/>
          <w:color w:val="2C3E50"/>
          <w:sz w:val="18"/>
          <w:szCs w:val="18"/>
        </w:rPr>
        <w:t xml:space="preserve">├── Dockerfile             # ECS Fargate container image</w:t>
      </w:r>
    </w:p>
    <w:p>
      <w:pPr>
        <w:spacing w:after="80" w:before="80"/>
        <w:ind w:left="360"/>
      </w:pPr>
      <w:r>
        <w:rPr>
          <w:rFonts w:ascii="Courier New" w:cs="Courier New" w:eastAsia="Courier New" w:hAnsi="Courier New"/>
          <w:color w:val="2C3E50"/>
          <w:sz w:val="18"/>
          <w:szCs w:val="18"/>
        </w:rPr>
        <w:t xml:space="preserve">└── version.txt            # Build number (auto-incremented on git commit)</w:t>
      </w:r>
    </w:p>
    <w:p>
      <w:pPr>
        <w:pStyle w:val="Heading1"/>
        <w:spacing w:before="360" w:after="200"/>
      </w:pPr>
      <w:r>
        <w:rPr>
          <w:rFonts w:ascii="Arial" w:cs="Arial" w:eastAsia="Arial" w:hAnsi="Arial"/>
          <w:b/>
          <w:bCs/>
          <w:color w:val="1B4F72"/>
          <w:sz w:val="36"/>
          <w:szCs w:val="36"/>
        </w:rPr>
        <w:t xml:space="preserve">9. Development &amp; Deployment</w:t>
      </w:r>
    </w:p>
    <w:p>
      <w:pPr>
        <w:pStyle w:val="Heading2"/>
        <w:spacing w:before="280" w:after="160"/>
      </w:pPr>
      <w:r>
        <w:rPr>
          <w:rFonts w:ascii="Arial" w:cs="Arial" w:eastAsia="Arial" w:hAnsi="Arial"/>
          <w:b/>
          <w:bCs/>
          <w:color w:val="2C3E50"/>
          <w:sz w:val="28"/>
          <w:szCs w:val="28"/>
        </w:rPr>
        <w:t xml:space="preserve">9.1 Local Development</w:t>
      </w:r>
    </w:p>
    <w:p>
      <w:pPr>
        <w:spacing w:after="80" w:before="80"/>
        <w:ind w:left="360"/>
      </w:pPr>
      <w:r>
        <w:rPr>
          <w:rFonts w:ascii="Courier New" w:cs="Courier New" w:eastAsia="Courier New" w:hAnsi="Courier New"/>
          <w:color w:val="2C3E50"/>
          <w:sz w:val="18"/>
          <w:szCs w:val="18"/>
        </w:rPr>
        <w:t xml:space="preserve">pip install -e ".[local,dev]"</w:t>
      </w:r>
    </w:p>
    <w:p>
      <w:pPr>
        <w:spacing w:after="80" w:before="80"/>
        <w:ind w:left="360"/>
      </w:pPr>
      <w:r>
        <w:rPr>
          <w:rFonts w:ascii="Courier New" w:cs="Courier New" w:eastAsia="Courier New" w:hAnsi="Courier New"/>
          <w:color w:val="2C3E50"/>
          <w:sz w:val="18"/>
          <w:szCs w:val="18"/>
        </w:rPr>
        <w:t xml:space="preserve">python -m adapters.local.dev_server    # serves dashboard at http://localhost:8080</w:t>
      </w:r>
    </w:p>
    <w:p>
      <w:pPr>
        <w:spacing w:after="160" w:before="0" w:line="276"/>
      </w:pPr>
      <w:r>
        <w:rPr>
          <w:rFonts w:ascii="Arial" w:cs="Arial" w:eastAsia="Arial" w:hAnsi="Arial"/>
          <w:color w:val="2C3E50"/>
          <w:sz w:val="22"/>
          <w:szCs w:val="22"/>
        </w:rPr>
        <w:t xml:space="preserve">Local mode uses SQLite for storage, the Anthropic API directly, and .env for secrets. No AWS credentials needed.</w:t>
      </w:r>
    </w:p>
    <w:p>
      <w:pPr>
        <w:pStyle w:val="Heading2"/>
        <w:spacing w:before="280" w:after="160"/>
      </w:pPr>
      <w:r>
        <w:rPr>
          <w:rFonts w:ascii="Arial" w:cs="Arial" w:eastAsia="Arial" w:hAnsi="Arial"/>
          <w:b/>
          <w:bCs/>
          <w:color w:val="2C3E50"/>
          <w:sz w:val="28"/>
          <w:szCs w:val="28"/>
        </w:rPr>
        <w:t xml:space="preserve">9.2 AWS Deployment</w:t>
      </w:r>
    </w:p>
    <w:p>
      <w:pPr>
        <w:spacing w:after="80" w:before="80"/>
        <w:ind w:left="360"/>
      </w:pPr>
      <w:r>
        <w:rPr>
          <w:rFonts w:ascii="Courier New" w:cs="Courier New" w:eastAsia="Courier New" w:hAnsi="Courier New"/>
          <w:color w:val="2C3E50"/>
          <w:sz w:val="18"/>
          <w:szCs w:val="18"/>
        </w:rPr>
        <w:t xml:space="preserve">cd infra/aws &amp;&amp; terraform apply -var-file=environments/dev.tfvars</w:t>
      </w:r>
    </w:p>
    <w:p>
      <w:pPr>
        <w:spacing w:after="80" w:before="80"/>
        <w:ind w:left="360"/>
      </w:pPr>
      <w:r>
        <w:rPr>
          <w:rFonts w:ascii="Courier New" w:cs="Courier New" w:eastAsia="Courier New" w:hAnsi="Courier New"/>
          <w:color w:val="2C3E50"/>
          <w:sz w:val="18"/>
          <w:szCs w:val="18"/>
        </w:rPr>
        <w:t xml:space="preserve">./scripts/deploy.sh    # build container → push to ECR → update ECS</w:t>
      </w:r>
    </w:p>
    <w:p>
      <w:pPr>
        <w:spacing w:after="80" w:before="80"/>
        <w:ind w:left="360"/>
      </w:pPr>
      <w:r>
        <w:rPr>
          <w:rFonts w:ascii="Courier New" w:cs="Courier New" w:eastAsia="Courier New" w:hAnsi="Courier New"/>
          <w:color w:val="2C3E50"/>
          <w:sz w:val="18"/>
          <w:szCs w:val="18"/>
        </w:rPr>
        <w:t xml:space="preserve">./scripts/seed.sh      # populate DynamoDB + Secrets Manager</w:t>
      </w:r>
    </w:p>
    <w:p>
      <w:pPr>
        <w:spacing w:after="160" w:before="0" w:line="276"/>
      </w:pPr>
      <w:r>
        <w:rPr>
          <w:rFonts w:ascii="Arial" w:cs="Arial" w:eastAsia="Arial" w:hAnsi="Arial"/>
          <w:color w:val="2C3E50"/>
          <w:sz w:val="22"/>
          <w:szCs w:val="22"/>
        </w:rPr>
        <w:t xml:space="preserve">Build numbers auto-increment on each git commit. Check the settings page to verify deployment.</w:t>
      </w:r>
    </w:p>
    <w:p>
      <w:pPr>
        <w:pStyle w:val="Heading2"/>
        <w:spacing w:before="280" w:after="160"/>
      </w:pPr>
      <w:r>
        <w:rPr>
          <w:rFonts w:ascii="Arial" w:cs="Arial" w:eastAsia="Arial" w:hAnsi="Arial"/>
          <w:b/>
          <w:bCs/>
          <w:color w:val="2C3E50"/>
          <w:sz w:val="28"/>
          <w:szCs w:val="28"/>
        </w:rPr>
        <w:t xml:space="preserve">9.3 Testing</w:t>
      </w:r>
    </w:p>
    <w:p>
      <w:pPr>
        <w:spacing w:after="80" w:before="80"/>
        <w:ind w:left="360"/>
      </w:pPr>
      <w:r>
        <w:rPr>
          <w:rFonts w:ascii="Courier New" w:cs="Courier New" w:eastAsia="Courier New" w:hAnsi="Courier New"/>
          <w:color w:val="2C3E50"/>
          <w:sz w:val="18"/>
          <w:szCs w:val="18"/>
        </w:rPr>
        <w:t xml:space="preserve">python -m unittest tests.test_onboarding -v    # 26 tests</w:t>
      </w:r>
    </w:p>
    <w:p>
      <w:pPr>
        <w:spacing w:after="160" w:before="0" w:line="276"/>
      </w:pPr>
      <w:r>
        <w:rPr>
          <w:rFonts w:ascii="Arial" w:cs="Arial" w:eastAsia="Arial" w:hAnsi="Arial"/>
          <w:color w:val="2C3E50"/>
          <w:sz w:val="22"/>
          <w:szCs w:val="22"/>
        </w:rPr>
        <w:t xml:space="preserve">Tests cover tenant creation, activation, integration storage, admin API routing, Cognito sub lookup (in-memory and SQLite), and tenant model lifecycle.</w:t>
      </w:r>
    </w:p>
    <w:p>
      <w:pPr>
        <w:pStyle w:val="Heading1"/>
        <w:spacing w:before="360" w:after="200"/>
      </w:pPr>
      <w:r>
        <w:rPr>
          <w:rFonts w:ascii="Arial" w:cs="Arial" w:eastAsia="Arial" w:hAnsi="Arial"/>
          <w:b/>
          <w:bCs/>
          <w:color w:val="1B4F72"/>
          <w:sz w:val="36"/>
          <w:szCs w:val="36"/>
        </w:rPr>
        <w:t xml:space="preserve">10. Key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001</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Cloud-agnostic core</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Enables open-source, multi-cloud. Zero AWS imports in agent/</w:t>
            </w:r>
          </w:p>
        </w:tc>
      </w:tr>
      <w:tr>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002</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Hybrid routing</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50–60% AI cost reduction. Simple messages handled locally</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003</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DynamoDB single-table</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Best practice for related entities. One table, multiple access patterns</w:t>
            </w:r>
          </w:p>
        </w:tc>
      </w:tr>
      <w:tr>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004</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ECS Fargate over Lambda</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Always warm, persistent connections, simpler local dev parity</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007</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Bedrock Converse API</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Unified interface across model providers. Native tool_use</w:t>
            </w:r>
          </w:p>
        </w:tc>
      </w:tr>
      <w:tr>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015</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Single-region Bedrock</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Data residency compliance. No cross-region routing</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016</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Public routes for UI pages</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Frontend must load before JS can check tokens</w:t>
            </w:r>
          </w:p>
        </w:tc>
      </w:tr>
      <w:tr>
        <w:tc>
          <w:tcPr>
            <w:tcW w:type="dxa" w:w="1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New</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DynamoDB auth fallback</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Solves stale JWT problem. DynamoDB is source of truth for user→tenant</w:t>
            </w:r>
          </w:p>
        </w:tc>
      </w:tr>
    </w:tbl>
    <w:p>
      <w:pPr>
        <w:pStyle w:val="Heading1"/>
        <w:spacing w:before="360" w:after="200"/>
      </w:pPr>
      <w:r>
        <w:rPr>
          <w:rFonts w:ascii="Arial" w:cs="Arial" w:eastAsia="Arial" w:hAnsi="Arial"/>
          <w:b/>
          <w:bCs/>
          <w:color w:val="1B4F72"/>
          <w:sz w:val="36"/>
          <w:szCs w:val="36"/>
        </w:rPr>
        <w:t xml:space="preserve">11. Current Status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Design, prototype, local dev server, hybrid routing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18"/>
                <w:szCs w:val="18"/>
              </w:rPr>
              <w:t xml:space="preserve"> Completed</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1</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AWS infrastructure (Terraform), Bedrock, DynamoDB adapters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 Completed</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1b</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Deploy to AWS, settings page, model selection, build numbers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18"/>
                <w:szCs w:val="18"/>
              </w:rPr>
              <w:t xml:space="preserve"> Completed</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2</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Multi-tenancy: Cognito auth, onboarding wizard, DynamoDB user resolution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E67E22"/>
                <w:sz w:val="18"/>
                <w:szCs w:val="18"/>
              </w:rPr>
              <w:t xml:space="preserve"> In Progress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3</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First external channel (Microsoft Teams via Azure Bot)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5D6D7E"/>
                <w:sz w:val="18"/>
                <w:szCs w:val="18"/>
              </w:rPr>
              <w:t xml:space="preserve"> Planned</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4</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Expand skills (meeting prep, email triage, marketplace)</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5D6D7E"/>
                <w:sz w:val="18"/>
                <w:szCs w:val="18"/>
              </w:rPr>
              <w:t xml:space="preserve"> Planned</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5</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Theming, SPA, CDN-served static assets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5D6D7E"/>
                <w:sz w:val="18"/>
                <w:szCs w:val="18"/>
              </w:rPr>
              <w:t xml:space="preserve"> Planned</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shd/>
              </w:rPr>
              <w:t xml:space="preserve">6</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shd/>
              </w:rPr>
              <w:t xml:space="preserve">Long-term memory (S3), additional channels, OSS release</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5D6D7E"/>
                <w:sz w:val="18"/>
                <w:szCs w:val="18"/>
              </w:rPr>
              <w:t xml:space="preserve"> Planned</w:t>
            </w:r>
          </w:p>
        </w:tc>
      </w:tr>
    </w:tbl>
    <w:p>
      <w:pPr>
        <w:spacing w:after="160" w:before="200" w:line="276"/>
      </w:pPr>
      <w:r>
        <w:rPr>
          <w:rFonts w:ascii="Arial" w:cs="Arial" w:eastAsia="Arial" w:hAnsi="Arial"/>
          <w:b/>
          <w:bCs/>
          <w:color w:val="2C3E50"/>
          <w:sz w:val="22"/>
          <w:szCs w:val="22"/>
        </w:rPr>
        <w:t xml:space="preserve">Phase 2 remaining work: </w:t>
      </w:r>
      <w:r>
        <w:rPr>
          <w:rFonts w:ascii="Arial" w:cs="Arial" w:eastAsia="Arial" w:hAnsi="Arial"/>
          <w:color w:val="2C3E50"/>
          <w:sz w:val="22"/>
          <w:szCs w:val="22"/>
        </w:rPr>
        <w:t xml:space="preserve">Deploy the cognito-sub-lookup GSI to DynamoDB (terraform apply), redeploy the ECS container with the new auth fallback code, seed a second tenant to verify data isolation, and test the full onboarding flow with a fresh user.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T3nets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2026-02-25T08:39:54.950Z</dcterms:created>
  <dcterms:modified xsi:type="dcterms:W3CDTF">2026-02-25T08:39:54.951Z</dcterms:modified>
</cp:coreProperties>
</file>

<file path=docProps/custom.xml><?xml version="1.0" encoding="utf-8"?>
<Properties xmlns="http://schemas.openxmlformats.org/officeDocument/2006/custom-properties" xmlns:vt="http://schemas.openxmlformats.org/officeDocument/2006/docPropsVTypes"/>
</file>