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16A77" w14:textId="77777777" w:rsidR="00DF1127" w:rsidRDefault="00DF1127">
      <w:pPr>
        <w:pStyle w:val="DNormal"/>
        <w:ind w:firstLine="0"/>
        <w:jc w:val="both"/>
        <w:rPr>
          <w:rFonts w:ascii="Times New Roman" w:eastAsia="宋体" w:hAnsi="Times New Roman"/>
          <w:sz w:val="21"/>
        </w:rPr>
      </w:pPr>
    </w:p>
    <w:p w14:paraId="7BCE4047" w14:textId="77777777" w:rsidR="00DF1127" w:rsidRDefault="00DF1127">
      <w:pPr>
        <w:pStyle w:val="DNormal"/>
        <w:ind w:firstLine="0"/>
        <w:jc w:val="both"/>
        <w:rPr>
          <w:rFonts w:ascii="Times New Roman" w:eastAsia="宋体" w:hAnsi="Times New Roman"/>
          <w:sz w:val="21"/>
        </w:rPr>
      </w:pPr>
    </w:p>
    <w:p w14:paraId="3284D6F5" w14:textId="77777777" w:rsidR="00DF1127" w:rsidRDefault="00DF1127">
      <w:pPr>
        <w:pStyle w:val="DNormal"/>
        <w:jc w:val="center"/>
        <w:rPr>
          <w:rFonts w:ascii="Times New Roman" w:eastAsia="宋体" w:hAnsi="Times New Roman"/>
          <w:sz w:val="21"/>
        </w:rPr>
      </w:pPr>
    </w:p>
    <w:p w14:paraId="2D3755E3" w14:textId="77777777" w:rsidR="00DF1127" w:rsidRDefault="001E5179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Times New Roman" w:eastAsia="宋体" w:hAnsi="Times New Roman"/>
          <w:noProof/>
          <w:sz w:val="21"/>
        </w:rPr>
        <w:drawing>
          <wp:inline distT="0" distB="0" distL="0" distR="0" wp14:anchorId="69BA8398" wp14:editId="33574792">
            <wp:extent cx="3949700" cy="1016000"/>
            <wp:effectExtent l="0" t="0" r="3175" b="3175"/>
            <wp:docPr id="9000" name="currentImg" descr="https://timgsa.baidu.com/timg?image&amp;quality=80&amp;size=b9999_10000&amp;sec=1496894931904&amp;di=050976ea9e0fd67679d5fd92da4a07da&amp;imgtype=0&amp;src=http%3A%2F%2Fpic.baike.soso.com%2Fp%2F20131105%2F20131105111410-1035874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" name="currentImg" descr="https://timgsa.baidu.com/timg?image&amp;quality=80&amp;size=b9999_10000&amp;sec=1496894931904&amp;di=050976ea9e0fd67679d5fd92da4a07da&amp;imgtype=0&amp;src=http%3A%2F%2Fpic.baike.soso.com%2Fp%2F20131105%2F20131105111410-103587443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8" b="35439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B9FC" w14:textId="77777777" w:rsidR="00DF1127" w:rsidRDefault="00DF1127">
      <w:pPr>
        <w:pStyle w:val="DNormal"/>
        <w:jc w:val="both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3479CE31" w14:textId="77777777" w:rsidR="00DF1127" w:rsidRDefault="00DF1127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3FE7F8E1" w14:textId="77777777" w:rsidR="00DF1127" w:rsidRDefault="001E5179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ascii="Times New Roman" w:hAnsi="Times New Roman"/>
          <w:b/>
          <w:sz w:val="72"/>
          <w:szCs w:val="72"/>
        </w:rPr>
        <w:t>需求分析质量验证报告</w:t>
      </w:r>
    </w:p>
    <w:p w14:paraId="4143A9BA" w14:textId="77777777" w:rsidR="00DF1127" w:rsidRDefault="00DF1127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5BD3242D" w14:textId="77777777" w:rsidR="00DF1127" w:rsidRDefault="001E5179">
      <w:pPr>
        <w:pStyle w:val="DNormal"/>
        <w:jc w:val="center"/>
        <w:rPr>
          <w:rFonts w:ascii="Times New Roman" w:hAnsi="Times New Roman"/>
          <w:b/>
          <w:sz w:val="52"/>
          <w:szCs w:val="28"/>
        </w:rPr>
      </w:pPr>
      <w:r>
        <w:rPr>
          <w:rFonts w:ascii="Times New Roman" w:hAnsi="Times New Roman"/>
          <w:b/>
          <w:sz w:val="52"/>
          <w:szCs w:val="28"/>
        </w:rPr>
        <w:t>校园二手交易与物品流转平台</w:t>
      </w:r>
    </w:p>
    <w:p w14:paraId="4E1FC9DC" w14:textId="77777777" w:rsidR="00DF1127" w:rsidRDefault="00DF1127">
      <w:pPr>
        <w:pStyle w:val="DNormal"/>
        <w:jc w:val="center"/>
        <w:rPr>
          <w:rFonts w:ascii="黑体" w:eastAsia="黑体" w:hAnsi="黑体" w:cs="黑体"/>
          <w:b/>
          <w:bCs/>
          <w:sz w:val="60"/>
          <w:szCs w:val="60"/>
          <w:lang w:eastAsia="zh-CN" w:bidi="ar"/>
        </w:rPr>
      </w:pPr>
    </w:p>
    <w:p w14:paraId="348FCBE6" w14:textId="77777777" w:rsidR="00DF1127" w:rsidRDefault="00DF1127">
      <w:pPr>
        <w:pStyle w:val="DNormal"/>
        <w:jc w:val="center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0B8DFB44" w14:textId="77777777" w:rsidR="00DF1127" w:rsidRDefault="00DF1127">
      <w:pPr>
        <w:pStyle w:val="DNormal"/>
        <w:ind w:firstLine="0"/>
        <w:jc w:val="both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</w:p>
    <w:p w14:paraId="60ED28D5" w14:textId="77777777" w:rsidR="00DF1127" w:rsidRDefault="001E5179">
      <w:pPr>
        <w:pStyle w:val="DNormal"/>
        <w:wordWrap w:val="0"/>
        <w:jc w:val="right"/>
        <w:rPr>
          <w:rFonts w:ascii="黑体" w:eastAsia="黑体" w:hAnsi="黑体" w:cs="黑体"/>
          <w:b/>
          <w:bCs/>
          <w:sz w:val="52"/>
          <w:szCs w:val="52"/>
          <w:lang w:eastAsia="zh-CN" w:bidi="ar"/>
        </w:rPr>
      </w:pPr>
      <w:r>
        <w:rPr>
          <w:rFonts w:cs="楷体" w:hint="eastAsia"/>
          <w:b/>
          <w:bCs/>
          <w:sz w:val="32"/>
          <w:szCs w:val="32"/>
          <w:lang w:eastAsia="zh-CN" w:bidi="ar"/>
        </w:rPr>
        <w:t>张霖 蒋正友 郑思远 潘奕喆</w:t>
      </w:r>
    </w:p>
    <w:p w14:paraId="16E2356B">
      <w:pPr>
        <w:pageBreakBefore/>
        <w:ind w:firstLine="0"/>
      </w:pPr>
      <w:r>
        <w:rPr>
          <w:rFonts w:ascii="黑体" w:hAnsi="黑体" w:eastAsia="黑体"/>
          <w:b/>
          <w:sz w:val="32"/>
        </w:rPr>
        <w:t>目录</w:t>
      </w:r>
    </w:p>
    <w:p w14:paraId="4CC21A55">
      <w:pPr>
        <w:pStyle w:val="28"/>
        <w:tabs>
          <w:tab w:val="right" w:leader="dot" w:pos="9175"/>
        </w:tabs>
        <w:rPr>
          <w:kern w:val="2"/>
          <w:lang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"_Toc243682697" </w:instrText>
      </w:r>
      <w:r>
        <w:fldChar w:fldCharType="separate"/>
      </w:r>
      <w:r>
        <w:rPr>
          <w:rStyle w:val="140"/>
          <w:color w:val="000000"/>
        </w:rPr>
        <w:t>A.1 提交信息与文档版本</w:t>
      </w:r>
      <w:r>
        <w:tab/>
      </w:r>
      <w:r>
        <w:fldChar w:fldCharType="begin"/>
      </w:r>
      <w:r>
        <w:instrText xml:space="preserve"> PAGEREF _Toc243682697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D790B44">
      <w:pPr>
        <w:pStyle w:val="28"/>
        <w:tabs>
          <w:tab w:val="right" w:leader="dot" w:pos="9175"/>
        </w:tabs>
        <w:rPr>
          <w:kern w:val="2"/>
          <w:lang w:eastAsia="zh-CN"/>
        </w:rPr>
      </w:pPr>
      <w:r>
        <w:fldChar w:fldCharType="begin"/>
      </w:r>
      <w:r>
        <w:instrText xml:space="preserve"> HYPERLINK \l "_Toc243682698" </w:instrText>
      </w:r>
      <w:r>
        <w:fldChar w:fldCharType="separate"/>
      </w:r>
      <w:r>
        <w:rPr>
          <w:rStyle w:val="140"/>
          <w:color w:val="000000"/>
        </w:rPr>
        <w:t>A.2 关键事实与业务规则确认</w:t>
      </w:r>
      <w:r>
        <w:tab/>
      </w:r>
      <w:r>
        <w:fldChar w:fldCharType="begin"/>
      </w:r>
      <w:r>
        <w:instrText xml:space="preserve"> PAGEREF _Toc243682698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7B2081F">
      <w:pPr>
        <w:pStyle w:val="28"/>
        <w:tabs>
          <w:tab w:val="right" w:leader="dot" w:pos="9175"/>
        </w:tabs>
        <w:rPr>
          <w:kern w:val="2"/>
          <w:lang w:eastAsia="zh-CN"/>
        </w:rPr>
      </w:pPr>
      <w:r>
        <w:fldChar w:fldCharType="begin"/>
      </w:r>
      <w:r>
        <w:instrText xml:space="preserve"> HYPERLINK \l "_Toc243682699" </w:instrText>
      </w:r>
      <w:r>
        <w:fldChar w:fldCharType="separate"/>
      </w:r>
      <w:r>
        <w:rPr>
          <w:rStyle w:val="140"/>
          <w:color w:val="000000"/>
        </w:rPr>
        <w:t>A.3 图模型与全文一致性</w:t>
      </w:r>
      <w:r>
        <w:tab/>
      </w:r>
      <w:r>
        <w:fldChar w:fldCharType="begin"/>
      </w:r>
      <w:r>
        <w:instrText xml:space="preserve"> PAGEREF _Toc243682699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3EE4DA0">
      <w:pPr>
        <w:pStyle w:val="28"/>
        <w:tabs>
          <w:tab w:val="right" w:leader="dot" w:pos="9175"/>
        </w:tabs>
        <w:rPr>
          <w:kern w:val="2"/>
          <w:lang w:eastAsia="zh-CN"/>
        </w:rPr>
      </w:pPr>
      <w:r>
        <w:fldChar w:fldCharType="begin"/>
      </w:r>
      <w:r>
        <w:instrText xml:space="preserve"> HYPERLINK \l "_Toc243682700" </w:instrText>
      </w:r>
      <w:r>
        <w:fldChar w:fldCharType="separate"/>
      </w:r>
      <w:r>
        <w:rPr>
          <w:rStyle w:val="140"/>
          <w:color w:val="000000"/>
        </w:rPr>
        <w:t>A.4 状态转换说明</w:t>
      </w:r>
      <w:r>
        <w:tab/>
      </w:r>
      <w:r>
        <w:fldChar w:fldCharType="begin"/>
      </w:r>
      <w:r>
        <w:instrText xml:space="preserve"> PAGEREF _Toc243682700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824CE17">
      <w:pPr>
        <w:pStyle w:val="28"/>
        <w:tabs>
          <w:tab w:val="right" w:leader="dot" w:pos="9175"/>
        </w:tabs>
        <w:rPr>
          <w:kern w:val="2"/>
          <w:lang w:eastAsia="zh-CN"/>
        </w:rPr>
      </w:pPr>
      <w:r>
        <w:fldChar w:fldCharType="begin"/>
      </w:r>
      <w:r>
        <w:instrText xml:space="preserve"> HYPERLINK \l "_Toc243682701" </w:instrText>
      </w:r>
      <w:r>
        <w:fldChar w:fldCharType="separate"/>
      </w:r>
      <w:r>
        <w:rPr>
          <w:rStyle w:val="140"/>
          <w:color w:val="000000"/>
        </w:rPr>
        <w:t>A.5 场景走查</w:t>
      </w:r>
      <w:r>
        <w:tab/>
      </w:r>
      <w:r>
        <w:fldChar w:fldCharType="begin"/>
      </w:r>
      <w:r>
        <w:instrText xml:space="preserve"> PAGEREF _Toc243682701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7030F77">
      <w:pPr>
        <w:pStyle w:val="28"/>
        <w:tabs>
          <w:tab w:val="right" w:leader="dot" w:pos="9175"/>
        </w:tabs>
        <w:rPr>
          <w:kern w:val="2"/>
          <w:lang w:eastAsia="zh-CN"/>
        </w:rPr>
      </w:pPr>
      <w:r>
        <w:fldChar w:fldCharType="begin"/>
      </w:r>
      <w:r>
        <w:instrText xml:space="preserve"> HYPERLINK \l "_Toc243682702" </w:instrText>
      </w:r>
      <w:r>
        <w:fldChar w:fldCharType="separate"/>
      </w:r>
      <w:r>
        <w:rPr>
          <w:rStyle w:val="140"/>
          <w:color w:val="000000"/>
        </w:rPr>
        <w:t>A.6 原型走查与验证结果</w:t>
      </w:r>
      <w:r>
        <w:tab/>
      </w:r>
      <w:r>
        <w:fldChar w:fldCharType="begin"/>
      </w:r>
      <w:r>
        <w:instrText xml:space="preserve"> PAGEREF _Toc243682702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B750A2B">
      <w:pPr>
        <w:pStyle w:val="28"/>
        <w:tabs>
          <w:tab w:val="right" w:leader="dot" w:pos="9175"/>
        </w:tabs>
        <w:rPr>
          <w:kern w:val="2"/>
          <w:lang w:eastAsia="zh-CN"/>
        </w:rPr>
      </w:pPr>
      <w:r>
        <w:fldChar w:fldCharType="begin"/>
      </w:r>
      <w:r>
        <w:instrText xml:space="preserve"> HYPERLINK \l "_Toc243682703" </w:instrText>
      </w:r>
      <w:r>
        <w:fldChar w:fldCharType="separate"/>
      </w:r>
      <w:r>
        <w:rPr>
          <w:rStyle w:val="140"/>
          <w:color w:val="000000"/>
        </w:rPr>
        <w:t>A.7 问题处理与复核</w:t>
      </w:r>
      <w:r>
        <w:tab/>
      </w:r>
      <w:r>
        <w:fldChar w:fldCharType="begin"/>
      </w:r>
      <w:r>
        <w:instrText xml:space="preserve"> PAGEREF _Toc243682703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413E778">
      <w:pPr>
        <w:pStyle w:val="28"/>
        <w:tabs>
          <w:tab w:val="right" w:leader="dot" w:pos="9175"/>
        </w:tabs>
        <w:rPr>
          <w:kern w:val="2"/>
          <w:lang w:eastAsia="zh-CN"/>
        </w:rPr>
      </w:pPr>
      <w:r>
        <w:fldChar w:fldCharType="begin"/>
      </w:r>
      <w:r>
        <w:instrText xml:space="preserve"> HYPERLINK \l "_Toc243682704" </w:instrText>
      </w:r>
      <w:r>
        <w:fldChar w:fldCharType="separate"/>
      </w:r>
      <w:r>
        <w:rPr>
          <w:rStyle w:val="140"/>
          <w:color w:val="000000"/>
        </w:rPr>
        <w:t>A.8 成员贡献与人工责任</w:t>
      </w:r>
      <w:r>
        <w:tab/>
      </w:r>
      <w:r>
        <w:fldChar w:fldCharType="begin"/>
      </w:r>
      <w:r>
        <w:instrText xml:space="preserve"> PAGEREF _Toc243682704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F4DA563">
      <w:pPr>
        <w:spacing w:after="60" w:line="240" w:lineRule="auto"/>
        <w:ind w:firstLine="0"/>
      </w:pPr>
      <w:r>
        <w:rPr>
          <w:sz w:val="21"/>
        </w:rPr>
        <w:fldChar w:fldCharType="end"/>
      </w:r>
    </w:p>
    <w:p w14:paraId="30CE8A67">
      <w:r>
        <w:br w:type="page"/>
      </w:r>
    </w:p>
    <w:p w14:paraId="01C1031D">
      <w:pPr>
        <w:pStyle w:val="3"/>
        <w:spacing w:before="180" w:after="80"/>
        <w:ind w:firstLine="0"/>
      </w:pPr>
      <w:bookmarkStart w:id="0" w:name="_Toc243682697"/>
      <w:r>
        <w:rPr>
          <w:rFonts w:ascii="黑体" w:hAnsi="黑体" w:eastAsia="黑体"/>
        </w:rPr>
        <w:t>A.1 提交信息与文档版本</w:t>
      </w:r>
      <w:bookmarkEnd w:id="0"/>
    </w:p>
    <w:p w14:paraId="00BE4929">
      <w:pPr>
        <w:spacing w:after="60"/>
      </w:pPr>
      <w:r>
        <w:t>项目名称为校园二手交易与物品流转平台，提交阶段为需求分析。成员为蒋正友（A）、潘奕喆（B）、郑思远（C）、张霖（D），分别负责业务需求、分析模型、交互原型与验证、阶段核验与材料整合。</w:t>
      </w:r>
    </w:p>
    <w:p w14:paraId="2F67C7C8">
      <w:pPr>
        <w:spacing w:after="60"/>
      </w:pPr>
      <w:r>
        <w:t>本报告记录事实与业务规则核验、图模型、状态转换、场景走查、原型验证、问题处理和成员贡献。现有模拟程序与页面检查已通过所列场景；图5-5的资格拒绝路径和5.2的继续履约说明已修订，并完成图文静态核对，见A.7。</w:t>
      </w:r>
    </w:p>
    <w:p w14:paraId="6A21C02F">
      <w:pPr>
        <w:spacing w:after="60"/>
      </w:pPr>
      <w:r>
        <w:t>本包提交版本为2026-10-26修订版，提交日期为2026年10月26日，以documents/需求分析质量验证报告.md为正文来源，同步提供documents目录内的同名Word与PDF。业务需求沿用A于10月20日提交的修订稿，模型沿用B于10月21日提交的修订稿；配套原型为C-prototype-v1.1（10月22日）。C首轮记录、后续修正和D复核分别留存在E-C-08、E-C-04/05与E-D-05—07中。</w:t>
      </w:r>
    </w:p>
    <w:p w14:paraId="013E2784">
      <w:pPr>
        <w:spacing w:after="60"/>
      </w:pPr>
      <w:r>
        <w:t>A、C、D使用Codex辅助编写、检查和整理材料，B使用VS Code Cline辅助建模；D另使用DSH/DeepSeek开展角色审查。原型程序检查使用Node.js，页面检查使用浏览器自动化。具体工具记录与交互见AI报告B.1、B.2及E-A-04、E-B-11、E-C-07、E-D-03/04。</w:t>
      </w:r>
    </w:p>
    <w:p w14:paraId="085B589B">
      <w:pPr>
        <w:pStyle w:val="3"/>
        <w:spacing w:before="180" w:after="80"/>
        <w:ind w:firstLine="0"/>
      </w:pPr>
      <w:bookmarkStart w:id="1" w:name="_Toc243682698"/>
      <w:r>
        <w:rPr>
          <w:rFonts w:ascii="黑体" w:hAnsi="黑体" w:eastAsia="黑体"/>
        </w:rPr>
        <w:t>A.2 关键事实与业务规则确认</w:t>
      </w:r>
      <w:bookmarkEnd w:id="1"/>
    </w:p>
    <w:p w14:paraId="069506F3">
      <w:pPr>
        <w:spacing w:after="60"/>
      </w:pPr>
      <w:r>
        <w:t>项目原始资料规定注册认证、发布审核、搜索筛选、收藏咨询、下单确认、线下交付、评价举报、管理审核封禁、状态流转与统计十类功能。A据此形成FR01—24及BR01—20；规则来源见E-A-03，模型落点见E-B-08，验收关联见E-D-02。关键内容及其处理如下。</w:t>
      </w:r>
    </w:p>
    <w:p w14:paraId="53DF01EB">
      <w:pPr>
        <w:keepNext w:val="1"/>
        <w:spacing w:after="60" w:line="360" w:lineRule="auto"/>
        <w:ind w:firstLine="0"/>
        <w:jc w:val="center"/>
      </w:pPr>
      <w:r>
        <w:t>表A-1 关键事实与规则核验摘要</w:t>
      </w:r>
    </w:p>
    <w:tbl>
      <w:tblPr>
        <w:tblStyle w:val="3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850"/>
        <w:gridCol w:w="2300"/>
        <w:gridCol w:w="2850"/>
      </w:tblGrid>
      <w:tr w14:paraId="29B1C3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tblHeader w:val="1"/>
          <w:jc w:val="center"/>
        </w:trPr>
        <w:tc>
          <w:tcPr>
            <w:tcW w:w="1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CD26B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需求或规则</w:t>
            </w:r>
          </w:p>
        </w:tc>
        <w:tc>
          <w:tcPr>
            <w:tcW w:w="28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91352E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内容及来源性质</w:t>
            </w:r>
          </w:p>
        </w:tc>
        <w:tc>
          <w:tcPr>
            <w:tcW w:w="2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1E52D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依据与复核记录</w:t>
            </w:r>
          </w:p>
        </w:tc>
        <w:tc>
          <w:tcPr>
            <w:tcW w:w="28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751BB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确认状态与处理</w:t>
            </w:r>
          </w:p>
        </w:tc>
      </w:tr>
      <w:tr w14:paraId="720B17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2B212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FR01—24</w:t>
            </w:r>
          </w:p>
        </w:tc>
        <w:tc>
          <w:tcPr>
            <w:tcW w:w="28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619FB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十类功能范围来自原始资料；登录、撤下、争议等细节由分析细化。</w:t>
            </w:r>
          </w:p>
        </w:tc>
        <w:tc>
          <w:tcPr>
            <w:tcW w:w="2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F89ED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E-A-01第2页；E-A-03功能对应表。</w:t>
            </w:r>
          </w:p>
        </w:tc>
        <w:tc>
          <w:tcPr>
            <w:tcW w:w="28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C096D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原始范围已对应到需求编号；具体条件沿用各BR记录。</w:t>
            </w:r>
          </w:p>
        </w:tc>
      </w:tr>
      <w:tr w14:paraId="0D4D29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0ED68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BR06、BR10、BR20</w:t>
            </w:r>
          </w:p>
        </w:tc>
        <w:tc>
          <w:tcPr>
            <w:tcW w:w="28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3EC69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唯一占用、同次请求重试及交易快照；分析推导。</w:t>
            </w:r>
          </w:p>
        </w:tc>
        <w:tc>
          <w:tcPr>
            <w:tcW w:w="2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32EA0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E-A-03；E-B-07；SC-C-01—04。</w:t>
            </w:r>
          </w:p>
        </w:tc>
        <w:tc>
          <w:tcPr>
            <w:tcW w:w="28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44D04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用于当前分析和模拟原型；逐条规则确认状态沿用E-A-03。</w:t>
            </w:r>
          </w:p>
        </w:tc>
      </w:tr>
      <w:tr w14:paraId="1231CC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5C008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BR08、BR09、BR19</w:t>
            </w:r>
          </w:p>
        </w:tc>
        <w:tc>
          <w:tcPr>
            <w:tcW w:w="28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5B635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登记与确认分开；取消核对交付事实；争议按原阶段处理。分析推导及审阅修订。</w:t>
            </w:r>
          </w:p>
        </w:tc>
        <w:tc>
          <w:tcPr>
            <w:tcW w:w="2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CCFB5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E-A-03；PV-D-03/04；E-D-07。</w:t>
            </w:r>
          </w:p>
        </w:tc>
        <w:tc>
          <w:tcPr>
            <w:tcW w:w="28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41396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原型检查结果已记录；5.2已补充继续履约说明，并静态复核通过，见V-D-006。</w:t>
            </w:r>
          </w:p>
        </w:tc>
      </w:tr>
      <w:tr w14:paraId="7043E8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7B3C8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BR01、BR11/14、BR12/17、BR15/16、BR19</w:t>
            </w:r>
          </w:p>
        </w:tc>
        <w:tc>
          <w:tcPr>
            <w:tcW w:w="28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FF900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认证重提、评价范围、旧单沟通、举报关联及登记后提醒；AI候选经审阅形成建议。</w:t>
            </w:r>
          </w:p>
        </w:tc>
        <w:tc>
          <w:tcPr>
            <w:tcW w:w="2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C57307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E-A-10；E-D-03；PR #2及E-D-12。</w:t>
            </w:r>
          </w:p>
        </w:tc>
        <w:tc>
          <w:tcPr>
            <w:tcW w:w="285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22E1E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D将这些意见作为完善建议交A处理，A逐项说明采纳结果。</w:t>
            </w:r>
          </w:p>
        </w:tc>
      </w:tr>
    </w:tbl>
    <w:p w14:paraId="514FC3E7">
      <w:pPr>
        <w:spacing w:after="60"/>
      </w:pPr>
      <w:r>
        <w:t>A、B、C的阶段成果分别经PR #2、#3、#4审阅和修订后合并，具体意见与成员回应见E-D-12。成员D确认现有规则及材料已完成成员复核，BR01—20与模型落点的当前状态见E-A-03、E-B-08。统计周期、服务时限、通知重试、数据删除、性能和恢复指标沿用需求报告第8章的责任安排，未补入未经确定的数值。V-C-01、V-C-03已统一可见范围及争议期间操作口径，见需求报告4.1、5.2和E-D-07。</w:t>
      </w:r>
    </w:p>
    <w:p w14:paraId="6AFBCBA1">
      <w:pPr>
        <w:pStyle w:val="3"/>
        <w:spacing w:before="180" w:after="80"/>
        <w:ind w:firstLine="0"/>
      </w:pPr>
      <w:bookmarkStart w:id="2" w:name="_Toc243682699"/>
      <w:r>
        <w:rPr>
          <w:rFonts w:ascii="黑体" w:hAnsi="黑体" w:eastAsia="黑体"/>
        </w:rPr>
        <w:t>A.3 图模型与全文一致性</w:t>
      </w:r>
      <w:bookmarkEnd w:id="2"/>
    </w:p>
    <w:p w14:paraId="3677C595">
      <w:pPr>
        <w:spacing w:after="60"/>
      </w:pPr>
      <w:r>
        <w:t>正文共8幅基础图。每幅图保留编号、名称、建模对象及关联需求或用例；SVG、PNG和已有生成脚本集中在attachments/requirements/models，具体入口见E-A-06—08、E-B-01—07。</w:t>
      </w:r>
    </w:p>
    <w:p w14:paraId="36E02D6B">
      <w:pPr>
        <w:keepNext w:val="1"/>
        <w:spacing w:after="60" w:line="360" w:lineRule="auto"/>
        <w:ind w:firstLine="0"/>
        <w:jc w:val="center"/>
      </w:pPr>
      <w:r>
        <w:t>表A-2 图模型核查范围</w:t>
      </w:r>
    </w:p>
    <w:tbl>
      <w:tblPr>
        <w:tblStyle w:val="3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4000"/>
        <w:gridCol w:w="2500"/>
      </w:tblGrid>
      <w:tr w14:paraId="1C760F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tblHeader w:val="1"/>
          <w:jc w:val="center"/>
        </w:trPr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F6A4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图号与模型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88A8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核查重点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8EFA42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关联与证据</w:t>
            </w:r>
          </w:p>
        </w:tc>
      </w:tr>
      <w:tr w14:paraId="13F7BA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D67419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图1-1 系统上下文图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5689A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系统边界、外部角色与交互关系。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D1D41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第1章；E-A-06。</w:t>
            </w:r>
          </w:p>
        </w:tc>
      </w:tr>
      <w:tr w14:paraId="02DB73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30745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图2-1 UML用例图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B6A040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参与者及UC01—12，与用户故事和用例描述对应。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AA9E1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第2章；E-A-07。</w:t>
            </w:r>
          </w:p>
        </w:tc>
      </w:tr>
      <w:tr w14:paraId="24329D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78E9A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图3-1 领域类图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9574E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核心对象、属性、关联与数量关系，对照术语和数据字典。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4901A8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FR01—24；E-B-01/07。</w:t>
            </w:r>
          </w:p>
        </w:tc>
      </w:tr>
      <w:tr w14:paraId="6C0167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25DF1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图5-1 核心交易主流程泳道图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699D9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下单、卖方确认、交付登记和买方确认的职责与顺序。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01689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UC04—06；E-A-08。</w:t>
            </w:r>
          </w:p>
        </w:tc>
      </w:tr>
      <w:tr w14:paraId="706089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F6026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图5-2 异常与状态联动泳道图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2847E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取消、争议、终止及账户限制；继续履约恢复原阶段。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E5FF7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UC07/10；BR09/12/15/19；E-B-02。</w:t>
            </w:r>
          </w:p>
        </w:tc>
      </w:tr>
      <w:tr w14:paraId="4FC916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7BEC00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图5-3、5-4 物品与订单状态机图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8D71A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状态名称、ST编号、状态保持和跨对象联动。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151D2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表5-1/5-2；E-B-03/04/07。</w:t>
            </w:r>
          </w:p>
        </w:tc>
      </w:tr>
      <w:tr w14:paraId="7D29D6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3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E0E77B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图5-5 下单预占顺序图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6B2E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新单、失败与重试出口，订单、快照与占用的一致性。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B0BF3C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UC05；BR06/10/14/20；E-B-05。</w:t>
            </w:r>
          </w:p>
        </w:tc>
      </w:tr>
    </w:tbl>
    <w:p w14:paraId="4E259560">
      <w:pPr>
        <w:spacing w:after="60"/>
      </w:pPr>
      <w:r>
        <w:t>全文封面、目录、章节标题和表格按A版样式统一，表题居中，目录页码随正文核对。图5-5已补充新交易资格不满足时的结束路径，绘图脚本、SVG、PNG及正文5.5说明同步更新，核对结果见V-D-005及E-D-07。</w:t>
      </w:r>
    </w:p>
    <w:p w14:paraId="6D1F4D00">
      <w:pPr>
        <w:pStyle w:val="3"/>
        <w:spacing w:before="180" w:after="80"/>
        <w:ind w:firstLine="0"/>
      </w:pPr>
      <w:bookmarkStart w:id="3" w:name="_Toc243682700"/>
      <w:r>
        <w:rPr>
          <w:rFonts w:ascii="黑体" w:hAnsi="黑体" w:eastAsia="黑体"/>
        </w:rPr>
        <w:t>A.4 状态转换说明</w:t>
      </w:r>
      <w:bookmarkEnd w:id="3"/>
    </w:p>
    <w:p w14:paraId="14D5A6BD">
      <w:pPr>
        <w:spacing w:after="60"/>
      </w:pPr>
      <w:r>
        <w:t>关联状态图为图5-3（物品）和图5-4（订单）。完整转换条件、执行角色、业务结果与失败处理见需求报告表5-2及E-B-07表A-2/A-3，沿用ST-B-01—21和ST-B-S1—S6编号。以下列出交易闭环及拒绝处理的关键检查点。</w:t>
      </w:r>
    </w:p>
    <w:p w14:paraId="24FED3F6">
      <w:pPr>
        <w:keepNext w:val="1"/>
        <w:spacing w:after="60" w:line="360" w:lineRule="auto"/>
        <w:ind w:firstLine="0"/>
        <w:jc w:val="center"/>
      </w:pPr>
      <w:r>
        <w:t>表A-3 关键状态转换与拒绝处理</w:t>
      </w:r>
    </w:p>
    <w:tbl>
      <w:tblPr>
        <w:tblStyle w:val="3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700"/>
        <w:gridCol w:w="2700"/>
        <w:gridCol w:w="2500"/>
      </w:tblGrid>
      <w:tr w14:paraId="73AFC5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</w:tblPrEx>
        <w:trPr>
          <w:cantSplit w:val="1"/>
          <w:tblHeader w:val="1"/>
          <w:jc w:val="center"/>
        </w:trPr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8B0C2F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转换编号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5D0C0F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对象与状态变化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889927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事件、角色与条件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D4332E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结果及失败处理</w:t>
            </w:r>
          </w:p>
        </w:tc>
      </w:tr>
      <w:tr w14:paraId="04BA4B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DBE0C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ST-B-08/13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16A1F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物品在售→交易中；新订单→待卖方确认。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AF34F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买方新意图下单；BR06/10/20。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95CD5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订单、快照与占用同时成立；失败不建单、不遗留占用。</w:t>
            </w:r>
          </w:p>
        </w:tc>
      </w:tr>
      <w:tr w14:paraId="156279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23E2E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ST-B-14/17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C9D82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订单待卖方确认→待交付→待买方确认。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E565D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卖方接受并登记本人订单；BR07/08。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6782C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登记保存交付记录但不计成交；身份或阶段不符则拒绝。</w:t>
            </w:r>
          </w:p>
        </w:tc>
      </w:tr>
      <w:tr w14:paraId="773B1A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57AF8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ST-B-19/10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6FA8B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订单待买方确认→已完成；物品交易中→已成交。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3E684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该订单买方本人确认；BR08/18。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4CA6F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成交仅计一次；代确认、登记前确认、重复确认不产生新成交。</w:t>
            </w:r>
          </w:p>
        </w:tc>
      </w:tr>
      <w:tr w14:paraId="561F30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47B1E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ST-B-S2/S4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EBEFB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同名订单状态保持。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F4399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同次操作重试，或确认资格、阶段不符。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FDF10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返回原回执、进度或拒绝原因；不新增订单或成交。</w:t>
            </w:r>
          </w:p>
        </w:tc>
      </w:tr>
      <w:tr w14:paraId="6C7186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ED754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ST-B-11/20/21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0BDEC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订单→已异常终止；物品→交易异常终止。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C277A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管理员核查履约争议后终止；BR15/19。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4419B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释放占用，物品不自动重售；未登记时不补造登记。</w:t>
            </w:r>
          </w:p>
        </w:tc>
      </w:tr>
    </w:tbl>
    <w:p w14:paraId="643F987F">
      <w:pPr>
        <w:spacing w:after="60"/>
      </w:pPr>
      <w:r>
        <w:t>隐藏、账户限制和争议受理为独立标记，不另造生命周期状态。PV-D-03检查未结束订单继续履约时恢复原阶段、保留占用，PV-D-04检查未登记终止。受控顺序模拟还核对竞争及取消/登记先后；真实并发、后台事务和持久数据不在本轮原型验证范围。正文5.2已补充继续履约说明，静态核对结果见V-D-006。</w:t>
      </w:r>
    </w:p>
    <w:p w14:paraId="60C2D6ED">
      <w:pPr>
        <w:pStyle w:val="3"/>
        <w:spacing w:before="180" w:after="80"/>
        <w:ind w:firstLine="0"/>
      </w:pPr>
      <w:bookmarkStart w:id="4" w:name="_Toc243682701"/>
      <w:r>
        <w:rPr>
          <w:rFonts w:ascii="黑体" w:hAnsi="黑体" w:eastAsia="黑体"/>
        </w:rPr>
        <w:t>A.5 场景走查</w:t>
      </w:r>
      <w:bookmarkEnd w:id="4"/>
    </w:p>
    <w:p w14:paraId="389DF535">
      <w:pPr>
        <w:spacing w:after="60"/>
      </w:pPr>
      <w:r>
        <w:t>SC-C-01—22覆盖正常主流程、权限、状态转换和异常四类，采用C-prototype-v1.1。C编制初始数据、操作步骤和预期结果，D侧AI依据同版副本重放22组调用，对照响应及最终状态。各场景的UC、BR、ST编号、页面可操作范围和程序输入见E-C-03；从不同用户角色补查需求的讨论见E-D-03/04。</w:t>
      </w:r>
    </w:p>
    <w:p w14:paraId="0C39A6ED">
      <w:pPr>
        <w:spacing w:after="60"/>
      </w:pPr>
      <w:r>
        <w:t>以SC-C-01“建立订单—交付—买方确认”为例，关联UC05/06、BR06/08/18/20、ST-B-08/13/14/17/19/10。初始数据为买方甲、卖方和在售教材I01，价格35元，无订单；这些数据用于模拟。场景预期与实际程序结果分别记录如下，原始断言及页面证据见PV-C-01、E-C-04/05和E-D-05。</w:t>
      </w:r>
    </w:p>
    <w:p w14:paraId="687DED96">
      <w:pPr>
        <w:keepNext w:val="1"/>
        <w:spacing w:after="60" w:line="360" w:lineRule="auto"/>
        <w:ind w:firstLine="0"/>
        <w:jc w:val="center"/>
      </w:pPr>
      <w:r>
        <w:t>表A-4 SC-C-01场景步骤与核查结果</w:t>
      </w:r>
    </w:p>
    <w:tbl>
      <w:tblPr>
        <w:tblStyle w:val="3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100"/>
        <w:gridCol w:w="3400"/>
        <w:gridCol w:w="2600"/>
      </w:tblGrid>
      <w:tr w14:paraId="2B7E5A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tblHeader w:val="1"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D5C4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步骤与角色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702898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操作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397BE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预期数据与状态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47689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原型程序记录</w:t>
            </w:r>
          </w:p>
        </w:tc>
      </w:tr>
      <w:tr w14:paraId="0DEF56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FB307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1 买方甲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D271D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确认下单I01。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CC97C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生成O001和35元快照；物品交易中，唯一占用。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5A22C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通过；订单与预占同时建立。</w:t>
            </w:r>
          </w:p>
        </w:tc>
      </w:tr>
      <w:tr w14:paraId="3B0953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0E02E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2 卖方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E08CB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接受O001。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31641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订单由待卖方确认进入待交付。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71261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通过；接单后等待线下交付。</w:t>
            </w:r>
          </w:p>
        </w:tc>
      </w:tr>
      <w:tr w14:paraId="087C86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1106C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3 卖方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37E9F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登记模拟当面交接并确认交付声明。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95C0B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订单待买方确认；成交数仍为0。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239BF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通过；登记保存，未计成交。</w:t>
            </w:r>
          </w:p>
        </w:tc>
      </w:tr>
      <w:tr w14:paraId="18AE5A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93387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4 买方甲</w:t>
            </w:r>
          </w:p>
        </w:tc>
        <w:tc>
          <w:tcPr>
            <w:tcW w:w="21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193EB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本人确认收到并作收货声明。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5F116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订单已完成、物品已成交；成交1笔、金额35元。</w:t>
            </w:r>
          </w:p>
        </w:tc>
        <w:tc>
          <w:tcPr>
            <w:tcW w:w="2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2DAEC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通过；完成与物品成交同时成立。</w:t>
            </w:r>
          </w:p>
        </w:tc>
      </w:tr>
    </w:tbl>
    <w:p w14:paraId="469FCAA4">
      <w:pPr>
        <w:spacing w:after="60"/>
      </w:pPr>
      <w:r>
        <w:t>异常场景包括SC-C-02响应丢失后沿原意图重试、SC-C-03顺序竞争和SC-C-04同意图内容冲突。修订稿补齐故障设置、重试入口及资料变动步骤；部分越权输入与字段篡改仅支持程序检查，不能通过普通页面完整复做。成员D已按SC-C-01手动走查一次正常交易，见E-D-13。</w:t>
      </w:r>
    </w:p>
    <w:p w14:paraId="63F41EEE">
      <w:pPr>
        <w:pStyle w:val="3"/>
        <w:spacing w:before="180" w:after="80"/>
        <w:ind w:firstLine="0"/>
      </w:pPr>
      <w:bookmarkStart w:id="5" w:name="_Toc243682702"/>
      <w:r>
        <w:rPr>
          <w:rFonts w:ascii="黑体" w:hAnsi="黑体" w:eastAsia="黑体"/>
        </w:rPr>
        <w:t>A.6 原型走查与验证结果</w:t>
      </w:r>
      <w:bookmarkEnd w:id="5"/>
    </w:p>
    <w:p w14:paraId="499F44F4">
      <w:pPr>
        <w:spacing w:after="60"/>
      </w:pPr>
      <w:r>
        <w:t>原型为可点击页面与内存规则程序，版本C-prototype-v1.1，浏览器打开attachments/prototype/index.html即可使用。页面覆盖UC05/06/07、UC10/11及旧单沟通、终态反馈。模拟范围包括角色切换、故障、交付声明和治理依据。操作说明见E-C-02，复用场景SC-C-01—22。</w:t>
      </w:r>
    </w:p>
    <w:p w14:paraId="35E758ED">
      <w:pPr>
        <w:keepNext w:val="1"/>
        <w:spacing w:after="60" w:line="360" w:lineRule="auto"/>
        <w:ind w:firstLine="0"/>
        <w:jc w:val="center"/>
      </w:pPr>
      <w:r>
        <w:t>表A-5 原型执行结果与证据</w:t>
      </w:r>
    </w:p>
    <w:tbl>
      <w:tblPr>
        <w:tblStyle w:val="3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400"/>
        <w:gridCol w:w="3800"/>
      </w:tblGrid>
      <w:tr w14:paraId="2B1B64F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tblHeader w:val="1"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B6B95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层级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FF396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实际结果及日期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C1BA0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证据与范围</w:t>
            </w:r>
          </w:p>
        </w:tc>
      </w:tr>
      <w:tr w14:paraId="426E8F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84BCE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C侧程序检查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FCBBB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10月22日，22组73断言通过。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411A3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E-C-04增量目录；内存规则与故障注入。</w:t>
            </w:r>
          </w:p>
        </w:tc>
      </w:tr>
      <w:tr w14:paraId="5816AA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0E0EF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C侧页面检查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7758A4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10月22日，8组通过，无pageerror。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AA337E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E-C-05增量；UI-C-08保留改前失败与改后证据。</w:t>
            </w:r>
          </w:p>
        </w:tc>
      </w:tr>
      <w:tr w14:paraId="6D65E4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07D32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D侧程序及调用复核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44056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10月22日，22组73断言、22组调用重放通过。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C046F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E-D-05；同字节副本，既有断言与C同源。</w:t>
            </w:r>
          </w:p>
        </w:tc>
      </w:tr>
      <w:tr w14:paraId="1933D8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0F1150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D侧页面检查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3603F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10月22日，8组通过，无pageerror。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7EB09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E-D-05页面结果、导出与7张截图。</w:t>
            </w:r>
          </w:p>
        </w:tc>
      </w:tr>
      <w:tr w14:paraId="566471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7A589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D侧新增反例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224A4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10月22日，8组45断言通过。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1E17C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PV-D-01—08；独立编写反例，执行同一内存原型。</w:t>
            </w:r>
          </w:p>
        </w:tc>
      </w:tr>
      <w:tr w14:paraId="566471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7A589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成员D人工走查</w:t>
            </w:r>
          </w:p>
        </w:tc>
        <w:tc>
          <w:tcPr>
            <w:tcW w:w="34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224A4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10月25日，SC-C-01正常流程通过。</w:t>
            </w:r>
          </w:p>
        </w:tc>
        <w:tc>
          <w:tcPr>
            <w:tcW w:w="38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1E17C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E-D-13；订单O001，完成1笔、35元，保留2张截图。</w:t>
            </w:r>
          </w:p>
        </w:tc>
      </w:tr>
    </w:tbl>
    <w:p w14:paraId="0F60B8A6">
      <w:pPr>
        <w:spacing w:after="60"/>
      </w:pPr>
      <w:r>
        <w:t>D反例分别检查资格拒绝、终态旧回执、三个未结束阶段恢复、未登记终止、旧取消与新单占用隔离、私有回执隔离、通知失败及处理中资格变化。各项输入、预期、实际结果、最终状态和BR/ST关联保存在E-D-05—07。C首轮7组页面记录与后续8组修订记录分开保留；UI-C-08提示问题已修正并通过复验。</w:t>
      </w:r>
    </w:p>
    <w:p w14:paraId="6E693DB7">
      <w:pPr>
        <w:spacing w:after="60"/>
      </w:pPr>
      <w:r>
        <w:t>验证结论为：程序与自动页面检查通过所列模拟场景；成员D另完成SC-C-01正常交易的人工走查，结果见E-D-13。AI参与任务见AI报告B.2.3、B.2.4。</w:t>
      </w:r>
    </w:p>
    <w:p w14:paraId="23D6D30F">
      <w:pPr>
        <w:pStyle w:val="3"/>
        <w:spacing w:before="180" w:after="80"/>
        <w:ind w:firstLine="0"/>
      </w:pPr>
      <w:bookmarkStart w:id="6" w:name="_Toc243682703"/>
      <w:r>
        <w:rPr>
          <w:rFonts w:ascii="黑体" w:hAnsi="黑体" w:eastAsia="黑体"/>
        </w:rPr>
        <w:t>A.7 问题处理与复核</w:t>
      </w:r>
      <w:bookmarkEnd w:id="6"/>
    </w:p>
    <w:p w14:paraId="797C7DD1">
      <w:pPr>
        <w:spacing w:after="60"/>
      </w:pPr>
      <w:r>
        <w:t>问题沿用原V编号，检查依据为C的10月22日修订原型及配套需求模型。C负责原型修正，D侧AI执行程序、页面及调用复核；成员D通过PR记录提出阶段意见并作接受取舍，日期及原文见E-D-12。具体问题、影响范围、修改位置与执行记录见E-C-06和E-D-07。</w:t>
      </w:r>
    </w:p>
    <w:p w14:paraId="317C4C9F">
      <w:pPr>
        <w:spacing w:after="60"/>
      </w:pPr>
      <w:r>
        <w:t>业务需求审阅补查了认证重提、订单沟通、登记后未回应和评价等日常任务，A在PR #2说明完善建议的处理结果。模型审阅要求统一状态、对象职责和失败路径，并压缩重复内容；PR #3接受后继续核对整合稿中的修订结果。原型审阅要求补齐故障与重试步骤、说明可操作页面并修正终止提示；C修订后PR #4合并。</w:t>
      </w:r>
    </w:p>
    <w:p w14:paraId="523B080F">
      <w:pPr>
        <w:keepNext w:val="1"/>
        <w:spacing w:after="60" w:line="360" w:lineRule="auto"/>
        <w:ind w:firstLine="0"/>
        <w:jc w:val="center"/>
      </w:pPr>
      <w:r>
        <w:t>表A-6 问题处理与复核摘要</w:t>
      </w:r>
    </w:p>
    <w:tbl>
      <w:tblPr>
        <w:tblStyle w:val="3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200"/>
        <w:gridCol w:w="3600"/>
      </w:tblGrid>
      <w:tr w14:paraId="6A1C41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tblHeader w:val="1"/>
          <w:jc w:val="center"/>
        </w:trPr>
        <w:tc>
          <w:tcPr>
            <w:tcW w:w="1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720F9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FD393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问题、处理与修改位置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D91F8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复核结果及责任</w:t>
            </w:r>
          </w:p>
        </w:tc>
      </w:tr>
      <w:tr w14:paraId="2D121A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BEB44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V-C-04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6FC7C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查询/重试及校验失败后修正输入的操作说明不完整。C修改场景脚本与原型入口。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41875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10月22日C修订、D侧AI按SC/UI复核通过；原始记录见E-C-06、E-D-05。</w:t>
            </w:r>
          </w:p>
        </w:tc>
      </w:tr>
      <w:tr w14:paraId="2EC826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BFB28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V-C-05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F170F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页面检查脚本取值方式导致首次检查失败；改为textContent读取。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459C9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10月22日8组页面通过，保留首次失败；属于检查脚本修正。</w:t>
            </w:r>
          </w:p>
        </w:tc>
      </w:tr>
      <w:tr w14:paraId="42BEC2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D4C9B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V-C-06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90D38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未登记终止提示与登记事实不一致。C按是否登记分别提示。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3BBE2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10月22日UI-C-08及D补测通过；修改与截图见E-C-05/06。</w:t>
            </w:r>
          </w:p>
        </w:tc>
      </w:tr>
      <w:tr w14:paraId="43CD46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053B9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V-C-07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F3388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场景精确输入和页面/程序可达范围需区分。C补充步骤与范围。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766BA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22组调用重放一致；E-C-03、E-D-05保留实际响应与状态。</w:t>
            </w:r>
          </w:p>
        </w:tc>
      </w:tr>
      <w:tr w14:paraId="20AA89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55F2B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V-C-02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E7BDE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D负责的章节、报告及核验材料需补齐。现已纳入整合包。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E39C0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产物见E-D-01—12；跨成员交叉审阅与正式验收另按实际记录。</w:t>
            </w:r>
          </w:p>
        </w:tc>
      </w:tr>
      <w:tr w14:paraId="6EAF1A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5A591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V-D-005/006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48ED6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已修订：图5-5增加资格拒绝结束路径；5.2补充恢复原阶段和买方本人确认的说明。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30B61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10月25日按D授权修订，并静态复核通过；原问题、修改位置及检查范围见E-D-07。</w:t>
            </w:r>
          </w:p>
        </w:tc>
      </w:tr>
      <w:tr w14:paraId="6EAF1A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7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5A591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V-C-01/03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48ED6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统一表5-1交易中物品的查询主体，并明确争议期间暂停接单、拒单和登记，已登记时允许买方本人确认。</w:t>
            </w:r>
          </w:p>
        </w:tc>
        <w:tc>
          <w:tcPr>
            <w:tcW w:w="36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30B61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10月26日按成员复核口径修订；与BR03/13/19及现有原型代码静态核对一致，见E-D-07。</w:t>
            </w:r>
          </w:p>
        </w:tc>
      </w:tr>
    </w:tbl>
    <w:p w14:paraId="2DD66667">
      <w:pPr>
        <w:spacing w:after="60"/>
      </w:pPr>
      <w:r>
        <w:t>V-C-01、V-C-03沿用原编号，现已按成员复核口径修订并完成图文及原型代码静态核对，见E-D-07；未因此新增人工或程序执行结果。功能完善建议与错误分别记录。V-D-005、V-D-006以图文静态核对关闭，原型执行结果仍引用10月22日记录；另有10月25日SC-C-01正常交易人工走查，见E-D-13。审阅与提交过程见E-D-12。</w:t>
      </w:r>
    </w:p>
    <w:p w14:paraId="1FFE2B44">
      <w:pPr>
        <w:pStyle w:val="3"/>
        <w:spacing w:before="180" w:after="80"/>
        <w:ind w:firstLine="0"/>
      </w:pPr>
      <w:bookmarkStart w:id="7" w:name="_Toc243682704"/>
      <w:r>
        <w:rPr>
          <w:rFonts w:ascii="黑体" w:hAnsi="黑体" w:eastAsia="黑体"/>
        </w:rPr>
        <w:t>A.8 成员贡献与人工责任</w:t>
      </w:r>
      <w:bookmarkEnd w:id="7"/>
    </w:p>
    <w:p w14:paraId="4A1AF503">
      <w:pPr>
        <w:keepNext w:val="1"/>
        <w:spacing w:after="60" w:line="360" w:lineRule="auto"/>
        <w:ind w:firstLine="0"/>
        <w:jc w:val="center"/>
      </w:pPr>
      <w:r>
        <w:t>表A-7 成员贡献与审核取舍</w:t>
      </w:r>
    </w:p>
    <w:tbl>
      <w:tblPr>
        <w:tblStyle w:val="37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000"/>
        <w:gridCol w:w="4000"/>
      </w:tblGrid>
      <w:tr w14:paraId="7A898A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tblHeader w:val="1"/>
          <w:jc w:val="center"/>
        </w:trPr>
        <w:tc>
          <w:tcPr>
            <w:tcW w:w="1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6A644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83E4B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职责、产物与位置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B7747">
            <w:pPr>
              <w:spacing w:after="0" w:line="360" w:lineRule="auto" w:before="0"/>
              <w:ind w:firstLine="0"/>
              <w:keepNext w:val="1"/>
            </w:pPr>
            <w:r>
              <w:rPr>
                <w:b/>
                <w:sz w:val="21"/>
              </w:rPr>
              <w:t>本人参与的审核或取舍及证据</w:t>
            </w:r>
          </w:p>
        </w:tc>
      </w:tr>
      <w:tr w14:paraId="1628E6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0CFD4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A 蒋正友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25185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业务正文、规则权限及三幅业务图；需求报告第1/2/4章、E-A-03/04/10。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54430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提出用户故事与用例的区别，转交修订意见，逐项回应A轮次建议；见E-A-04/10、PR #2。</w:t>
            </w:r>
          </w:p>
        </w:tc>
      </w:tr>
      <w:tr w14:paraId="03F8A5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306FF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B 潘奕喆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991B1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领域与状态模型、五幅图及转换说明；需求报告第3/5章、E-B-01—07/11。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7C714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明确建模范围并要求保留图源，按PR #3修订篇幅和模型表达；见E-B-11、E-D-12。</w:t>
            </w:r>
          </w:p>
        </w:tc>
      </w:tr>
      <w:tr w14:paraId="77EA06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C4B08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C 郑思远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869F3B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交互与质量要求、原型、SC/PV及质量报告；attachments/prototype、E-C-03—07。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4B6BED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限定A/B内容保护范围，反馈场景步骤及终止提示，回应PR #4两项意见并修订；见E-C-07、E-D-12。</w:t>
            </w:r>
          </w:p>
        </w:tc>
      </w:tr>
      <w:tr w14:paraId="4E0CCC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1"/>
          <w:jc w:val="center"/>
        </w:trPr>
        <w:tc>
          <w:tcPr>
            <w:tcW w:w="15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B6ADA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D 张霖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246F9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阶段核验、验收追踪、独立反例与整合；需求报告7.1/7.2/7.4及第8章、AI报告、E-D-01—12。</w:t>
            </w:r>
          </w:p>
        </w:tc>
        <w:tc>
          <w:tcPr>
            <w:tcW w:w="400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4E02D">
            <w:pPr>
              <w:spacing w:after="0" w:line="360" w:lineRule="auto" w:before="0"/>
              <w:ind w:firstLine="0"/>
              <w:keepNext w:val="0"/>
            </w:pPr>
            <w:r>
              <w:rPr>
                <w:sz w:val="21"/>
              </w:rPr>
              <w:t>检查需求遗漏并审核成员成果；批注报告、核对格式，手动走查一次正常交易并提交截图，见E-D-03/12/13。</w:t>
            </w:r>
          </w:p>
        </w:tc>
      </w:tr>
    </w:tbl>
    <w:p w14:paraId="00A78AED">
      <w:pPr>
        <w:spacing w:after="60"/>
      </w:pPr>
      <w:r>
        <w:t>各成员对本人负责的需求、模型、原型和审核取舍承担解释与确认责任。AI辅助编写及自动检查的任务、输入、动作与结果见AI报告及对应交互附件；团队审阅记录与业务规则来源分别沿用E-D-12和E-A-03。</w:t>
      </w:r>
      <w:bookmarkStart w:id="8" w:name="_GoBack"/>
      <w:bookmarkEnd w:id="8"/>
    </w:p>
    <w:sectPr>
      <w:footerReference r:id="rId5" w:type="default"/>
      <w:pgSz w:w="11906" w:h="16838"/>
      <w:pgMar w:top="1361" w:right="1304" w:bottom="1247" w:left="1417" w:header="567" w:footer="567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E5878">
    <w:pPr>
      <w:pStyle w:val="26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hint="eastAsia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0E71"/>
    <w:rsid w:val="0015074B"/>
    <w:rsid w:val="0029639D"/>
    <w:rsid w:val="002A44A1"/>
    <w:rsid w:val="002A7D70"/>
    <w:rsid w:val="00326F90"/>
    <w:rsid w:val="00383931"/>
    <w:rsid w:val="004048B4"/>
    <w:rsid w:val="00417692"/>
    <w:rsid w:val="00565992"/>
    <w:rsid w:val="005A1BDB"/>
    <w:rsid w:val="005C0F87"/>
    <w:rsid w:val="006A0ABB"/>
    <w:rsid w:val="006E1267"/>
    <w:rsid w:val="00702ED5"/>
    <w:rsid w:val="00735EF3"/>
    <w:rsid w:val="007C40F1"/>
    <w:rsid w:val="007C4F82"/>
    <w:rsid w:val="0085044F"/>
    <w:rsid w:val="009237F0"/>
    <w:rsid w:val="009C0FBE"/>
    <w:rsid w:val="00A735D8"/>
    <w:rsid w:val="00A84C0B"/>
    <w:rsid w:val="00AA1D8D"/>
    <w:rsid w:val="00AF4146"/>
    <w:rsid w:val="00AF6E3D"/>
    <w:rsid w:val="00B0537E"/>
    <w:rsid w:val="00B47730"/>
    <w:rsid w:val="00BD5658"/>
    <w:rsid w:val="00C35144"/>
    <w:rsid w:val="00C81626"/>
    <w:rsid w:val="00CA0258"/>
    <w:rsid w:val="00CB0664"/>
    <w:rsid w:val="00DD258C"/>
    <w:rsid w:val="00E043EE"/>
    <w:rsid w:val="00E760D3"/>
    <w:rsid w:val="00E80421"/>
    <w:rsid w:val="00ED3DF0"/>
    <w:rsid w:val="00F521FB"/>
    <w:rsid w:val="00FC693F"/>
    <w:rsid w:val="59E00852"/>
    <w:rsid w:val="5B225761"/>
    <w:rsid w:val="65E07381"/>
    <w:rsid w:val="6876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3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60" w:lineRule="auto"/>
      <w:ind w:firstLine="420"/>
    </w:pPr>
    <w:rPr>
      <w:rFonts w:ascii="楷体" w:hAnsi="楷体" w:eastAsia="楷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4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4">
    <w:name w:val="heading 2"/>
    <w:basedOn w:val="1"/>
    <w:next w:val="1"/>
    <w:link w:val="145"/>
    <w:unhideWhenUsed/>
    <w:qFormat/>
    <w:uiPriority w:val="9"/>
    <w:pPr>
      <w:keepNext/>
      <w:keepLines/>
      <w:spacing w:before="24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3"/>
    <w:basedOn w:val="1"/>
    <w:next w:val="1"/>
    <w:link w:val="146"/>
    <w:unhideWhenUsed/>
    <w:qFormat/>
    <w:uiPriority w:val="9"/>
    <w:pPr>
      <w:keepNext/>
      <w:keepLines/>
      <w:spacing w:before="240"/>
      <w:outlineLvl w:val="2"/>
    </w:pPr>
    <w:rPr>
      <w:rFonts w:asciiTheme="majorHAnsi" w:hAnsiTheme="majorHAnsi" w:eastAsiaTheme="majorEastAsia" w:cstheme="majorBidi"/>
      <w:b/>
      <w:bCs/>
      <w:sz w:val="23"/>
    </w:rPr>
  </w:style>
  <w:style w:type="paragraph" w:styleId="6">
    <w:name w:val="heading 4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7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3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sz w:val="20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52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50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toc 3"/>
    <w:basedOn w:val="1"/>
    <w:next w:val="1"/>
    <w:autoRedefine/>
    <w:unhideWhenUsed/>
    <w:qFormat/>
    <w:uiPriority w:val="39"/>
    <w:pPr>
      <w:spacing w:after="60" w:line="240" w:lineRule="auto"/>
      <w:ind w:left="880" w:leftChars="400" w:firstLine="0"/>
    </w:pPr>
    <w:rPr>
      <w:sz w:val="21"/>
    </w:rPr>
  </w:style>
  <w:style w:type="paragraph" w:styleId="26">
    <w:name w:val="footer"/>
    <w:basedOn w:val="1"/>
    <w:link w:val="1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head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toc 1"/>
    <w:basedOn w:val="1"/>
    <w:next w:val="1"/>
    <w:autoRedefine/>
    <w:unhideWhenUsed/>
    <w:qFormat/>
    <w:uiPriority w:val="39"/>
    <w:pPr>
      <w:spacing w:after="60" w:line="240" w:lineRule="auto"/>
      <w:ind w:firstLine="0"/>
    </w:pPr>
    <w:rPr>
      <w:sz w:val="21"/>
    </w:rPr>
  </w:style>
  <w:style w:type="paragraph" w:styleId="29">
    <w:name w:val="Subtitle"/>
    <w:basedOn w:val="1"/>
    <w:next w:val="1"/>
    <w:link w:val="14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toc 2"/>
    <w:basedOn w:val="1"/>
    <w:next w:val="1"/>
    <w:autoRedefine/>
    <w:unhideWhenUsed/>
    <w:qFormat/>
    <w:uiPriority w:val="39"/>
    <w:pPr>
      <w:spacing w:after="60" w:line="240" w:lineRule="auto"/>
      <w:ind w:left="440" w:leftChars="200" w:firstLine="0"/>
    </w:pPr>
    <w:rPr>
      <w:sz w:val="21"/>
    </w:rPr>
  </w:style>
  <w:style w:type="paragraph" w:styleId="32">
    <w:name w:val="Body Text 2"/>
    <w:basedOn w:val="1"/>
    <w:link w:val="151"/>
    <w:unhideWhenUsed/>
    <w:qFormat/>
    <w:uiPriority w:val="99"/>
    <w:pPr>
      <w:spacing w:after="120" w:line="480" w:lineRule="auto"/>
    </w:pPr>
  </w:style>
  <w:style w:type="paragraph" w:styleId="33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4">
    <w:name w:val="Normal (Web)"/>
    <w:basedOn w:val="1"/>
    <w:semiHidden/>
    <w:unhideWhenUsed/>
    <w:uiPriority w:val="99"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Title"/>
    <w:basedOn w:val="1"/>
    <w:next w:val="1"/>
    <w:link w:val="147"/>
    <w:qFormat/>
    <w:uiPriority w:val="10"/>
    <w:pPr>
      <w:contextualSpacing/>
    </w:pPr>
    <w:rPr>
      <w:rFonts w:asciiTheme="majorHAnsi" w:hAnsiTheme="majorHAnsi" w:eastAsiaTheme="majorEastAsia" w:cstheme="majorBidi"/>
      <w:spacing w:val="5"/>
      <w:kern w:val="28"/>
      <w:sz w:val="46"/>
      <w:szCs w:val="52"/>
    </w:rPr>
  </w:style>
  <w:style w:type="table" w:styleId="38">
    <w:name w:val="Table Grid"/>
    <w:basedOn w:val="3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"/>
    <w:basedOn w:val="37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37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37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37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37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37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37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37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37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37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37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37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37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37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37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37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37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37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37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37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37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37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37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37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37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37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37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37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37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37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37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37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37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37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37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37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37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37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37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37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37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37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37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37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37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37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37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37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37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37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37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37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37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37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37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37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37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37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37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37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37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37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37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37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37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37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37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37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37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37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37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37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37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37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37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37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37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37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37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37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37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37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37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37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37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37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37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8">
    <w:name w:val="Strong"/>
    <w:basedOn w:val="137"/>
    <w:qFormat/>
    <w:uiPriority w:val="22"/>
    <w:rPr>
      <w:b/>
      <w:bCs/>
    </w:rPr>
  </w:style>
  <w:style w:type="character" w:styleId="139">
    <w:name w:val="Emphasis"/>
    <w:basedOn w:val="137"/>
    <w:qFormat/>
    <w:uiPriority w:val="20"/>
    <w:rPr>
      <w:i/>
      <w:iCs/>
    </w:rPr>
  </w:style>
  <w:style w:type="character" w:styleId="140">
    <w:name w:val="Hyperlink"/>
    <w:basedOn w:val="13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1">
    <w:name w:val="页眉 字符"/>
    <w:basedOn w:val="137"/>
    <w:link w:val="27"/>
    <w:qFormat/>
    <w:uiPriority w:val="99"/>
  </w:style>
  <w:style w:type="character" w:customStyle="1" w:styleId="142">
    <w:name w:val="页脚 字符"/>
    <w:basedOn w:val="137"/>
    <w:link w:val="26"/>
    <w:qFormat/>
    <w:uiPriority w:val="99"/>
  </w:style>
  <w:style w:type="paragraph" w:styleId="143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4">
    <w:name w:val="标题 1 字符"/>
    <w:basedOn w:val="137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5">
    <w:name w:val="标题 2 字符"/>
    <w:basedOn w:val="137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6">
    <w:name w:val="标题 3 字符"/>
    <w:basedOn w:val="137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标题 字符"/>
    <w:basedOn w:val="137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8">
    <w:name w:val="副标题 字符"/>
    <w:basedOn w:val="137"/>
    <w:link w:val="2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9">
    <w:name w:val="List Paragraph"/>
    <w:basedOn w:val="1"/>
    <w:qFormat/>
    <w:uiPriority w:val="34"/>
    <w:pPr>
      <w:ind w:left="720"/>
      <w:contextualSpacing/>
    </w:pPr>
  </w:style>
  <w:style w:type="character" w:customStyle="1" w:styleId="150">
    <w:name w:val="正文文本 字符"/>
    <w:basedOn w:val="137"/>
    <w:link w:val="20"/>
    <w:qFormat/>
    <w:uiPriority w:val="99"/>
  </w:style>
  <w:style w:type="character" w:customStyle="1" w:styleId="151">
    <w:name w:val="正文文本 2 字符"/>
    <w:basedOn w:val="137"/>
    <w:link w:val="32"/>
    <w:qFormat/>
    <w:uiPriority w:val="99"/>
  </w:style>
  <w:style w:type="character" w:customStyle="1" w:styleId="152">
    <w:name w:val="正文文本 3 字符"/>
    <w:basedOn w:val="137"/>
    <w:link w:val="18"/>
    <w:qFormat/>
    <w:uiPriority w:val="99"/>
    <w:rPr>
      <w:sz w:val="16"/>
      <w:szCs w:val="16"/>
    </w:rPr>
  </w:style>
  <w:style w:type="character" w:customStyle="1" w:styleId="153">
    <w:name w:val="宏文本 字符"/>
    <w:basedOn w:val="137"/>
    <w:link w:val="2"/>
    <w:qFormat/>
    <w:uiPriority w:val="99"/>
    <w:rPr>
      <w:rFonts w:ascii="Courier" w:hAnsi="Courier"/>
      <w:sz w:val="20"/>
      <w:szCs w:val="20"/>
    </w:r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引用 字符"/>
    <w:basedOn w:val="137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标题 4 字符"/>
    <w:basedOn w:val="137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标题 5 字符"/>
    <w:basedOn w:val="137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8">
    <w:name w:val="标题 6 字符"/>
    <w:basedOn w:val="137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9">
    <w:name w:val="标题 7 字符"/>
    <w:basedOn w:val="137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标题 8 字符"/>
    <w:basedOn w:val="137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1">
    <w:name w:val="标题 9 字符"/>
    <w:basedOn w:val="137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2">
    <w:name w:val="Intense Quote"/>
    <w:basedOn w:val="1"/>
    <w:next w:val="1"/>
    <w:link w:val="163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明显引用 字符"/>
    <w:basedOn w:val="137"/>
    <w:link w:val="162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不明显强调1"/>
    <w:basedOn w:val="137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5">
    <w:name w:val="明显强调1"/>
    <w:basedOn w:val="137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6">
    <w:name w:val="不明显参考1"/>
    <w:basedOn w:val="137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7">
    <w:name w:val="明显参考1"/>
    <w:basedOn w:val="137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8">
    <w:name w:val="书籍标题1"/>
    <w:basedOn w:val="137"/>
    <w:qFormat/>
    <w:uiPriority w:val="33"/>
    <w:rPr>
      <w:b/>
      <w:bCs/>
      <w:smallCaps/>
      <w:spacing w:val="5"/>
    </w:rPr>
  </w:style>
  <w:style w:type="paragraph" w:customStyle="1" w:styleId="169">
    <w:name w:val="TOC 标题1"/>
    <w:basedOn w:val="3"/>
    <w:next w:val="1"/>
    <w:semiHidden/>
    <w:unhideWhenUsed/>
    <w:qFormat/>
    <w:uiPriority w:val="39"/>
    <w:pPr>
      <w:outlineLvl w:val="9"/>
    </w:pPr>
  </w:style>
  <w:style w:type="paragraph" w:customStyle="1" w:styleId="170">
    <w:name w:val="TOC 11"/>
    <w:qFormat/>
    <w:uiPriority w:val="0"/>
    <w:pPr>
      <w:spacing w:after="40" w:line="276" w:lineRule="auto"/>
    </w:pPr>
    <w:rPr>
      <w:rFonts w:ascii="楷体" w:hAnsi="楷体" w:eastAsia="楷体" w:cstheme="minorBidi"/>
      <w:sz w:val="21"/>
      <w:szCs w:val="22"/>
      <w:lang w:val="en-US" w:eastAsia="en-US" w:bidi="ar-SA"/>
    </w:rPr>
  </w:style>
  <w:style w:type="paragraph" w:customStyle="1" w:styleId="171">
    <w:name w:val="TOC 21"/>
    <w:qFormat/>
    <w:uiPriority w:val="0"/>
    <w:pPr>
      <w:spacing w:after="40" w:line="276" w:lineRule="auto"/>
    </w:pPr>
    <w:rPr>
      <w:rFonts w:ascii="楷体" w:hAnsi="楷体" w:eastAsia="楷体" w:cstheme="minorBidi"/>
      <w:sz w:val="21"/>
      <w:szCs w:val="22"/>
      <w:lang w:val="en-US" w:eastAsia="en-US" w:bidi="ar-SA"/>
    </w:rPr>
  </w:style>
  <w:style w:type="paragraph" w:customStyle="1" w:styleId="172">
    <w:name w:val="TOC 31"/>
    <w:qFormat/>
    <w:uiPriority w:val="0"/>
    <w:pPr>
      <w:spacing w:after="40" w:line="276" w:lineRule="auto"/>
    </w:pPr>
    <w:rPr>
      <w:rFonts w:ascii="楷体" w:hAnsi="楷体" w:eastAsia="楷体" w:cstheme="minorBidi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4301</Words>
  <Characters>5546</Characters>
  <Lines>137</Lines>
  <Paragraphs>120</Paragraphs>
  <TotalTime>41</TotalTime>
  <ScaleCrop>false</ScaleCrop>
  <LinksUpToDate>false</LinksUpToDate>
  <CharactersWithSpaces>5605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成员D；AI辅助编写</dc:creator>
  <dc:description>仓库外审阅副本；实际活动和确认状态以证据为准</dc:description>
  <cp:keywords>软件工程;需求分析;校园二手交易;A角色</cp:keywords>
  <cp:lastModifiedBy>微信用户</cp:lastModifiedBy>
  <cp:lastPrinted>2026-10-23T13:18:00Z</cp:lastPrinted>
  <dcterms:modified xsi:type="dcterms:W3CDTF">2026-10-25T12:25:21Z</dcterms:modified>
  <dc:subject>校园二手交易与物品流转平台</dc:subject>
  <dc:title>需求分析质量验证报告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eyJoZGlkIjoiZDA5M2QzYmNjZmNlOGVlZTQ0YWRhNzEwODRmYzU5OGMiLCJ1c2VySWQiOiIxMjQyMDE2NDI1In0=</vt:lpwstr>
  </property>
  <property fmtid="{D5CDD505-2E9C-101B-9397-08002B2CF9AE}" pid="3" name="KSOProductBuildVer">
    <vt:lpwstr>2052-12.1.0.29161</vt:lpwstr>
  </property>
  <property fmtid="{D5CDD505-2E9C-101B-9397-08002B2CF9AE}" pid="4" name="ICV">
    <vt:lpwstr>7569B30A43204350858A236534A3658C_12</vt:lpwstr>
  </property>
</Properties>
</file>