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tulo1"/>
        <w:spacing w:before="120" w:after="120" w:line="324" w:lineRule="auto"/>
        <w:jc w:val="center"/>
      </w:pPr>
      <w:bookmarkStart w:id="20" w:name="tribunal-das-pecs-parte-2-o-julgamento"/>
      <w:r>
        <w:rPr>
          <w:rFonts w:ascii="Arial" w:hAnsi="Arial" w:cs="Arial"/>
          <w:b/>
          <w:bCs/>
          <w:sz w:val="26"/>
          <w:szCs w:val="26"/>
        </w:rPr>
        <w:t xml:space="preserve">Tribunal das PECs — Parte 2: o julgamento</w:t>
      </w:r>
      <w:bookmarkEnd w:id="20"/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Direito Constitucional — Organização dos Poderes · DIRBN.04 · 30/10/2026 · Caderno do Grupo 2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O que fazer: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o seu grupo é agora um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tribunal</w:t>
      </w:r>
      <w:r>
        <w:rPr>
          <w:rFonts w:ascii="Arial" w:hAnsi="Arial" w:cs="Arial"/>
          <w:sz w:val="22"/>
          <w:szCs w:val="22"/>
        </w:rPr>
        <w:t xml:space="preserve">. Para cada PEC deste caderno, decida se a emenda é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válida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ou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inválida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 fundamente com a Constituição.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Onde procurar: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use o art. 60 como mapa. Leia 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autoria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(art. 60, I a III), 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momento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em que o país estava (§ 1º), os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turnos e votos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em cada Casa (§ 2º),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quem promulgou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(§ 3º) 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o que a emenda pretende abolir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(§ 4º). O defeito pode estar em qualquer desses lugares, pode haver mais de um, e pode não haver nenhum.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Regras: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as PECs foram escritas por outro grupo da turma e estão aqui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sem o nome dos autores</w:t>
      </w:r>
      <w:r>
        <w:rPr>
          <w:rFonts w:ascii="Arial" w:hAnsi="Arial" w:cs="Arial"/>
          <w:sz w:val="22"/>
          <w:szCs w:val="22"/>
        </w:rPr>
        <w:t xml:space="preserve">, transcritas como eles as escreveram, inclusive com eventuais erros de digitação ou de datas, que também podem ser considerados no julgamento. Se encontrar um defeito que os autores não planejaram e a fundamentação estiver correta, ele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conta a favor do tribunal</w:t>
      </w:r>
      <w:r>
        <w:rPr>
          <w:rFonts w:ascii="Arial" w:hAnsi="Arial" w:cs="Arial"/>
          <w:sz w:val="22"/>
          <w:szCs w:val="22"/>
        </w:rPr>
        <w:t xml:space="preserve">: vale a Constituição, não o gabarito de quem escreveu.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Tempo: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primeira metade da aula, até as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20h15</w:t>
      </w:r>
      <w:r>
        <w:rPr>
          <w:rFonts w:ascii="Arial" w:hAnsi="Arial" w:cs="Arial"/>
          <w:sz w:val="22"/>
          <w:szCs w:val="22"/>
        </w:rPr>
        <w:t xml:space="preserve">, é para a análise, nas salas. A partir das 20h15, cada grupo escolhe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um representante</w:t>
      </w:r>
      <w:r>
        <w:rPr>
          <w:rFonts w:ascii="Arial" w:hAnsi="Arial" w:cs="Arial"/>
          <w:sz w:val="22"/>
          <w:szCs w:val="22"/>
        </w:rPr>
        <w:t xml:space="preserve">, que apresenta oralmente o julgamento do grupo: as decisões, como o grupo chegou a elas e a fundamentação. É 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defesa oral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do acórdão.</w:t>
      </w:r>
    </w:p>
    <w:p>
      <w:pPr>
        <w:pBdr>
          <w:left w:val="single" w:sz="18" w:space="8" w:color="2E74B5"/>
        </w:pBdr>
        <w:spacing w:before="120" w:after="120" w:line="324" w:lineRule="auto"/>
        <w:ind w:left="284"/>
        <w:jc w:val="both"/>
      </w:pPr>
      <w:r>
        <w:rPr>
          <w:rFonts w:ascii="Arial" w:hAnsi="Arial" w:cs="Arial"/>
          <w:b/>
          <w:sz w:val="22"/>
          <w:szCs w:val="22"/>
        </w:rPr>
        <w:t xml:space="preserve">Critérios desta parte (1,0):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julgamento correto, conferido com a nota dos autores e com a Constituição (0,4); fundamentação, com dispositivo e razão em cada PEC (0,4); apresentação e defesa oral do julgamento (0,2).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sz w:val="22"/>
          <w:szCs w:val="22"/>
        </w:rPr>
        <w:pict>
          <v:rect style="width:0;height:1.5pt" o:hralign="center" o:hrstd="t" o:hr="t"/>
        </w:pict>
      </w:r>
    </w:p>
    <w:p>
      <w:pPr>
        <w:pStyle w:val="Ttulo2"/>
        <w:keepNext/>
      </w:pPr>
      <w:bookmarkStart w:id="21" w:name="Xe9bc3a6ca559a881c9df72acd7ed21b28d01976"/>
      <w:r>
        <w:rPr>
          <w:rFonts w:ascii="Arial" w:hAnsi="Arial" w:cs="Arial"/>
          <w:b/>
          <w:sz w:val="24"/>
          <w:szCs w:val="24"/>
        </w:rPr>
        <w:t xml:space="preserve">PEC 01 — PEC do Pix Seguro e da Proteção contra Golpes Digitais</w:t>
      </w:r>
      <w:bookmarkEnd w:id="21"/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Ementa: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Acrescenta ao art. 5º da Constituição Federal o direito à proteção contra fraudes digitais, clonagem de contas e vazamento de dados pessoais.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Quem propôs: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Iniciativa de 190 Deputados Federais, com assinaturas de apoio correspondentes a mais de um terço dos membros da Câmara dos Deputados, apresentada em 10/02/2025.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Texto da emenda: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Art. 1º O art. 5º da Constituição Federal passa a vigorar acrescido do seguinte inciso LXXX: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“</w:t>
      </w:r>
      <w:r>
        <w:rPr>
          <w:rFonts w:ascii="Arial" w:hAnsi="Arial" w:cs="Arial"/>
          <w:sz w:val="22"/>
          <w:szCs w:val="22"/>
        </w:rPr>
        <w:t xml:space="preserve">LXXX — é assegurado a toda pessoa o direito à proteção contra fraudes eletrônicas, clonagem de contas, transferências não autorizadas e vazamento de dados pessoais, garantidos comunicação imediata do incidente, bloqueio cautelar, atendimento acessível e reparação integral do dano, na forma da lei.</w:t>
      </w:r>
      <w:r>
        <w:rPr>
          <w:rFonts w:ascii="Arial" w:hAnsi="Arial" w:cs="Arial"/>
          <w:sz w:val="22"/>
          <w:szCs w:val="22"/>
        </w:rPr>
        <w:t xml:space="preserve">”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Art. 2º Esta Emenda Constitucional entra em vigor na data de sua publicação.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Justificação: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Golpes por aplicativos, clonagem de contas e vazamentos de dados atingem idosos, trabalhadores e famílias de baixa renda, muitas vezes sem atendimento rápido. A proposta transforma a segurança digital em garantia fundamental, obrigando respostas acessíveis e eficazes. O objetivo é proteger patrimônio, privacidade e dignidade, sem afastar a responsabilidade de bancos e plataformas.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Tramitação na Câmara: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Admitida pela CCJC em 18/03/2025. Aprovada pela Comissão Especial em 22/04/2025. Votada em dois turnos no Plenário: 1º turno em 14/05/2025, por 354 votos a 92; 2º turno em 28/05/2025, por 346 votos a 88. O texto foi aprovado sem alteração de mérito.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Tramitação no Senado: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Aprovada pela CCJ em 17/06/2025. No Plenário, aprovada em dois turnos: 1º turno em 02/07/2025, por 58 votos a 10; 2º turno em 16/07/2025, por 57 votos a 9. Não houve alteração do texto, apenas ajustes de redação sem mudança de conteúdo.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Contexto do país: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Normalidade constitucional: não havia intervenção federal, estado de defesa ou estado de sítio.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Desfecho: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Promulgada pelas Mesas da Câmara dos Deputados e do Senado Federal, em sessão conjunta de 30/07/2025, como Emenda Constitucional nº 139/2025.</w:t>
      </w:r>
    </w:p>
    <w:p>
      <w:pPr>
        <w:pStyle w:val="Ttulo2"/>
        <w:keepNext/>
      </w:pPr>
      <w:bookmarkStart w:id="22" w:name="Xb57032df31e681e65b76fe32492097129781242"/>
      <w:r>
        <w:rPr>
          <w:rFonts w:ascii="Arial" w:hAnsi="Arial" w:cs="Arial"/>
          <w:b/>
          <w:sz w:val="24"/>
          <w:szCs w:val="24"/>
        </w:rPr>
        <w:t xml:space="preserve">PEC 02 — PEC da Proteção da Privacidade nas Comunicações</w:t>
      </w:r>
      <w:bookmarkEnd w:id="22"/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Ementa: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Amplia a proteção constitucional da intimidade e das comunicações digitais, assegurando aviso ao titular e controle judicial posterior sobre medidas excepcionais de acesso a dados.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Quem propôs: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Iniciativa do Presidente da República, apresentada em 10/03/2025, após consulta ao Conselho da República e ao Conselho de Defesa Nacional.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Texto da emenda: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Art. 1º O art. 5º da Constituição Federal passa a vigorar acrescido do seguinte inciso LXXX: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“</w:t>
      </w:r>
      <w:r>
        <w:rPr>
          <w:rFonts w:ascii="Arial" w:hAnsi="Arial" w:cs="Arial"/>
          <w:sz w:val="22"/>
          <w:szCs w:val="22"/>
        </w:rPr>
        <w:t xml:space="preserve">LXXX — é assegurada a proteção da privacidade e da integridade das comunicações digitais, sendo excepcional o acesso estatal a dados pessoais, sempre fundamentado, proporcional e sujeito a controle judicial, na forma da lei.</w:t>
      </w:r>
      <w:r>
        <w:rPr>
          <w:rFonts w:ascii="Arial" w:hAnsi="Arial" w:cs="Arial"/>
          <w:sz w:val="22"/>
          <w:szCs w:val="22"/>
        </w:rPr>
        <w:t xml:space="preserve">”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Art. 2º Esta Emenda Constitucional entra em vigor na data de sua publicação.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Justificação: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vida privada e as comunicações hoje se desenvolvem também em ambientes digitais. A proposta atualiza as garantias constitucionais para impedir vigilância arbitrária e exigir fundamentação, proporcionalidade e controle judicial. Busca concretizar a dignidade humana, a liberdade e a proteção contra abusos do poder público.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Tramitação na Câmara: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Aprovada a admissibilidade pela CCJC em 25/03/2025 e o parecer pela Comissão Especial em 29/04/2025. No Plenário, aprovada em dois turnos: 1º turno em 20/05/2025, por 332 votos a 116; 2º turno em 03/06/2025, por 328 votos a 112. O texto foi mantido.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Tramitação no Senado: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Aprovada pela CCJ em 24/06/2025. No Plenário, aprovada em dois turnos: 1º turno em 08/07/2025, por 55 votos a 13; 2º turno em 22/07/2025, por 54 votos a 12. Não houve alteração do texto.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Contexto do país: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Durante toda a tramitação, estava em vigor intervenção federal no Estado de Aurora, decretada em 05/03/2025 e encerrada em 18/08/2025. As demais instituições funcionavam normalmente.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Desfecho: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Promulgada pelas Mesas da Câmara dos Deputados e do Senado Federal, em sessão conjunta de 30/07/2025, como Emenda Constitucional nº 140/2025.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sz w:val="22"/>
          <w:szCs w:val="22"/>
        </w:rPr>
        <w:pict>
          <v:rect style="width:0;height:1.5pt" o:hralign="center" o:hrstd="t" o:hr="t"/>
        </w:pict>
      </w:r>
    </w:p>
    <w:p>
      <w:pPr>
        <w:pStyle w:val="Ttulo2"/>
        <w:keepNext/>
      </w:pPr>
      <w:bookmarkStart w:id="23" w:name="folha-do-acórdão"/>
      <w:r>
        <w:rPr>
          <w:rFonts w:ascii="Arial" w:hAnsi="Arial" w:cs="Arial"/>
          <w:b/>
          <w:sz w:val="24"/>
          <w:szCs w:val="24"/>
        </w:rPr>
        <w:t xml:space="preserve">Folha do acórdão</w:t>
      </w:r>
      <w:bookmarkEnd w:id="23"/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Grupo julgador: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____________________________________________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Integrantes presentes: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____________________________________________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shd w:val="clear" w:color="auto" w:fill="DEEAF6"/>
            <w:tcBorders>
              <w:bottom w:val="single"/>
            </w:tcBorders>
            <w:vAlign w:val="bottom"/>
          </w:tcPr>
          <w:p/>
          <w:pPr>
            <w:spacing w:before="40" w:after="40" w:line="264" w:lineRule="auto"/>
          </w:pPr>
        </w:tc>
        <w:tc>
          <w:tcPr>
            <w:shd w:val="clear" w:color="auto" w:fill="DEEAF6"/>
            <w:tcBorders>
              <w:bottom w:val="single"/>
            </w:tcBorders>
            <w:vAlign w:val="bottom"/>
          </w:tcPr>
          <w:p>
            <w:r>
              <w:rPr>
                <w:rFonts w:ascii="Arial" w:hAnsi="Arial" w:cs="Arial"/>
                <w:b/>
                <w:sz w:val="19"/>
                <w:szCs w:val="19"/>
              </w:rPr>
              <w:t xml:space="preserve">PEC 01</w:t>
            </w:r>
          </w:p>
        </w:tc>
        <w:tc>
          <w:tcPr>
            <w:shd w:val="clear" w:color="auto" w:fill="DEEAF6"/>
            <w:tcBorders>
              <w:bottom w:val="single"/>
            </w:tcBorders>
            <w:vAlign w:val="bottom"/>
          </w:tcPr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PEC 02</w:t>
            </w:r>
          </w:p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Decisão (válida ou inválida)</w:t>
            </w:r>
          </w:p>
        </w:tc>
        <w:tc>
          <w:p/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Limitação do art. 60 violada (formal, circunstancial, material ou nenhuma)</w:t>
            </w:r>
          </w:p>
        </w:tc>
        <w:tc>
          <w:p/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Dispositivo da Constituição</w:t>
            </w:r>
          </w:p>
        </w:tc>
        <w:tc>
          <w:p/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Fundamento (3 a 5 linhas)</w:t>
            </w:r>
          </w:p>
        </w:tc>
        <w:tc>
          <w:p/>
        </w:tc>
        <w:tc>
          <w:p/>
        </w:tc>
      </w:tr>
    </w:tbl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Comparação: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escreva abaixo da tabela, em 2 ou 3 linhas, qual das PECs é a mais grave e por quê.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Envio: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ao final do julgamento, mande esta folha preenchida para antonio.mario@atmos.edu.br, com o assunto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TRIBUNAL DAS PECs - Parte 2 - Grupo X - DIRBN.04</w:t>
      </w:r>
      <w:r>
        <w:rPr>
          <w:rFonts w:ascii="Arial" w:hAnsi="Arial" w:cs="Arial"/>
          <w:sz w:val="22"/>
          <w:szCs w:val="22"/>
        </w:rPr>
        <w:t xml:space="preserve">.</w:t>
      </w:r>
    </w:p>
    <w:sectPr w:rsidR="00AC63AC" w:rsidRPr="007D4BB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6DFE2" w14:textId="77777777" w:rsidR="00484370" w:rsidRDefault="00484370">
      <w:r>
        <w:separator/>
      </w:r>
    </w:p>
  </w:endnote>
  <w:endnote w:type="continuationSeparator" w:id="0">
    <w:p w14:paraId="2F1B349B" w14:textId="77777777" w:rsidR="00484370" w:rsidRDefault="00484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1344048215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30E33B67" w14:textId="4D3A9B0B" w:rsidR="00403FCC" w:rsidRDefault="00403FCC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pict w14:anchorId="53A14D8B">
                <v:oval id="Oval 10" o:spid="_x0000_s2049" style="position:absolute;margin-left:0;margin-top:0;width:24.55pt;height:24.55pt;z-index:251659264;visibility:visible;mso-wrap-distance-left:9pt;mso-wrap-distance-top:0;mso-wrap-distance-right:9pt;mso-wrap-distance-bottom:0;mso-position-horizontal:center;mso-position-horizontal-relative:margin;mso-position-vertical:center;mso-position-vertical-relative:bottom-margin-area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" fillcolor="#40618b" stroked="f">
                  <v:textbox style="mso-next-textbox:#Oval 10">
                    <w:txbxContent>
                      <w:p w14:paraId="6E28B259" w14:textId="77777777" w:rsidR="00403FCC" w:rsidRPr="00403FCC" w:rsidRDefault="00403FCC">
                        <w:pPr>
                          <w:pStyle w:val="Rodap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403FC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fldChar w:fldCharType="begin"/>
                        </w:r>
                        <w:r w:rsidRPr="00403FC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instrText>PAGE    \* MERGEFORMAT</w:instrText>
                        </w:r>
                        <w:r w:rsidRPr="00403FC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fldChar w:fldCharType="separate"/>
                        </w:r>
                        <w:r w:rsidRPr="00403FCC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2</w:t>
                        </w:r>
                        <w:r w:rsidRPr="00403FCC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w:r>
          </w:p>
        </w:sdtContent>
      </w:sdt>
    </w:sdtContent>
  </w:sdt>
  <w:p w14:paraId="39BC78D9" w14:textId="77777777" w:rsidR="00403FCC" w:rsidRDefault="00403F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7180A" w14:textId="77777777" w:rsidR="00484370" w:rsidRDefault="00484370">
      <w:r>
        <w:separator/>
      </w:r>
    </w:p>
  </w:footnote>
  <w:footnote w:type="continuationSeparator" w:id="0">
    <w:p w14:paraId="16D35EE1" w14:textId="77777777" w:rsidR="00484370" w:rsidRDefault="004843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970ED" w14:textId="641E102F" w:rsidR="00403FCC" w:rsidRPr="00403FCC" w:rsidRDefault="00403FCC" w:rsidP="00403FCC">
    <w:pPr>
      <w:jc w:val="center"/>
      <w:rPr>
        <w:rFonts w:ascii="Arial" w:hAnsi="Arial" w:cs="Arial"/>
        <w:color w:val="666666"/>
        <w:sz w:val="18"/>
        <w:szCs w:val="18"/>
      </w:rPr>
    </w:pPr>
    <w:r w:rsidRPr="00403FCC">
      <w:rPr>
        <w:rFonts w:ascii="Arial" w:hAnsi="Arial" w:cs="Arial"/>
        <w:noProof/>
      </w:rPr>
      <w:drawing>
        <wp:inline distT="0" distB="0" distL="0" distR="0" wp14:anchorId="705FBDFA" wp14:editId="24081709">
          <wp:extent cx="1888779" cy="542009"/>
          <wp:effectExtent l="0" t="0" r="0" b="0"/>
          <wp:docPr id="32794385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8114" cy="54468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48A8121B" w14:textId="0489913E" w:rsidR="00AC63AC" w:rsidRDefault="00484370" w:rsidP="00403FCC">
    <w:pPr>
      <w:jc w:val="center"/>
      <w:rPr>
        <w:rFonts w:ascii="Arial" w:hAnsi="Arial" w:cs="Arial"/>
        <w:b/>
        <w:bCs/>
        <w:color w:val="666666"/>
        <w:sz w:val="20"/>
        <w:szCs w:val="20"/>
      </w:rPr>
    </w:pPr>
    <w:r w:rsidRPr="00403FCC">
      <w:rPr>
        <w:rFonts w:ascii="Arial" w:hAnsi="Arial" w:cs="Arial"/>
        <w:b/>
        <w:bCs/>
        <w:color w:val="666666"/>
        <w:sz w:val="20"/>
        <w:szCs w:val="20"/>
      </w:rPr>
      <w:t>Tribunal das PECs — Organização dos Poderes</w:t>
    </w:r>
  </w:p>
  <w:p w14:paraId="2C95974B" w14:textId="77777777" w:rsidR="00403FCC" w:rsidRPr="00403FCC" w:rsidRDefault="00403FCC" w:rsidP="00403FCC">
    <w:pPr>
      <w:jc w:val="center"/>
      <w:rPr>
        <w:rFonts w:ascii="Arial" w:hAnsi="Arial" w:cs="Arial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70E38"/>
    <w:multiLevelType w:val="hybridMultilevel"/>
    <w:tmpl w:val="79F05D50"/>
    <w:lvl w:ilvl="0" w:tplc="33E661E0">
      <w:start w:val="1"/>
      <w:numFmt w:val="bullet"/>
      <w:lvlText w:val="●"/>
      <w:lvlJc w:val="left"/>
      <w:pPr>
        <w:ind w:left="720" w:hanging="360"/>
      </w:pPr>
    </w:lvl>
    <w:lvl w:ilvl="1" w:tplc="32204A6A">
      <w:start w:val="1"/>
      <w:numFmt w:val="bullet"/>
      <w:lvlText w:val="○"/>
      <w:lvlJc w:val="left"/>
      <w:pPr>
        <w:ind w:left="1440" w:hanging="360"/>
      </w:pPr>
    </w:lvl>
    <w:lvl w:ilvl="2" w:tplc="42180F68">
      <w:start w:val="1"/>
      <w:numFmt w:val="bullet"/>
      <w:lvlText w:val="■"/>
      <w:lvlJc w:val="left"/>
      <w:pPr>
        <w:ind w:left="2160" w:hanging="360"/>
      </w:pPr>
    </w:lvl>
    <w:lvl w:ilvl="3" w:tplc="854AED7A">
      <w:start w:val="1"/>
      <w:numFmt w:val="bullet"/>
      <w:lvlText w:val="●"/>
      <w:lvlJc w:val="left"/>
      <w:pPr>
        <w:ind w:left="2880" w:hanging="360"/>
      </w:pPr>
    </w:lvl>
    <w:lvl w:ilvl="4" w:tplc="165E8DBE">
      <w:start w:val="1"/>
      <w:numFmt w:val="bullet"/>
      <w:lvlText w:val="○"/>
      <w:lvlJc w:val="left"/>
      <w:pPr>
        <w:ind w:left="3600" w:hanging="360"/>
      </w:pPr>
    </w:lvl>
    <w:lvl w:ilvl="5" w:tplc="19C27A2C">
      <w:start w:val="1"/>
      <w:numFmt w:val="bullet"/>
      <w:lvlText w:val="■"/>
      <w:lvlJc w:val="left"/>
      <w:pPr>
        <w:ind w:left="4320" w:hanging="360"/>
      </w:pPr>
    </w:lvl>
    <w:lvl w:ilvl="6" w:tplc="7430DE3C">
      <w:start w:val="1"/>
      <w:numFmt w:val="bullet"/>
      <w:lvlText w:val="●"/>
      <w:lvlJc w:val="left"/>
      <w:pPr>
        <w:ind w:left="5040" w:hanging="360"/>
      </w:pPr>
    </w:lvl>
    <w:lvl w:ilvl="7" w:tplc="4FE2F142">
      <w:start w:val="1"/>
      <w:numFmt w:val="bullet"/>
      <w:lvlText w:val="●"/>
      <w:lvlJc w:val="left"/>
      <w:pPr>
        <w:ind w:left="5760" w:hanging="360"/>
      </w:pPr>
    </w:lvl>
    <w:lvl w:ilvl="8" w:tplc="1ECAA5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1AE401"/>
    <w:multiLevelType w:val="multilevel"/>
    <w:tmpl w:val="EACE88A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264A4"/>
    <w:rsid w:val="00403FCC"/>
    <w:rsid w:val="00484370"/>
    <w:rsid w:val="004E29B3"/>
    <w:rsid w:val="00590D07"/>
    <w:rsid w:val="00784D58"/>
    <w:rsid w:val="007D4BB8"/>
    <w:rsid w:val="008D6863"/>
    <w:rsid w:val="00AC63AC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702298C"/>
  <w15:docId w15:val="{6D707401-807C-4C36-B5C4-323E9F62F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autoRedefine/>
    <w:uiPriority w:val="9"/>
    <w:unhideWhenUsed/>
    <w:qFormat/>
    <w:rsid w:val="007D4BB8"/>
    <w:pPr>
      <w:spacing w:before="360" w:after="120" w:line="360" w:lineRule="auto"/>
      <w:outlineLvl w:val="1"/>
    </w:pPr>
    <w:rPr>
      <w:rFonts w:ascii="Arial" w:hAnsi="Arial" w:cs="Arial"/>
      <w:b/>
      <w:color w:val="2E74B5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Cabealho">
    <w:name w:val="header"/>
    <w:basedOn w:val="Normal"/>
    <w:link w:val="CabealhoChar"/>
    <w:uiPriority w:val="99"/>
    <w:unhideWhenUsed/>
    <w:rsid w:val="00403F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03FCC"/>
  </w:style>
  <w:style w:type="paragraph" w:styleId="Rodap">
    <w:name w:val="footer"/>
    <w:basedOn w:val="Normal"/>
    <w:link w:val="RodapChar"/>
    <w:uiPriority w:val="99"/>
    <w:unhideWhenUsed/>
    <w:rsid w:val="00403F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03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1058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Mario Bastos</cp:lastModifiedBy>
  <cp:revision>4</cp:revision>
  <dcterms:created xsi:type="dcterms:W3CDTF">2026-09-25T20:23:00Z</dcterms:created>
  <dcterms:modified xsi:type="dcterms:W3CDTF">2026-09-25T21:03:00Z</dcterms:modified>
</cp:coreProperties>
</file>