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tulo1"/>
        <w:spacing w:before="120" w:after="120" w:line="324" w:lineRule="auto"/>
        <w:jc w:val="center"/>
      </w:pPr>
      <w:bookmarkStart w:id="20" w:name="tribunal-das-pecs-parte-2-o-julgamento"/>
      <w:r>
        <w:rPr>
          <w:rFonts w:ascii="Arial" w:hAnsi="Arial" w:cs="Arial"/>
          <w:b/>
          <w:bCs/>
          <w:sz w:val="26"/>
          <w:szCs w:val="26"/>
        </w:rPr>
        <w:t xml:space="preserve">Tribunal das PECs — Parte 2: o julgamento</w:t>
      </w:r>
      <w:bookmarkEnd w:id="20"/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Direito Constitucional — Organização dos Poderes · DIRBN.04 · 30/10/2026 · Caderno do Grupo 3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O que fazer: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o seu grupo é agora um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tribunal</w:t>
      </w:r>
      <w:r>
        <w:rPr>
          <w:rFonts w:ascii="Arial" w:hAnsi="Arial" w:cs="Arial"/>
          <w:sz w:val="22"/>
          <w:szCs w:val="22"/>
        </w:rPr>
        <w:t xml:space="preserve">. Para cada PEC deste caderno, decida se a emenda é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válida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ou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inválida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 fundamente com a Constituição.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Onde procurar: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use o art. 60 como mapa. Leia a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autoria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(art. 60, I a III), o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momento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em que o país estava (§ 1º), os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turnos e votos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em cada Casa (§ 2º),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quem promulgou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(§ 3º) 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o que a emenda pretende abolir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(§ 4º). O defeito pode estar em qualquer desses lugares, pode haver mais de um, e pode não haver nenhum.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Regras: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as PECs foram escritas por outro grupo da turma e estão aqui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sem o nome dos autores</w:t>
      </w:r>
      <w:r>
        <w:rPr>
          <w:rFonts w:ascii="Arial" w:hAnsi="Arial" w:cs="Arial"/>
          <w:sz w:val="22"/>
          <w:szCs w:val="22"/>
        </w:rPr>
        <w:t xml:space="preserve">, transcritas como eles as escreveram, inclusive com eventuais erros de digitação ou de datas, que também podem ser considerados no julgamento. Se encontrar um defeito que os autores não planejaram e a fundamentação estiver correta, ele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conta a favor do tribunal</w:t>
      </w:r>
      <w:r>
        <w:rPr>
          <w:rFonts w:ascii="Arial" w:hAnsi="Arial" w:cs="Arial"/>
          <w:sz w:val="22"/>
          <w:szCs w:val="22"/>
        </w:rPr>
        <w:t xml:space="preserve">: vale a Constituição, não o gabarito de quem escreveu.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Tempo: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 primeira metade da aula, até as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20h15</w:t>
      </w:r>
      <w:r>
        <w:rPr>
          <w:rFonts w:ascii="Arial" w:hAnsi="Arial" w:cs="Arial"/>
          <w:sz w:val="22"/>
          <w:szCs w:val="22"/>
        </w:rPr>
        <w:t xml:space="preserve">, é para a análise, nas salas. A partir das 20h15, cada grupo escolhe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um representante</w:t>
      </w:r>
      <w:r>
        <w:rPr>
          <w:rFonts w:ascii="Arial" w:hAnsi="Arial" w:cs="Arial"/>
          <w:sz w:val="22"/>
          <w:szCs w:val="22"/>
        </w:rPr>
        <w:t xml:space="preserve">, que apresenta oralmente o julgamento do grupo: as decisões, como o grupo chegou a elas e a fundamentação. É a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defesa oral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do acórdão.</w:t>
      </w:r>
    </w:p>
    <w:p>
      <w:pPr>
        <w:pBdr>
          <w:left w:val="single" w:sz="18" w:space="8" w:color="2E74B5"/>
        </w:pBdr>
        <w:spacing w:before="120" w:after="120" w:line="324" w:lineRule="auto"/>
        <w:ind w:left="284"/>
        <w:jc w:val="both"/>
      </w:pPr>
      <w:r>
        <w:rPr>
          <w:rFonts w:ascii="Arial" w:hAnsi="Arial" w:cs="Arial"/>
          <w:b/>
          <w:sz w:val="22"/>
          <w:szCs w:val="22"/>
        </w:rPr>
        <w:t xml:space="preserve">Critérios desta parte (1,0):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julgamento correto, conferido com a nota dos autores e com a Constituição (0,4); fundamentação, com dispositivo e razão em cada PEC (0,4); apresentação e defesa oral do julgamento (0,2).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sz w:val="22"/>
          <w:szCs w:val="22"/>
        </w:rPr>
        <w:pict>
          <v:rect style="width:0;height:1.5pt" o:hralign="center" o:hrstd="t" o:hr="t"/>
        </w:pict>
      </w:r>
    </w:p>
    <w:p>
      <w:pPr>
        <w:pStyle w:val="Ttulo2"/>
        <w:keepNext/>
      </w:pPr>
      <w:bookmarkStart w:id="21" w:name="pec-05-autonomia-fiscal-dos-estados"/>
      <w:r>
        <w:rPr>
          <w:rFonts w:ascii="Arial" w:hAnsi="Arial" w:cs="Arial"/>
          <w:b/>
          <w:sz w:val="24"/>
          <w:szCs w:val="24"/>
        </w:rPr>
        <w:t xml:space="preserve">PEC 05 — Autonomia Fiscal dos Estados</w:t>
      </w:r>
      <w:bookmarkEnd w:id="21"/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Ementa: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Permite aos Estados instituir contribuição própria para custeio da segurança pública.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Quem propôs: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Governadores de mais da metade da assembleia.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Texto da emenda: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Art. 1º O art. 144 da Constituição Federal passa a vigorar acrescido do seguinte § 11, os Estados poderão instituir contribuição para o custeio dos serviços estaduais de segurança pública.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Justificação: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Dar aos Estados fonte própria de financiamento diante da crise na segurança pública.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Tramitação na Câmara: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Primeiro passou pela Comissão Especial e depois a CCJC (Comissão de Constituição e Justiça e de Cidadania). A Câmara dos Deputados aprovou o texto-base da PEC no dia 5 de fevereiro de 1999. A votação expressiva em primeiro turno registrou 472 votos a favor e 22 contra. Após concluir as rodadas de votação na Câmara, a matéria foi enviada ao Senado Federal, onde passou por sessões de discussão em plenário.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Tramitação no Senado: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Como o Senado não cria comissões especiais para PECs da mesma forma que a Câmara, a proposta foi despachada diretamente para a CCJ (Comissão de Constituição e Justiça). O Senado aprovou a PEC no dia 30/04/1999. A aprovação contou com o voto favorável de governistas e da oposição, registrando apenas um voto contrário. Como o Senado não cria comissões especiais para PECs da mesma forma que a Câmara, a proposta foi despachada diretamente para a CCJ (Comissão de Constituição e Justiça) O Senado aprovou a PEC no dia 30/04/1999, votada somente em um turno. A aprovação contou com o voto favorável de governistas e da oposição, registrando apenas um voto contrário.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Contexto do país: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Em 10/03, o Presidente decretou intervenção federal no Estado de um dos autores da proposta, e ela durou até 30/04, cobrindo toda a votação.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Desfecho: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 PEC passou pelo Congresso Nacional e foi aprovada pelo presidente da República em 23 de janeiro de 2000. Durante o processo de votação, 75 senadores manifestaram apoio à proposta e votaram a favor, enquanto apenas um senador votou contra. Entre os deputados federais, apenas 22 votaram contra a proposta.</w:t>
      </w:r>
    </w:p>
    <w:p>
      <w:pPr>
        <w:pStyle w:val="Ttulo2"/>
        <w:keepNext/>
      </w:pPr>
      <w:bookmarkStart w:id="22" w:name="X649d2029d7713927bc745e1f290cb52286ba4dc"/>
      <w:r>
        <w:rPr>
          <w:rFonts w:ascii="Arial" w:hAnsi="Arial" w:cs="Arial"/>
          <w:b/>
          <w:sz w:val="24"/>
          <w:szCs w:val="24"/>
        </w:rPr>
        <w:t xml:space="preserve">PEC 06 — Cooperação Federativa em Serviços Essenciais</w:t>
      </w:r>
      <w:bookmarkEnd w:id="22"/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Ementa: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Permite aos Estados instituir contribuição própria para custeio de segurança pública.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Quem propôs: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171 Deputados Federais, número correspondente a mais de um terço dos membros da Câmara dos Deputados, nos termos do art. 60, inciso I, da Constituição Federal.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Texto da emenda: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O art. 241 da Constituição Federal passa a vigorar com a seguinte redação: Art. 241. A União, os Estados, o Distrito Federal e os Municípios poderão estabelecer formas de cooperação para a realização de políticas públicas nas áreas de saúde, educação, meio ambiente e assistência social. § 1º A cooperação entre os entes federativos deverá definir as responsabilidades de cada um e os recursos necessários para o cumprimento das obrigações assumidas. § 2º Fica proibida a transferência de responsabilidades de um ente federativo para outro sem a garantia dos recursos financeiros necessários para sua execução. Art. 2º Esta Emenda Constitucional entra em vigor na data de sua publicação.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Justificação: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 Constituição prevê competências comuns entre os entes federativos em áreas como saúde, educação, meio ambiente e assistência social. A proposta melhora a coordenação dessas políticas, preserva a autonomia dos entes e impede que um deles receba novas obrigações sem os recursos necessários.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Tramitação na Câmara: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 proposta foi distribuída inicialmente para a Comissão de Constituição e Justiça e de Cidadania (CCJC), que aprovou a sua admissibilidade jurídica. Em seguida, foi criada uma Comissão Especial para analisar o mérito da matéria, onde o relatório favorável também foi aprovado por unanimidade. A matéria passou pelo rito constitucional obrigatório de discussão e votação em dois turnos distintos no Plenário da Câmara dos Deputados. No 1º turno, a PEC foi aprovada por 342 votos favoráveis e 110 contrários. No 2º turno, obteve 335 votos favoráveis e 115 contrários, superando em ambas as votações o quórum qualificado exigido de três quintos 308 deputados. A aprovação em 1º turno ocorreu no dia 15 de agosto de 2026. Após o cumprimento dos prazos regimentais, a votação em 2º turno foi concluída em 02 de setembro de 2026, data em que a matéria foi enviada para a revisão do Senado Federal.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Tramitação no Senado: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 matéria foi distribuída à Comissão de Constituição, Justiça e Cidadania (CCJ) do Senado, onde recebeu parecer favorável quanto à admissibilidade e ao mérito, sem emendas. Aprovada em dois turnos no Plenário do Senado Federal. No 1º turno, obteve 58 votos favoráveis e 12 contrários. No 2º turno, foi aprovada por 56 votos favoráveis e 14 contrários, superando o quórum mínimo exigido de três quintos 49 senadores. A votação em 1º turno ocorreu em 06 de outubro de 2026. Após o interstício regimental, a votação em 2º turno foi realizada em 15 de outubro de 2026. Não houve nenhuma alteração de mérito no texto aprovado.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Contexto do país: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 proposta tramitou em período de normalidade institucional, sem intervenção federal, estado de defesa ou estado de sítio. O Congresso Nacional funcionava regularmente e não havia impedimento constitucional à apreciação da matéria.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Desfecho: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Concluída a aprovação em dois turnos, por três quintos dos membros de cada Casa, as Mesas da Câmara dos Deputados e do Senado Federal promulgaram conjuntamente a Emenda Constitucional nº 140, de 23 de outubro de 2026, publicada no Diário Oficial da União na mesma data. Não houve sanção ou veto presidencial, pois a promulgação de emenda constitucional compete às Mesas do Congresso Nacional, conforme o art. 60, § 3º, da Constituição Federal.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sz w:val="22"/>
          <w:szCs w:val="22"/>
        </w:rPr>
        <w:pict>
          <v:rect style="width:0;height:1.5pt" o:hralign="center" o:hrstd="t" o:hr="t"/>
        </w:pict>
      </w:r>
    </w:p>
    <w:p>
      <w:pPr>
        <w:pStyle w:val="Ttulo2"/>
        <w:keepNext/>
      </w:pPr>
      <w:bookmarkStart w:id="23" w:name="folha-do-acórdão"/>
      <w:r>
        <w:rPr>
          <w:rFonts w:ascii="Arial" w:hAnsi="Arial" w:cs="Arial"/>
          <w:b/>
          <w:sz w:val="24"/>
          <w:szCs w:val="24"/>
        </w:rPr>
        <w:t xml:space="preserve">Folha do acórdão</w:t>
      </w:r>
      <w:bookmarkEnd w:id="23"/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Grupo julgador: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____________________________________________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Integrantes presentes: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____________________________________________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shd w:val="clear" w:color="auto" w:fill="DEEAF6"/>
            <w:tcBorders>
              <w:bottom w:val="single"/>
            </w:tcBorders>
            <w:vAlign w:val="bottom"/>
          </w:tcPr>
          <w:p/>
          <w:pPr>
            <w:spacing w:before="40" w:after="40" w:line="264" w:lineRule="auto"/>
          </w:pPr>
        </w:tc>
        <w:tc>
          <w:tcPr>
            <w:shd w:val="clear" w:color="auto" w:fill="DEEAF6"/>
            <w:tcBorders>
              <w:bottom w:val="single"/>
            </w:tcBorders>
            <w:vAlign w:val="bottom"/>
          </w:tcPr>
          <w:p>
            <w:r>
              <w:rPr>
                <w:rFonts w:ascii="Arial" w:hAnsi="Arial" w:cs="Arial"/>
                <w:b/>
                <w:sz w:val="19"/>
                <w:szCs w:val="19"/>
              </w:rPr>
              <w:t xml:space="preserve">PEC 05</w:t>
            </w:r>
          </w:p>
        </w:tc>
        <w:tc>
          <w:tcPr>
            <w:shd w:val="clear" w:color="auto" w:fill="DEEAF6"/>
            <w:tcBorders>
              <w:bottom w:val="single"/>
            </w:tcBorders>
            <w:vAlign w:val="bottom"/>
          </w:tcPr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PEC 06</w:t>
            </w:r>
          </w:p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Decisão (válida ou inválida)</w:t>
            </w:r>
          </w:p>
        </w:tc>
        <w:tc>
          <w:p/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Limitação do art. 60 violada (formal, circunstancial, material ou nenhuma)</w:t>
            </w:r>
          </w:p>
        </w:tc>
        <w:tc>
          <w:p/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Dispositivo da Constituição</w:t>
            </w:r>
          </w:p>
        </w:tc>
        <w:tc>
          <w:p/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Fundamento (3 a 5 linhas)</w:t>
            </w:r>
          </w:p>
        </w:tc>
        <w:tc>
          <w:p/>
        </w:tc>
        <w:tc>
          <w:p/>
        </w:tc>
      </w:tr>
    </w:tbl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Comparação: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escreva abaixo da tabela, em 2 ou 3 linhas, qual das PECs é a mais grave e por quê.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Envio: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ao final do julgamento, mande esta folha preenchida para antonio.mario@atmos.edu.br, com o assunto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TRIBUNAL DAS PECs - Parte 2 - Grupo X - DIRBN.04</w:t>
      </w:r>
      <w:r>
        <w:rPr>
          <w:rFonts w:ascii="Arial" w:hAnsi="Arial" w:cs="Arial"/>
          <w:sz w:val="22"/>
          <w:szCs w:val="22"/>
        </w:rPr>
        <w:t xml:space="preserve">.</w:t>
      </w:r>
    </w:p>
    <w:sectPr w:rsidR="00AC63AC" w:rsidRPr="007D4BB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6DFE2" w14:textId="77777777" w:rsidR="00484370" w:rsidRDefault="00484370">
      <w:r>
        <w:separator/>
      </w:r>
    </w:p>
  </w:endnote>
  <w:endnote w:type="continuationSeparator" w:id="0">
    <w:p w14:paraId="2F1B349B" w14:textId="77777777" w:rsidR="00484370" w:rsidRDefault="00484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</w:rPr>
      <w:id w:val="1344048215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30E33B67" w14:textId="4D3A9B0B" w:rsidR="00403FCC" w:rsidRDefault="00403FCC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pict w14:anchorId="53A14D8B">
                <v:oval id="Oval 10" o:spid="_x0000_s2049" style="position:absolute;margin-left:0;margin-top:0;width:24.55pt;height:24.55pt;z-index:251659264;visibility:visible;mso-wrap-distance-left:9pt;mso-wrap-distance-top:0;mso-wrap-distance-right:9pt;mso-wrap-distance-bottom:0;mso-position-horizontal:center;mso-position-horizontal-relative:margin;mso-position-vertical:center;mso-position-vertical-relative:bottom-margin-area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" fillcolor="#40618b" stroked="f">
                  <v:textbox style="mso-next-textbox:#Oval 10">
                    <w:txbxContent>
                      <w:p w14:paraId="6E28B259" w14:textId="77777777" w:rsidR="00403FCC" w:rsidRPr="00403FCC" w:rsidRDefault="00403FCC">
                        <w:pPr>
                          <w:pStyle w:val="Rodap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403FC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fldChar w:fldCharType="begin"/>
                        </w:r>
                        <w:r w:rsidRPr="00403FC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instrText>PAGE    \* MERGEFORMAT</w:instrText>
                        </w:r>
                        <w:r w:rsidRPr="00403FC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fldChar w:fldCharType="separate"/>
                        </w:r>
                        <w:r w:rsidRPr="00403FCC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2</w:t>
                        </w:r>
                        <w:r w:rsidRPr="00403FCC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w:r>
          </w:p>
        </w:sdtContent>
      </w:sdt>
    </w:sdtContent>
  </w:sdt>
  <w:p w14:paraId="39BC78D9" w14:textId="77777777" w:rsidR="00403FCC" w:rsidRDefault="00403FC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7180A" w14:textId="77777777" w:rsidR="00484370" w:rsidRDefault="00484370">
      <w:r>
        <w:separator/>
      </w:r>
    </w:p>
  </w:footnote>
  <w:footnote w:type="continuationSeparator" w:id="0">
    <w:p w14:paraId="16D35EE1" w14:textId="77777777" w:rsidR="00484370" w:rsidRDefault="004843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970ED" w14:textId="641E102F" w:rsidR="00403FCC" w:rsidRPr="00403FCC" w:rsidRDefault="00403FCC" w:rsidP="00403FCC">
    <w:pPr>
      <w:jc w:val="center"/>
      <w:rPr>
        <w:rFonts w:ascii="Arial" w:hAnsi="Arial" w:cs="Arial"/>
        <w:color w:val="666666"/>
        <w:sz w:val="18"/>
        <w:szCs w:val="18"/>
      </w:rPr>
    </w:pPr>
    <w:r w:rsidRPr="00403FCC">
      <w:rPr>
        <w:rFonts w:ascii="Arial" w:hAnsi="Arial" w:cs="Arial"/>
        <w:noProof/>
      </w:rPr>
      <w:drawing>
        <wp:inline distT="0" distB="0" distL="0" distR="0" wp14:anchorId="705FBDFA" wp14:editId="24081709">
          <wp:extent cx="1888779" cy="542009"/>
          <wp:effectExtent l="0" t="0" r="0" b="0"/>
          <wp:docPr id="32794385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8114" cy="54468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48A8121B" w14:textId="0489913E" w:rsidR="00AC63AC" w:rsidRDefault="00484370" w:rsidP="00403FCC">
    <w:pPr>
      <w:jc w:val="center"/>
      <w:rPr>
        <w:rFonts w:ascii="Arial" w:hAnsi="Arial" w:cs="Arial"/>
        <w:b/>
        <w:bCs/>
        <w:color w:val="666666"/>
        <w:sz w:val="20"/>
        <w:szCs w:val="20"/>
      </w:rPr>
    </w:pPr>
    <w:r w:rsidRPr="00403FCC">
      <w:rPr>
        <w:rFonts w:ascii="Arial" w:hAnsi="Arial" w:cs="Arial"/>
        <w:b/>
        <w:bCs/>
        <w:color w:val="666666"/>
        <w:sz w:val="20"/>
        <w:szCs w:val="20"/>
      </w:rPr>
      <w:t>Tribunal das PECs — Organização dos Poderes</w:t>
    </w:r>
  </w:p>
  <w:p w14:paraId="2C95974B" w14:textId="77777777" w:rsidR="00403FCC" w:rsidRPr="00403FCC" w:rsidRDefault="00403FCC" w:rsidP="00403FCC">
    <w:pPr>
      <w:jc w:val="center"/>
      <w:rPr>
        <w:rFonts w:ascii="Arial" w:hAnsi="Arial" w:cs="Arial"/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70E38"/>
    <w:multiLevelType w:val="hybridMultilevel"/>
    <w:tmpl w:val="79F05D50"/>
    <w:lvl w:ilvl="0" w:tplc="33E661E0">
      <w:start w:val="1"/>
      <w:numFmt w:val="bullet"/>
      <w:lvlText w:val="●"/>
      <w:lvlJc w:val="left"/>
      <w:pPr>
        <w:ind w:left="720" w:hanging="360"/>
      </w:pPr>
    </w:lvl>
    <w:lvl w:ilvl="1" w:tplc="32204A6A">
      <w:start w:val="1"/>
      <w:numFmt w:val="bullet"/>
      <w:lvlText w:val="○"/>
      <w:lvlJc w:val="left"/>
      <w:pPr>
        <w:ind w:left="1440" w:hanging="360"/>
      </w:pPr>
    </w:lvl>
    <w:lvl w:ilvl="2" w:tplc="42180F68">
      <w:start w:val="1"/>
      <w:numFmt w:val="bullet"/>
      <w:lvlText w:val="■"/>
      <w:lvlJc w:val="left"/>
      <w:pPr>
        <w:ind w:left="2160" w:hanging="360"/>
      </w:pPr>
    </w:lvl>
    <w:lvl w:ilvl="3" w:tplc="854AED7A">
      <w:start w:val="1"/>
      <w:numFmt w:val="bullet"/>
      <w:lvlText w:val="●"/>
      <w:lvlJc w:val="left"/>
      <w:pPr>
        <w:ind w:left="2880" w:hanging="360"/>
      </w:pPr>
    </w:lvl>
    <w:lvl w:ilvl="4" w:tplc="165E8DBE">
      <w:start w:val="1"/>
      <w:numFmt w:val="bullet"/>
      <w:lvlText w:val="○"/>
      <w:lvlJc w:val="left"/>
      <w:pPr>
        <w:ind w:left="3600" w:hanging="360"/>
      </w:pPr>
    </w:lvl>
    <w:lvl w:ilvl="5" w:tplc="19C27A2C">
      <w:start w:val="1"/>
      <w:numFmt w:val="bullet"/>
      <w:lvlText w:val="■"/>
      <w:lvlJc w:val="left"/>
      <w:pPr>
        <w:ind w:left="4320" w:hanging="360"/>
      </w:pPr>
    </w:lvl>
    <w:lvl w:ilvl="6" w:tplc="7430DE3C">
      <w:start w:val="1"/>
      <w:numFmt w:val="bullet"/>
      <w:lvlText w:val="●"/>
      <w:lvlJc w:val="left"/>
      <w:pPr>
        <w:ind w:left="5040" w:hanging="360"/>
      </w:pPr>
    </w:lvl>
    <w:lvl w:ilvl="7" w:tplc="4FE2F142">
      <w:start w:val="1"/>
      <w:numFmt w:val="bullet"/>
      <w:lvlText w:val="●"/>
      <w:lvlJc w:val="left"/>
      <w:pPr>
        <w:ind w:left="5760" w:hanging="360"/>
      </w:pPr>
    </w:lvl>
    <w:lvl w:ilvl="8" w:tplc="1ECAA5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1AE401"/>
    <w:multiLevelType w:val="multilevel"/>
    <w:tmpl w:val="EACE88A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264A4"/>
    <w:rsid w:val="00403FCC"/>
    <w:rsid w:val="00484370"/>
    <w:rsid w:val="004E29B3"/>
    <w:rsid w:val="00590D07"/>
    <w:rsid w:val="00784D58"/>
    <w:rsid w:val="007D4BB8"/>
    <w:rsid w:val="008D6863"/>
    <w:rsid w:val="00AC63AC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702298C"/>
  <w15:docId w15:val="{6D707401-807C-4C36-B5C4-323E9F62F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autoRedefine/>
    <w:uiPriority w:val="9"/>
    <w:unhideWhenUsed/>
    <w:qFormat/>
    <w:rsid w:val="007D4BB8"/>
    <w:pPr>
      <w:spacing w:before="360" w:after="120" w:line="360" w:lineRule="auto"/>
      <w:outlineLvl w:val="1"/>
    </w:pPr>
    <w:rPr>
      <w:rFonts w:ascii="Arial" w:hAnsi="Arial" w:cs="Arial"/>
      <w:b/>
      <w:color w:val="2E74B5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Cabealho">
    <w:name w:val="header"/>
    <w:basedOn w:val="Normal"/>
    <w:link w:val="CabealhoChar"/>
    <w:uiPriority w:val="99"/>
    <w:unhideWhenUsed/>
    <w:rsid w:val="00403F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03FCC"/>
  </w:style>
  <w:style w:type="paragraph" w:styleId="Rodap">
    <w:name w:val="footer"/>
    <w:basedOn w:val="Normal"/>
    <w:link w:val="RodapChar"/>
    <w:uiPriority w:val="99"/>
    <w:unhideWhenUsed/>
    <w:rsid w:val="00403F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03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1058</Words>
  <Characters>5717</Characters>
  <Application>Microsoft Office Word</Application>
  <DocSecurity>0</DocSecurity>
  <Lines>47</Lines>
  <Paragraphs>13</Paragraphs>
  <ScaleCrop>false</ScaleCrop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Mario Bastos</cp:lastModifiedBy>
  <cp:revision>4</cp:revision>
  <dcterms:created xsi:type="dcterms:W3CDTF">2026-09-25T20:23:00Z</dcterms:created>
  <dcterms:modified xsi:type="dcterms:W3CDTF">2026-09-25T21:03:00Z</dcterms:modified>
</cp:coreProperties>
</file>