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480"/>
        <w:jc w:val="center"/>
      </w:pPr>
      <w:r>
        <w:drawing>
          <wp:inline xmlns:a="http://schemas.openxmlformats.org/drawingml/2006/main" xmlns:pic="http://schemas.openxmlformats.org/drawingml/2006/picture">
            <wp:extent cx="2697480" cy="1229231"/>
            <wp:docPr id="1" name="Picture 1"/>
            <wp:cNvGraphicFramePr>
              <a:graphicFrameLocks noChangeAspect="1"/>
            </wp:cNvGraphicFramePr>
            <a:graphic>
              <a:graphicData uri="http://schemas.openxmlformats.org/drawingml/2006/picture">
                <pic:pic>
                  <pic:nvPicPr>
                    <pic:cNvPr id="0" name="nus_logo.png"/>
                    <pic:cNvPicPr/>
                  </pic:nvPicPr>
                  <pic:blipFill>
                    <a:blip r:embed="rId9"/>
                    <a:stretch>
                      <a:fillRect/>
                    </a:stretch>
                  </pic:blipFill>
                  <pic:spPr>
                    <a:xfrm>
                      <a:off x="0" y="0"/>
                      <a:ext cx="2697480" cy="1229231"/>
                    </a:xfrm>
                    <a:prstGeom prst="rect"/>
                  </pic:spPr>
                </pic:pic>
              </a:graphicData>
            </a:graphic>
          </wp:inline>
        </w:drawing>
      </w:r>
    </w:p>
    <w:p>
      <w:pPr>
        <w:spacing w:before="0"/>
        <w:jc w:val="center"/>
      </w:pPr>
      <w:r>
        <w:rPr>
          <w:rFonts w:ascii="Arial" w:hAnsi="Arial"/>
          <w:b/>
          <w:color w:val="2F6483"/>
          <w:sz w:val="28"/>
        </w:rPr>
        <w:t>DBA5103</w:t>
      </w:r>
    </w:p>
    <w:p>
      <w:pPr>
        <w:pStyle w:val="Subtitle"/>
        <w:spacing w:after="640"/>
        <w:jc w:val="center"/>
      </w:pPr>
      <w:r>
        <w:t>Operations Research and Analytics</w:t>
      </w:r>
    </w:p>
    <w:p>
      <w:pPr>
        <w:pStyle w:val="Title"/>
        <w:spacing w:after="120"/>
      </w:pPr>
      <w:r>
        <w:t>Assignment 1</w:t>
      </w:r>
    </w:p>
    <w:p>
      <w:pPr>
        <w:spacing w:before="760"/>
        <w:jc w:val="center"/>
      </w:pPr>
      <w:r>
        <w:rPr>
          <w:rFonts w:ascii="Arial" w:hAnsi="Arial"/>
          <w:color w:val="66717A"/>
          <w:sz w:val="21"/>
        </w:rPr>
        <w:t>Semester I, Academic Year 2026/2027</w:t>
      </w:r>
    </w:p>
    <w:p>
      <w:pPr>
        <w:spacing w:before="840" w:after="60"/>
        <w:jc w:val="center"/>
      </w:pPr>
      <w:r>
        <w:rPr>
          <w:rFonts w:ascii="Arial" w:hAnsi="Arial"/>
          <w:b/>
          <w:color w:val="18354A"/>
          <w:sz w:val="24"/>
        </w:rPr>
        <w:t>Reagan</w:t>
      </w:r>
    </w:p>
    <w:p>
      <w:pPr>
        <w:spacing w:after="40"/>
        <w:jc w:val="center"/>
      </w:pPr>
      <w:r>
        <w:rPr>
          <w:rFonts w:ascii="Arial" w:hAnsi="Arial"/>
          <w:sz w:val="21"/>
        </w:rPr>
        <w:t>MSBA | NUS</w:t>
      </w:r>
    </w:p>
    <w:p>
      <w:pPr>
        <w:jc w:val="center"/>
      </w:pPr>
      <w:r>
        <w:rPr>
          <w:rFonts w:ascii="Arial" w:hAnsi="Arial"/>
          <w:sz w:val="21"/>
        </w:rPr>
        <w:t>Student No: A0319086X</w:t>
      </w:r>
      <w:r>
        <w:br w:type="page"/>
      </w:r>
    </w:p>
    <w:p>
      <w:pPr>
        <w:spacing w:after="80"/>
        <w:jc w:val="left"/>
      </w:pPr>
      <w:r>
        <w:rPr>
          <w:rFonts w:ascii="Arial" w:hAnsi="Arial"/>
          <w:b/>
          <w:color w:val="18354A"/>
          <w:sz w:val="21"/>
        </w:rPr>
        <w:t>Solution conventions</w:t>
      </w:r>
    </w:p>
    <w:p>
      <w:r>
        <w:rPr>
          <w:i w:val="0"/>
        </w:rPr>
        <w:t>All decision variables are continuous unless stated otherwise. Vectors are column vectors, the superscript T denotes transpose, and inequalities between vectors are componentwise. Monetary figures are in dollars.</w:t>
      </w:r>
    </w:p>
    <w:p>
      <w:pPr>
        <w:pStyle w:val="Heading1"/>
      </w:pPr>
      <w:r>
        <w:t>1. Production Planning</w:t>
      </w:r>
    </w:p>
    <w:p>
      <w:pPr>
        <w:pStyle w:val="Heading2"/>
      </w:pPr>
      <w:r>
        <w:t>1(a)(i) Linear programming model</w:t>
      </w:r>
    </w:p>
    <w:p>
      <w:r>
        <w:rPr>
          <w:i w:val="0"/>
        </w:rPr>
        <w:t>Using the production and procurement variables defined in the question, a correct linear program is:</w:t>
      </w:r>
    </w:p>
    <w:p>
      <w:pPr>
        <w:spacing w:before="40" w:after="100"/>
        <w:jc w:val="center"/>
      </w:pPr>
      <w:r>
        <w:drawing>
          <wp:inline xmlns:a="http://schemas.openxmlformats.org/drawingml/2006/main" xmlns:pic="http://schemas.openxmlformats.org/drawingml/2006/picture">
            <wp:extent cx="3313182" cy="1456947"/>
            <wp:docPr id="2" name="Picture 2"/>
            <wp:cNvGraphicFramePr>
              <a:graphicFrameLocks noChangeAspect="1"/>
            </wp:cNvGraphicFramePr>
            <a:graphic>
              <a:graphicData uri="http://schemas.openxmlformats.org/drawingml/2006/picture">
                <pic:pic>
                  <pic:nvPicPr>
                    <pic:cNvPr id="0" name="q1_scalar.png"/>
                    <pic:cNvPicPr/>
                  </pic:nvPicPr>
                  <pic:blipFill>
                    <a:blip r:embed="rId10"/>
                    <a:stretch>
                      <a:fillRect/>
                    </a:stretch>
                  </pic:blipFill>
                  <pic:spPr>
                    <a:xfrm>
                      <a:off x="0" y="0"/>
                      <a:ext cx="3313182" cy="1456947"/>
                    </a:xfrm>
                    <a:prstGeom prst="rect"/>
                  </pic:spPr>
                </pic:pic>
              </a:graphicData>
            </a:graphic>
          </wp:inline>
        </w:drawing>
      </w:r>
    </w:p>
    <w:p>
      <w:r>
        <w:rPr>
          <w:i w:val="0"/>
        </w:rPr>
        <w:t>The first set of constraints ensures that enough of each raw material is procured, and the second constraint enforces the budget.</w:t>
      </w:r>
    </w:p>
    <w:p>
      <w:pPr>
        <w:pStyle w:val="Heading2"/>
      </w:pPr>
      <w:r>
        <w:t>1(a)(ii) Matrix form</w:t>
      </w:r>
    </w:p>
    <w:p>
      <w:pPr>
        <w:spacing w:before="40" w:after="100"/>
        <w:jc w:val="center"/>
      </w:pPr>
      <w:r>
        <w:drawing>
          <wp:inline xmlns:a="http://schemas.openxmlformats.org/drawingml/2006/main" xmlns:pic="http://schemas.openxmlformats.org/drawingml/2006/picture">
            <wp:extent cx="4867665" cy="807721"/>
            <wp:docPr id="3" name="Picture 3"/>
            <wp:cNvGraphicFramePr>
              <a:graphicFrameLocks noChangeAspect="1"/>
            </wp:cNvGraphicFramePr>
            <a:graphic>
              <a:graphicData uri="http://schemas.openxmlformats.org/drawingml/2006/picture">
                <pic:pic>
                  <pic:nvPicPr>
                    <pic:cNvPr id="0" name="q1_matrix.png"/>
                    <pic:cNvPicPr/>
                  </pic:nvPicPr>
                  <pic:blipFill>
                    <a:blip r:embed="rId11"/>
                    <a:stretch>
                      <a:fillRect/>
                    </a:stretch>
                  </pic:blipFill>
                  <pic:spPr>
                    <a:xfrm>
                      <a:off x="0" y="0"/>
                      <a:ext cx="4867665" cy="807721"/>
                    </a:xfrm>
                    <a:prstGeom prst="rect"/>
                  </pic:spPr>
                </pic:pic>
              </a:graphicData>
            </a:graphic>
          </wp:inline>
        </w:drawing>
      </w:r>
    </w:p>
    <w:p>
      <w:r>
        <w:rPr>
          <w:i w:val="0"/>
        </w:rPr>
        <w:t>Equivalently, the variables and constraints can be stacked into one block model.</w:t>
      </w:r>
    </w:p>
    <w:p>
      <w:pPr>
        <w:spacing w:before="40" w:after="100"/>
        <w:jc w:val="center"/>
      </w:pPr>
      <w:r>
        <w:drawing>
          <wp:inline xmlns:a="http://schemas.openxmlformats.org/drawingml/2006/main" xmlns:pic="http://schemas.openxmlformats.org/drawingml/2006/picture">
            <wp:extent cx="4303784" cy="1124714"/>
            <wp:docPr id="4" name="Picture 4"/>
            <wp:cNvGraphicFramePr>
              <a:graphicFrameLocks noChangeAspect="1"/>
            </wp:cNvGraphicFramePr>
            <a:graphic>
              <a:graphicData uri="http://schemas.openxmlformats.org/drawingml/2006/picture">
                <pic:pic>
                  <pic:nvPicPr>
                    <pic:cNvPr id="0" name="q1_block.png"/>
                    <pic:cNvPicPr/>
                  </pic:nvPicPr>
                  <pic:blipFill>
                    <a:blip r:embed="rId12"/>
                    <a:stretch>
                      <a:fillRect/>
                    </a:stretch>
                  </pic:blipFill>
                  <pic:spPr>
                    <a:xfrm>
                      <a:off x="0" y="0"/>
                      <a:ext cx="4303784" cy="1124714"/>
                    </a:xfrm>
                    <a:prstGeom prst="rect"/>
                  </pic:spPr>
                </pic:pic>
              </a:graphicData>
            </a:graphic>
          </wp:inline>
        </w:drawing>
      </w:r>
    </w:p>
    <w:p>
      <w:pPr>
        <w:pStyle w:val="Heading2"/>
      </w:pPr>
      <w:r>
        <w:t>1(b) Model without procurement variables</w:t>
      </w:r>
    </w:p>
    <w:p>
      <w:r>
        <w:rPr>
          <w:i w:val="0"/>
        </w:rPr>
        <w:t>Substituting material usage for procurement removes the procurement variables and gives:</w:t>
      </w:r>
    </w:p>
    <w:p>
      <w:pPr>
        <w:spacing w:before="40" w:after="100"/>
        <w:jc w:val="center"/>
      </w:pPr>
      <w:r>
        <w:drawing>
          <wp:inline xmlns:a="http://schemas.openxmlformats.org/drawingml/2006/main" xmlns:pic="http://schemas.openxmlformats.org/drawingml/2006/picture">
            <wp:extent cx="2767589" cy="792481"/>
            <wp:docPr id="5" name="Picture 5"/>
            <wp:cNvGraphicFramePr>
              <a:graphicFrameLocks noChangeAspect="1"/>
            </wp:cNvGraphicFramePr>
            <a:graphic>
              <a:graphicData uri="http://schemas.openxmlformats.org/drawingml/2006/picture">
                <pic:pic>
                  <pic:nvPicPr>
                    <pic:cNvPr id="0" name="q1_reduced.png"/>
                    <pic:cNvPicPr/>
                  </pic:nvPicPr>
                  <pic:blipFill>
                    <a:blip r:embed="rId13"/>
                    <a:stretch>
                      <a:fillRect/>
                    </a:stretch>
                  </pic:blipFill>
                  <pic:spPr>
                    <a:xfrm>
                      <a:off x="0" y="0"/>
                      <a:ext cx="2767589" cy="792481"/>
                    </a:xfrm>
                    <a:prstGeom prst="rect"/>
                  </pic:spPr>
                </pic:pic>
              </a:graphicData>
            </a:graphic>
          </wp:inline>
        </w:drawing>
      </w:r>
    </w:p>
    <w:p>
      <w:r>
        <w:rPr>
          <w:b/>
        </w:rPr>
        <w:t xml:space="preserve">Interpretation: </w:t>
      </w:r>
      <w:r>
        <w:t>The unit profit vector is the selling-price vector less the raw-material cost attributable to one unit of each product.</w:t>
      </w:r>
    </w:p>
    <w:p>
      <w:pPr>
        <w:pStyle w:val="Heading1"/>
      </w:pPr>
      <w:r>
        <w:t>2. Matrix Completion</w:t>
      </w:r>
    </w:p>
    <w:p>
      <w:pPr>
        <w:pStyle w:val="Heading2"/>
      </w:pPr>
      <w:r>
        <w:t>2(a) Rank of the given matrix</w:t>
      </w:r>
    </w:p>
    <w:p>
      <w:pPr>
        <w:spacing w:before="40" w:after="100"/>
        <w:jc w:val="center"/>
      </w:pPr>
      <w:r>
        <w:drawing>
          <wp:inline xmlns:a="http://schemas.openxmlformats.org/drawingml/2006/main" xmlns:pic="http://schemas.openxmlformats.org/drawingml/2006/picture">
            <wp:extent cx="5623560" cy="693797"/>
            <wp:docPr id="6" name="Picture 6"/>
            <wp:cNvGraphicFramePr>
              <a:graphicFrameLocks noChangeAspect="1"/>
            </wp:cNvGraphicFramePr>
            <a:graphic>
              <a:graphicData uri="http://schemas.openxmlformats.org/drawingml/2006/picture">
                <pic:pic>
                  <pic:nvPicPr>
                    <pic:cNvPr id="0" name="q2_rank_relation.png"/>
                    <pic:cNvPicPr/>
                  </pic:nvPicPr>
                  <pic:blipFill>
                    <a:blip r:embed="rId14"/>
                    <a:stretch>
                      <a:fillRect/>
                    </a:stretch>
                  </pic:blipFill>
                  <pic:spPr>
                    <a:xfrm>
                      <a:off x="0" y="0"/>
                      <a:ext cx="5623560" cy="693797"/>
                    </a:xfrm>
                    <a:prstGeom prst="rect"/>
                  </pic:spPr>
                </pic:pic>
              </a:graphicData>
            </a:graphic>
          </wp:inline>
        </w:drawing>
      </w:r>
    </w:p>
    <w:p>
      <w:r>
        <w:rPr>
          <w:i w:val="0"/>
        </w:rPr>
        <w:t>The third row therefore adds no new dimension, while the first two rows establish two independent directions.</w:t>
      </w:r>
    </w:p>
    <w:p>
      <w:pPr>
        <w:pStyle w:val="Heading2"/>
      </w:pPr>
      <w:r>
        <w:t>2(b) Rank of an outer product</w:t>
      </w:r>
    </w:p>
    <w:p>
      <w:pPr>
        <w:spacing w:before="40" w:after="100"/>
        <w:jc w:val="center"/>
      </w:pPr>
      <w:r>
        <w:drawing>
          <wp:inline xmlns:a="http://schemas.openxmlformats.org/drawingml/2006/main" xmlns:pic="http://schemas.openxmlformats.org/drawingml/2006/picture">
            <wp:extent cx="3752095" cy="1130810"/>
            <wp:docPr id="7" name="Picture 7"/>
            <wp:cNvGraphicFramePr>
              <a:graphicFrameLocks noChangeAspect="1"/>
            </wp:cNvGraphicFramePr>
            <a:graphic>
              <a:graphicData uri="http://schemas.openxmlformats.org/drawingml/2006/picture">
                <pic:pic>
                  <pic:nvPicPr>
                    <pic:cNvPr id="0" name="q2_outer.png"/>
                    <pic:cNvPicPr/>
                  </pic:nvPicPr>
                  <pic:blipFill>
                    <a:blip r:embed="rId15"/>
                    <a:stretch>
                      <a:fillRect/>
                    </a:stretch>
                  </pic:blipFill>
                  <pic:spPr>
                    <a:xfrm>
                      <a:off x="0" y="0"/>
                      <a:ext cx="3752095" cy="1130810"/>
                    </a:xfrm>
                    <a:prstGeom prst="rect"/>
                  </pic:spPr>
                </pic:pic>
              </a:graphicData>
            </a:graphic>
          </wp:inline>
        </w:drawing>
      </w:r>
    </w:p>
    <w:p>
      <w:r>
        <w:rPr>
          <w:i w:val="0"/>
        </w:rPr>
        <w:t>Every column is a scalar multiple of the same nonzero vector. Since the second vector is nonzero, at least one column is nonzero, so the rank cannot be zero.</w:t>
      </w:r>
    </w:p>
    <w:p>
      <w:pPr>
        <w:pStyle w:val="Heading2"/>
      </w:pPr>
      <w:r>
        <w:t>2(c) Completion of the ratings matrix</w:t>
      </w:r>
    </w:p>
    <w:p>
      <w:r>
        <w:rPr>
          <w:i w:val="0"/>
        </w:rPr>
        <w:t>The observed one in the first row and first column makes both associated factors nonzero. The observed zero in column 2 therefore forces the second movie factor to zero. The observed one in column 3 equates its factor to that of column 1. The observations in the third row then make the third user factor equal to the first, force the column 4 factor to zero, and equate the column 5 factor to the column 1 factor. Finally, the zero in row 2 and column 3 forces the second user factor to zero.</w:t>
      </w:r>
    </w:p>
    <w:p>
      <w:pPr>
        <w:spacing w:before="40" w:after="100"/>
        <w:jc w:val="center"/>
      </w:pPr>
      <w:r>
        <w:drawing>
          <wp:inline xmlns:a="http://schemas.openxmlformats.org/drawingml/2006/main" xmlns:pic="http://schemas.openxmlformats.org/drawingml/2006/picture">
            <wp:extent cx="5623560" cy="281178"/>
            <wp:docPr id="8" name="Picture 8"/>
            <wp:cNvGraphicFramePr>
              <a:graphicFrameLocks noChangeAspect="1"/>
            </wp:cNvGraphicFramePr>
            <a:graphic>
              <a:graphicData uri="http://schemas.openxmlformats.org/drawingml/2006/picture">
                <pic:pic>
                  <pic:nvPicPr>
                    <pic:cNvPr id="0" name="q2_completion_reason.png"/>
                    <pic:cNvPicPr/>
                  </pic:nvPicPr>
                  <pic:blipFill>
                    <a:blip r:embed="rId16"/>
                    <a:stretch>
                      <a:fillRect/>
                    </a:stretch>
                  </pic:blipFill>
                  <pic:spPr>
                    <a:xfrm>
                      <a:off x="0" y="0"/>
                      <a:ext cx="5623560" cy="281178"/>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3084582" cy="1304547"/>
            <wp:docPr id="9" name="Picture 9"/>
            <wp:cNvGraphicFramePr>
              <a:graphicFrameLocks noChangeAspect="1"/>
            </wp:cNvGraphicFramePr>
            <a:graphic>
              <a:graphicData uri="http://schemas.openxmlformats.org/drawingml/2006/picture">
                <pic:pic>
                  <pic:nvPicPr>
                    <pic:cNvPr id="0" name="q2_completed_matrix.png"/>
                    <pic:cNvPicPr/>
                  </pic:nvPicPr>
                  <pic:blipFill>
                    <a:blip r:embed="rId17"/>
                    <a:stretch>
                      <a:fillRect/>
                    </a:stretch>
                  </pic:blipFill>
                  <pic:spPr>
                    <a:xfrm>
                      <a:off x="0" y="0"/>
                      <a:ext cx="3084582" cy="1304547"/>
                    </a:xfrm>
                    <a:prstGeom prst="rect"/>
                  </pic:spPr>
                </pic:pic>
              </a:graphicData>
            </a:graphic>
          </wp:inline>
        </w:drawing>
      </w:r>
    </w:p>
    <w:p>
      <w:pPr>
        <w:pStyle w:val="FormulaCaption"/>
        <w:keepNext w:val="0"/>
      </w:pPr>
      <w:r>
        <w:t>Completed rank-one ratings matrix</w:t>
      </w:r>
    </w:p>
    <w:p>
      <w:r>
        <w:rPr>
          <w:b/>
        </w:rPr>
        <w:t xml:space="preserve">Check: </w:t>
      </w:r>
      <w:r>
        <w:t>Rows 1 and 3 are identical and nonzero, while row 2 is zero. The completed matrix consequently has rank one and matches every observed entry.</w:t>
      </w:r>
    </w:p>
    <w:p>
      <w:pPr>
        <w:pStyle w:val="Heading1"/>
      </w:pPr>
      <w:r>
        <w:t>3. Polyhedra</w:t>
      </w:r>
    </w:p>
    <w:p>
      <w:pPr>
        <w:pStyle w:val="Heading2"/>
      </w:pPr>
      <w:r>
        <w:t>3(a) Parameterized linear feasible set</w:t>
      </w:r>
    </w:p>
    <w:p>
      <w:r>
        <w:rPr>
          <w:i w:val="0"/>
        </w:rPr>
        <w:t>Yes. For every fixed nonnegative value of the parameter, all coefficients are constants, so the set is the intersection of three linear halfspaces. It is therefore a polyhedron. When the parameter is zero, the first inequality is redundant and the feasible set is the unbounded first quadrant, which remains a polyhedron.</w:t>
      </w:r>
    </w:p>
    <w:p>
      <w:pPr>
        <w:spacing w:before="40" w:after="100"/>
        <w:jc w:val="center"/>
      </w:pPr>
      <w:r>
        <w:drawing>
          <wp:inline xmlns:a="http://schemas.openxmlformats.org/drawingml/2006/main" xmlns:pic="http://schemas.openxmlformats.org/drawingml/2006/picture">
            <wp:extent cx="5623560" cy="690513"/>
            <wp:docPr id="10" name="Picture 10"/>
            <wp:cNvGraphicFramePr>
              <a:graphicFrameLocks noChangeAspect="1"/>
            </wp:cNvGraphicFramePr>
            <a:graphic>
              <a:graphicData uri="http://schemas.openxmlformats.org/drawingml/2006/picture">
                <pic:pic>
                  <pic:nvPicPr>
                    <pic:cNvPr id="0" name="q3a_intercepts.png"/>
                    <pic:cNvPicPr/>
                  </pic:nvPicPr>
                  <pic:blipFill>
                    <a:blip r:embed="rId18"/>
                    <a:stretch>
                      <a:fillRect/>
                    </a:stretch>
                  </pic:blipFill>
                  <pic:spPr>
                    <a:xfrm>
                      <a:off x="0" y="0"/>
                      <a:ext cx="5623560" cy="690513"/>
                    </a:xfrm>
                    <a:prstGeom prst="rect"/>
                  </pic:spPr>
                </pic:pic>
              </a:graphicData>
            </a:graphic>
          </wp:inline>
        </w:drawing>
      </w:r>
    </w:p>
    <w:p>
      <w:pPr>
        <w:spacing w:before="60" w:after="40"/>
        <w:jc w:val="center"/>
      </w:pPr>
      <w:r>
        <w:drawing>
          <wp:inline xmlns:a="http://schemas.openxmlformats.org/drawingml/2006/main" xmlns:pic="http://schemas.openxmlformats.org/drawingml/2006/picture">
            <wp:extent cx="3794760" cy="3717316"/>
            <wp:docPr id="11" name="Picture 11"/>
            <wp:cNvGraphicFramePr>
              <a:graphicFrameLocks noChangeAspect="1"/>
            </wp:cNvGraphicFramePr>
            <a:graphic>
              <a:graphicData uri="http://schemas.openxmlformats.org/drawingml/2006/picture">
                <pic:pic>
                  <pic:nvPicPr>
                    <pic:cNvPr id="0" name="q3a_triangle.png"/>
                    <pic:cNvPicPr/>
                  </pic:nvPicPr>
                  <pic:blipFill>
                    <a:blip r:embed="rId19"/>
                    <a:stretch>
                      <a:fillRect/>
                    </a:stretch>
                  </pic:blipFill>
                  <pic:spPr>
                    <a:xfrm>
                      <a:off x="0" y="0"/>
                      <a:ext cx="3794760" cy="3717316"/>
                    </a:xfrm>
                    <a:prstGeom prst="rect"/>
                  </pic:spPr>
                </pic:pic>
              </a:graphicData>
            </a:graphic>
          </wp:inline>
        </w:drawing>
      </w:r>
    </w:p>
    <w:p>
      <w:pPr>
        <w:pStyle w:val="FormulaCaption"/>
        <w:keepNext w:val="0"/>
      </w:pPr>
      <w:r>
        <w:t>Figure 1. Feasible set for a = 1</w:t>
      </w:r>
    </w:p>
    <w:p>
      <w:pPr>
        <w:pStyle w:val="Heading2"/>
      </w:pPr>
      <w:r>
        <w:t>3(b) Quarter unit disk</w:t>
      </w:r>
    </w:p>
    <w:p>
      <w:r>
        <w:rPr>
          <w:i w:val="0"/>
        </w:rPr>
        <w:t>The feasible region is the quarter of the closed unit disk in the first quadrant. It is not a polyhedron because its circular arc cannot be generated by a finite number of linear halfspace boundaries.</w:t>
      </w:r>
    </w:p>
    <w:p>
      <w:pPr>
        <w:spacing w:before="60" w:after="40"/>
        <w:jc w:val="center"/>
      </w:pPr>
      <w:r>
        <w:drawing>
          <wp:inline xmlns:a="http://schemas.openxmlformats.org/drawingml/2006/main" xmlns:pic="http://schemas.openxmlformats.org/drawingml/2006/picture">
            <wp:extent cx="3794760" cy="3717316"/>
            <wp:docPr id="12" name="Picture 12"/>
            <wp:cNvGraphicFramePr>
              <a:graphicFrameLocks noChangeAspect="1"/>
            </wp:cNvGraphicFramePr>
            <a:graphic>
              <a:graphicData uri="http://schemas.openxmlformats.org/drawingml/2006/picture">
                <pic:pic>
                  <pic:nvPicPr>
                    <pic:cNvPr id="0" name="q3b_quarter_disk.png"/>
                    <pic:cNvPicPr/>
                  </pic:nvPicPr>
                  <pic:blipFill>
                    <a:blip r:embed="rId20"/>
                    <a:stretch>
                      <a:fillRect/>
                    </a:stretch>
                  </pic:blipFill>
                  <pic:spPr>
                    <a:xfrm>
                      <a:off x="0" y="0"/>
                      <a:ext cx="3794760" cy="3717316"/>
                    </a:xfrm>
                    <a:prstGeom prst="rect"/>
                  </pic:spPr>
                </pic:pic>
              </a:graphicData>
            </a:graphic>
          </wp:inline>
        </w:drawing>
      </w:r>
    </w:p>
    <w:p>
      <w:pPr>
        <w:pStyle w:val="FormulaCaption"/>
        <w:keepNext w:val="0"/>
      </w:pPr>
      <w:r>
        <w:t>Figure 2. Feasible quarter unit disk</w:t>
      </w:r>
    </w:p>
    <w:p>
      <w:pPr>
        <w:pStyle w:val="Heading2"/>
      </w:pPr>
      <w:r>
        <w:t>3(c) Quadratic inequality with a bounded solution set</w:t>
      </w:r>
    </w:p>
    <w:p>
      <w:pPr>
        <w:spacing w:before="40" w:after="100"/>
        <w:jc w:val="center"/>
      </w:pPr>
      <w:r>
        <w:drawing>
          <wp:inline xmlns:a="http://schemas.openxmlformats.org/drawingml/2006/main" xmlns:pic="http://schemas.openxmlformats.org/drawingml/2006/picture">
            <wp:extent cx="5205994" cy="374905"/>
            <wp:docPr id="13" name="Picture 13"/>
            <wp:cNvGraphicFramePr>
              <a:graphicFrameLocks noChangeAspect="1"/>
            </wp:cNvGraphicFramePr>
            <a:graphic>
              <a:graphicData uri="http://schemas.openxmlformats.org/drawingml/2006/picture">
                <pic:pic>
                  <pic:nvPicPr>
                    <pic:cNvPr id="0" name="q3c.png"/>
                    <pic:cNvPicPr/>
                  </pic:nvPicPr>
                  <pic:blipFill>
                    <a:blip r:embed="rId21"/>
                    <a:stretch>
                      <a:fillRect/>
                    </a:stretch>
                  </pic:blipFill>
                  <pic:spPr>
                    <a:xfrm>
                      <a:off x="0" y="0"/>
                      <a:ext cx="5205994" cy="374905"/>
                    </a:xfrm>
                    <a:prstGeom prst="rect"/>
                  </pic:spPr>
                </pic:pic>
              </a:graphicData>
            </a:graphic>
          </wp:inline>
        </w:drawing>
      </w:r>
    </w:p>
    <w:p>
      <w:r>
        <w:rPr>
          <w:b/>
        </w:rPr>
        <w:t xml:space="preserve">Answer: </w:t>
      </w:r>
      <w:r>
        <w:t>Yes. The interval is the intersection of the two halfspaces defined by its lower and upper bounds, so it is a polyhedron in one dimension.</w:t>
      </w:r>
    </w:p>
    <w:p>
      <w:pPr>
        <w:pStyle w:val="Heading2"/>
      </w:pPr>
      <w:r>
        <w:t>3(d) Quadratic inequality with a disconnected solution set</w:t>
      </w:r>
    </w:p>
    <w:p>
      <w:pPr>
        <w:spacing w:before="40" w:after="100"/>
        <w:jc w:val="center"/>
      </w:pPr>
      <w:r>
        <w:drawing>
          <wp:inline xmlns:a="http://schemas.openxmlformats.org/drawingml/2006/main" xmlns:pic="http://schemas.openxmlformats.org/drawingml/2006/picture">
            <wp:extent cx="4203200" cy="374905"/>
            <wp:docPr id="14" name="Picture 14"/>
            <wp:cNvGraphicFramePr>
              <a:graphicFrameLocks noChangeAspect="1"/>
            </wp:cNvGraphicFramePr>
            <a:graphic>
              <a:graphicData uri="http://schemas.openxmlformats.org/drawingml/2006/picture">
                <pic:pic>
                  <pic:nvPicPr>
                    <pic:cNvPr id="0" name="q3d.png"/>
                    <pic:cNvPicPr/>
                  </pic:nvPicPr>
                  <pic:blipFill>
                    <a:blip r:embed="rId22"/>
                    <a:stretch>
                      <a:fillRect/>
                    </a:stretch>
                  </pic:blipFill>
                  <pic:spPr>
                    <a:xfrm>
                      <a:off x="0" y="0"/>
                      <a:ext cx="4203200" cy="374905"/>
                    </a:xfrm>
                    <a:prstGeom prst="rect"/>
                  </pic:spPr>
                </pic:pic>
              </a:graphicData>
            </a:graphic>
          </wp:inline>
        </w:drawing>
      </w:r>
    </w:p>
    <w:p>
      <w:r>
        <w:rPr>
          <w:b/>
        </w:rPr>
        <w:t xml:space="preserve">Answer: </w:t>
      </w:r>
      <w:r>
        <w:t>No. The union of the two rays is not convex. Every polyhedron, as an intersection of halfspaces, must be convex.</w:t>
      </w:r>
    </w:p>
    <w:p>
      <w:pPr>
        <w:pStyle w:val="Heading1"/>
      </w:pPr>
      <w:r>
        <w:t>4. Manpower Scheduling</w:t>
      </w:r>
    </w:p>
    <w:p>
      <w:r>
        <w:rPr>
          <w:i w:val="0"/>
        </w:rPr>
        <w:t>Let M, A, and E denote the numbers of full-time clerks starting the morning, afternoon, and evening shifts. Let P1, P2, P3, and P4 denote part-time clerks assigned to the four consecutive four-hour periods. All variables are continuous and nonnegative, as requested.</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232"/>
            <w:shd w:fill="18354A"/>
            <w:tcMar>
              <w:top w:w="80" w:type="dxa"/>
              <w:start w:w="90" w:type="dxa"/>
              <w:bottom w:w="80" w:type="dxa"/>
              <w:end w:w="90" w:type="dxa"/>
            </w:tcMar>
            <w:vAlign w:val="center"/>
          </w:tcPr>
          <w:p>
            <w:pPr>
              <w:spacing w:after="0"/>
              <w:jc w:val="center"/>
            </w:pPr>
            <w:r>
              <w:rPr>
                <w:rFonts w:ascii="Arial" w:hAnsi="Arial"/>
                <w:b/>
                <w:color w:val="FFFFFF"/>
                <w:sz w:val="16"/>
              </w:rPr>
              <w:t>Period</w:t>
            </w:r>
          </w:p>
        </w:tc>
        <w:tc>
          <w:tcPr>
            <w:tcW w:type="dxa" w:w="2448"/>
            <w:shd w:fill="18354A"/>
            <w:tcMar>
              <w:top w:w="80" w:type="dxa"/>
              <w:start w:w="90" w:type="dxa"/>
              <w:bottom w:w="80" w:type="dxa"/>
              <w:end w:w="90" w:type="dxa"/>
            </w:tcMar>
            <w:vAlign w:val="center"/>
          </w:tcPr>
          <w:p>
            <w:pPr>
              <w:spacing w:after="0"/>
              <w:jc w:val="center"/>
            </w:pPr>
            <w:r>
              <w:rPr>
                <w:rFonts w:ascii="Arial" w:hAnsi="Arial"/>
                <w:b/>
                <w:color w:val="FFFFFF"/>
                <w:sz w:val="16"/>
              </w:rPr>
              <w:t>Full-time clerks on duty</w:t>
            </w:r>
          </w:p>
        </w:tc>
        <w:tc>
          <w:tcPr>
            <w:tcW w:type="dxa" w:w="1944"/>
            <w:shd w:fill="18354A"/>
            <w:tcMar>
              <w:top w:w="80" w:type="dxa"/>
              <w:start w:w="90" w:type="dxa"/>
              <w:bottom w:w="80" w:type="dxa"/>
              <w:end w:w="90" w:type="dxa"/>
            </w:tcMar>
            <w:vAlign w:val="center"/>
          </w:tcPr>
          <w:p>
            <w:pPr>
              <w:spacing w:after="0"/>
              <w:jc w:val="center"/>
            </w:pPr>
            <w:r>
              <w:rPr>
                <w:rFonts w:ascii="Arial" w:hAnsi="Arial"/>
                <w:b/>
                <w:color w:val="FFFFFF"/>
                <w:sz w:val="16"/>
              </w:rPr>
              <w:t>Part-time variable</w:t>
            </w:r>
          </w:p>
        </w:tc>
        <w:tc>
          <w:tcPr>
            <w:tcW w:type="dxa" w:w="1800"/>
            <w:shd w:fill="18354A"/>
            <w:tcMar>
              <w:top w:w="80" w:type="dxa"/>
              <w:start w:w="90" w:type="dxa"/>
              <w:bottom w:w="80" w:type="dxa"/>
              <w:end w:w="90" w:type="dxa"/>
            </w:tcMar>
            <w:vAlign w:val="center"/>
          </w:tcPr>
          <w:p>
            <w:pPr>
              <w:spacing w:after="0"/>
              <w:jc w:val="center"/>
            </w:pPr>
            <w:r>
              <w:rPr>
                <w:rFonts w:ascii="Arial" w:hAnsi="Arial"/>
                <w:b/>
                <w:color w:val="FFFFFF"/>
                <w:sz w:val="16"/>
              </w:rPr>
              <w:t>Minimum staff</w:t>
            </w:r>
          </w:p>
        </w:tc>
      </w:tr>
      <w:tr>
        <w:tc>
          <w:tcPr>
            <w:tcW w:type="dxa" w:w="2232"/>
            <w:tcMar>
              <w:top w:w="80" w:type="dxa"/>
              <w:start w:w="90" w:type="dxa"/>
              <w:bottom w:w="80" w:type="dxa"/>
              <w:end w:w="90" w:type="dxa"/>
            </w:tcMar>
          </w:tcPr>
          <w:p>
            <w:pPr>
              <w:spacing w:after="0"/>
              <w:jc w:val="left"/>
            </w:pPr>
            <w:r>
              <w:rPr>
                <w:rFonts w:ascii="Arial" w:hAnsi="Arial"/>
                <w:sz w:val="16"/>
              </w:rPr>
              <w:t>8 A.M. to noon</w:t>
            </w:r>
          </w:p>
        </w:tc>
        <w:tc>
          <w:tcPr>
            <w:tcW w:type="dxa" w:w="2448"/>
            <w:tcMar>
              <w:top w:w="80" w:type="dxa"/>
              <w:start w:w="90" w:type="dxa"/>
              <w:bottom w:w="80" w:type="dxa"/>
              <w:end w:w="90" w:type="dxa"/>
            </w:tcMar>
          </w:tcPr>
          <w:p>
            <w:pPr>
              <w:spacing w:after="0"/>
              <w:jc w:val="center"/>
            </w:pPr>
            <w:r>
              <w:rPr>
                <w:rFonts w:ascii="Arial" w:hAnsi="Arial"/>
                <w:sz w:val="16"/>
              </w:rPr>
              <w:t>M</w:t>
            </w:r>
          </w:p>
        </w:tc>
        <w:tc>
          <w:tcPr>
            <w:tcW w:type="dxa" w:w="1944"/>
            <w:tcMar>
              <w:top w:w="80" w:type="dxa"/>
              <w:start w:w="90" w:type="dxa"/>
              <w:bottom w:w="80" w:type="dxa"/>
              <w:end w:w="90" w:type="dxa"/>
            </w:tcMar>
          </w:tcPr>
          <w:p>
            <w:pPr>
              <w:spacing w:after="0"/>
              <w:jc w:val="center"/>
            </w:pPr>
            <w:r>
              <w:rPr>
                <w:rFonts w:ascii="Arial" w:hAnsi="Arial"/>
                <w:sz w:val="16"/>
              </w:rPr>
              <w:t>P1</w:t>
            </w:r>
          </w:p>
        </w:tc>
        <w:tc>
          <w:tcPr>
            <w:tcW w:type="dxa" w:w="1800"/>
            <w:tcMar>
              <w:top w:w="80" w:type="dxa"/>
              <w:start w:w="90" w:type="dxa"/>
              <w:bottom w:w="80" w:type="dxa"/>
              <w:end w:w="90" w:type="dxa"/>
            </w:tcMar>
          </w:tcPr>
          <w:p>
            <w:pPr>
              <w:spacing w:after="0"/>
              <w:jc w:val="center"/>
            </w:pPr>
            <w:r>
              <w:rPr>
                <w:rFonts w:ascii="Arial" w:hAnsi="Arial"/>
                <w:sz w:val="16"/>
              </w:rPr>
              <w:t>4</w:t>
            </w:r>
          </w:p>
        </w:tc>
      </w:tr>
      <w:tr>
        <w:tc>
          <w:tcPr>
            <w:tcW w:type="dxa" w:w="2232"/>
            <w:tcMar>
              <w:top w:w="80" w:type="dxa"/>
              <w:start w:w="90" w:type="dxa"/>
              <w:bottom w:w="80" w:type="dxa"/>
              <w:end w:w="90" w:type="dxa"/>
            </w:tcMar>
            <w:shd w:fill="F3F5F6"/>
          </w:tcPr>
          <w:p>
            <w:pPr>
              <w:spacing w:after="0"/>
              <w:jc w:val="left"/>
            </w:pPr>
            <w:r>
              <w:rPr>
                <w:rFonts w:ascii="Arial" w:hAnsi="Arial"/>
                <w:sz w:val="16"/>
              </w:rPr>
              <w:t>Noon to 4 P.M.</w:t>
            </w:r>
          </w:p>
        </w:tc>
        <w:tc>
          <w:tcPr>
            <w:tcW w:type="dxa" w:w="2448"/>
            <w:tcMar>
              <w:top w:w="80" w:type="dxa"/>
              <w:start w:w="90" w:type="dxa"/>
              <w:bottom w:w="80" w:type="dxa"/>
              <w:end w:w="90" w:type="dxa"/>
            </w:tcMar>
            <w:shd w:fill="F3F5F6"/>
          </w:tcPr>
          <w:p>
            <w:pPr>
              <w:spacing w:after="0"/>
              <w:jc w:val="center"/>
            </w:pPr>
            <w:r>
              <w:rPr>
                <w:rFonts w:ascii="Arial" w:hAnsi="Arial"/>
                <w:sz w:val="16"/>
              </w:rPr>
              <w:t>M + A</w:t>
            </w:r>
          </w:p>
        </w:tc>
        <w:tc>
          <w:tcPr>
            <w:tcW w:type="dxa" w:w="1944"/>
            <w:tcMar>
              <w:top w:w="80" w:type="dxa"/>
              <w:start w:w="90" w:type="dxa"/>
              <w:bottom w:w="80" w:type="dxa"/>
              <w:end w:w="90" w:type="dxa"/>
            </w:tcMar>
            <w:shd w:fill="F3F5F6"/>
          </w:tcPr>
          <w:p>
            <w:pPr>
              <w:spacing w:after="0"/>
              <w:jc w:val="center"/>
            </w:pPr>
            <w:r>
              <w:rPr>
                <w:rFonts w:ascii="Arial" w:hAnsi="Arial"/>
                <w:sz w:val="16"/>
              </w:rPr>
              <w:t>P2</w:t>
            </w:r>
          </w:p>
        </w:tc>
        <w:tc>
          <w:tcPr>
            <w:tcW w:type="dxa" w:w="1800"/>
            <w:tcMar>
              <w:top w:w="80" w:type="dxa"/>
              <w:start w:w="90" w:type="dxa"/>
              <w:bottom w:w="80" w:type="dxa"/>
              <w:end w:w="90" w:type="dxa"/>
            </w:tcMar>
            <w:shd w:fill="F3F5F6"/>
          </w:tcPr>
          <w:p>
            <w:pPr>
              <w:spacing w:after="0"/>
              <w:jc w:val="center"/>
            </w:pPr>
            <w:r>
              <w:rPr>
                <w:rFonts w:ascii="Arial" w:hAnsi="Arial"/>
                <w:sz w:val="16"/>
              </w:rPr>
              <w:t>8</w:t>
            </w:r>
          </w:p>
        </w:tc>
      </w:tr>
      <w:tr>
        <w:tc>
          <w:tcPr>
            <w:tcW w:type="dxa" w:w="2232"/>
            <w:tcMar>
              <w:top w:w="80" w:type="dxa"/>
              <w:start w:w="90" w:type="dxa"/>
              <w:bottom w:w="80" w:type="dxa"/>
              <w:end w:w="90" w:type="dxa"/>
            </w:tcMar>
          </w:tcPr>
          <w:p>
            <w:pPr>
              <w:spacing w:after="0"/>
              <w:jc w:val="left"/>
            </w:pPr>
            <w:r>
              <w:rPr>
                <w:rFonts w:ascii="Arial" w:hAnsi="Arial"/>
                <w:sz w:val="16"/>
              </w:rPr>
              <w:t>4 P.M. to 8 P.M.</w:t>
            </w:r>
          </w:p>
        </w:tc>
        <w:tc>
          <w:tcPr>
            <w:tcW w:type="dxa" w:w="2448"/>
            <w:tcMar>
              <w:top w:w="80" w:type="dxa"/>
              <w:start w:w="90" w:type="dxa"/>
              <w:bottom w:w="80" w:type="dxa"/>
              <w:end w:w="90" w:type="dxa"/>
            </w:tcMar>
          </w:tcPr>
          <w:p>
            <w:pPr>
              <w:spacing w:after="0"/>
              <w:jc w:val="center"/>
            </w:pPr>
            <w:r>
              <w:rPr>
                <w:rFonts w:ascii="Arial" w:hAnsi="Arial"/>
                <w:sz w:val="16"/>
              </w:rPr>
              <w:t>A + E</w:t>
            </w:r>
          </w:p>
        </w:tc>
        <w:tc>
          <w:tcPr>
            <w:tcW w:type="dxa" w:w="1944"/>
            <w:tcMar>
              <w:top w:w="80" w:type="dxa"/>
              <w:start w:w="90" w:type="dxa"/>
              <w:bottom w:w="80" w:type="dxa"/>
              <w:end w:w="90" w:type="dxa"/>
            </w:tcMar>
          </w:tcPr>
          <w:p>
            <w:pPr>
              <w:spacing w:after="0"/>
              <w:jc w:val="center"/>
            </w:pPr>
            <w:r>
              <w:rPr>
                <w:rFonts w:ascii="Arial" w:hAnsi="Arial"/>
                <w:sz w:val="16"/>
              </w:rPr>
              <w:t>P3</w:t>
            </w:r>
          </w:p>
        </w:tc>
        <w:tc>
          <w:tcPr>
            <w:tcW w:type="dxa" w:w="1800"/>
            <w:tcMar>
              <w:top w:w="80" w:type="dxa"/>
              <w:start w:w="90" w:type="dxa"/>
              <w:bottom w:w="80" w:type="dxa"/>
              <w:end w:w="90" w:type="dxa"/>
            </w:tcMar>
          </w:tcPr>
          <w:p>
            <w:pPr>
              <w:spacing w:after="0"/>
              <w:jc w:val="center"/>
            </w:pPr>
            <w:r>
              <w:rPr>
                <w:rFonts w:ascii="Arial" w:hAnsi="Arial"/>
                <w:sz w:val="16"/>
              </w:rPr>
              <w:t>10</w:t>
            </w:r>
          </w:p>
        </w:tc>
      </w:tr>
      <w:tr>
        <w:tc>
          <w:tcPr>
            <w:tcW w:type="dxa" w:w="2232"/>
            <w:tcMar>
              <w:top w:w="80" w:type="dxa"/>
              <w:start w:w="90" w:type="dxa"/>
              <w:bottom w:w="80" w:type="dxa"/>
              <w:end w:w="90" w:type="dxa"/>
            </w:tcMar>
            <w:shd w:fill="F3F5F6"/>
          </w:tcPr>
          <w:p>
            <w:pPr>
              <w:spacing w:after="0"/>
              <w:jc w:val="left"/>
            </w:pPr>
            <w:r>
              <w:rPr>
                <w:rFonts w:ascii="Arial" w:hAnsi="Arial"/>
                <w:sz w:val="16"/>
              </w:rPr>
              <w:t>8 P.M. to midnight</w:t>
            </w:r>
          </w:p>
        </w:tc>
        <w:tc>
          <w:tcPr>
            <w:tcW w:type="dxa" w:w="2448"/>
            <w:tcMar>
              <w:top w:w="80" w:type="dxa"/>
              <w:start w:w="90" w:type="dxa"/>
              <w:bottom w:w="80" w:type="dxa"/>
              <w:end w:w="90" w:type="dxa"/>
            </w:tcMar>
            <w:shd w:fill="F3F5F6"/>
          </w:tcPr>
          <w:p>
            <w:pPr>
              <w:spacing w:after="0"/>
              <w:jc w:val="center"/>
            </w:pPr>
            <w:r>
              <w:rPr>
                <w:rFonts w:ascii="Arial" w:hAnsi="Arial"/>
                <w:sz w:val="16"/>
              </w:rPr>
              <w:t>E</w:t>
            </w:r>
          </w:p>
        </w:tc>
        <w:tc>
          <w:tcPr>
            <w:tcW w:type="dxa" w:w="1944"/>
            <w:tcMar>
              <w:top w:w="80" w:type="dxa"/>
              <w:start w:w="90" w:type="dxa"/>
              <w:bottom w:w="80" w:type="dxa"/>
              <w:end w:w="90" w:type="dxa"/>
            </w:tcMar>
            <w:shd w:fill="F3F5F6"/>
          </w:tcPr>
          <w:p>
            <w:pPr>
              <w:spacing w:after="0"/>
              <w:jc w:val="center"/>
            </w:pPr>
            <w:r>
              <w:rPr>
                <w:rFonts w:ascii="Arial" w:hAnsi="Arial"/>
                <w:sz w:val="16"/>
              </w:rPr>
              <w:t>P4</w:t>
            </w:r>
          </w:p>
        </w:tc>
        <w:tc>
          <w:tcPr>
            <w:tcW w:type="dxa" w:w="1800"/>
            <w:tcMar>
              <w:top w:w="80" w:type="dxa"/>
              <w:start w:w="90" w:type="dxa"/>
              <w:bottom w:w="80" w:type="dxa"/>
              <w:end w:w="90" w:type="dxa"/>
            </w:tcMar>
            <w:shd w:fill="F3F5F6"/>
          </w:tcPr>
          <w:p>
            <w:pPr>
              <w:spacing w:after="0"/>
              <w:jc w:val="center"/>
            </w:pPr>
            <w:r>
              <w:rPr>
                <w:rFonts w:ascii="Arial" w:hAnsi="Arial"/>
                <w:sz w:val="16"/>
              </w:rPr>
              <w:t>6</w:t>
            </w:r>
          </w:p>
        </w:tc>
      </w:tr>
    </w:tbl>
    <w:p>
      <w:pPr>
        <w:spacing w:after="0"/>
      </w:pPr>
    </w:p>
    <w:p>
      <w:r>
        <w:rPr>
          <w:i w:val="0"/>
        </w:rPr>
        <w:t>An eight-hour full-time shift costs $320 and a four-hour part-time shift costs $120. The objective is:</w:t>
      </w:r>
    </w:p>
    <w:p>
      <w:pPr>
        <w:spacing w:before="40" w:after="100"/>
        <w:jc w:val="center"/>
      </w:pPr>
      <w:r>
        <w:drawing>
          <wp:inline xmlns:a="http://schemas.openxmlformats.org/drawingml/2006/main" xmlns:pic="http://schemas.openxmlformats.org/drawingml/2006/picture">
            <wp:extent cx="4791465" cy="338329"/>
            <wp:docPr id="15" name="Picture 15"/>
            <wp:cNvGraphicFramePr>
              <a:graphicFrameLocks noChangeAspect="1"/>
            </wp:cNvGraphicFramePr>
            <a:graphic>
              <a:graphicData uri="http://schemas.openxmlformats.org/drawingml/2006/picture">
                <pic:pic>
                  <pic:nvPicPr>
                    <pic:cNvPr id="0" name="q4_objective.png"/>
                    <pic:cNvPicPr/>
                  </pic:nvPicPr>
                  <pic:blipFill>
                    <a:blip r:embed="rId23"/>
                    <a:stretch>
                      <a:fillRect/>
                    </a:stretch>
                  </pic:blipFill>
                  <pic:spPr>
                    <a:xfrm>
                      <a:off x="0" y="0"/>
                      <a:ext cx="4791465" cy="338329"/>
                    </a:xfrm>
                    <a:prstGeom prst="rect"/>
                  </pic:spPr>
                </pic:pic>
              </a:graphicData>
            </a:graphic>
          </wp:inline>
        </w:drawing>
      </w:r>
    </w:p>
    <w:p>
      <w:r>
        <w:rPr>
          <w:i w:val="0"/>
        </w:rPr>
        <w:t>The minimum coverage requirements are:</w:t>
      </w:r>
    </w:p>
    <w:p>
      <w:pPr>
        <w:spacing w:before="40" w:after="100"/>
        <w:jc w:val="center"/>
      </w:pPr>
      <w:r>
        <w:drawing>
          <wp:inline xmlns:a="http://schemas.openxmlformats.org/drawingml/2006/main" xmlns:pic="http://schemas.openxmlformats.org/drawingml/2006/picture">
            <wp:extent cx="3297942" cy="719329"/>
            <wp:docPr id="16" name="Picture 16"/>
            <wp:cNvGraphicFramePr>
              <a:graphicFrameLocks noChangeAspect="1"/>
            </wp:cNvGraphicFramePr>
            <a:graphic>
              <a:graphicData uri="http://schemas.openxmlformats.org/drawingml/2006/picture">
                <pic:pic>
                  <pic:nvPicPr>
                    <pic:cNvPr id="0" name="q4_coverage.png"/>
                    <pic:cNvPicPr/>
                  </pic:nvPicPr>
                  <pic:blipFill>
                    <a:blip r:embed="rId24"/>
                    <a:stretch>
                      <a:fillRect/>
                    </a:stretch>
                  </pic:blipFill>
                  <pic:spPr>
                    <a:xfrm>
                      <a:off x="0" y="0"/>
                      <a:ext cx="3297942" cy="719329"/>
                    </a:xfrm>
                    <a:prstGeom prst="rect"/>
                  </pic:spPr>
                </pic:pic>
              </a:graphicData>
            </a:graphic>
          </wp:inline>
        </w:drawing>
      </w:r>
    </w:p>
    <w:p>
      <w:r>
        <w:rPr>
          <w:i w:val="0"/>
        </w:rPr>
        <w:t>The full-time staffing requirement in each period is:</w:t>
      </w:r>
    </w:p>
    <w:p>
      <w:pPr>
        <w:spacing w:before="40" w:after="100"/>
        <w:jc w:val="center"/>
      </w:pPr>
      <w:r>
        <w:drawing>
          <wp:inline xmlns:a="http://schemas.openxmlformats.org/drawingml/2006/main" xmlns:pic="http://schemas.openxmlformats.org/drawingml/2006/picture">
            <wp:extent cx="2481076" cy="719329"/>
            <wp:docPr id="17" name="Picture 17"/>
            <wp:cNvGraphicFramePr>
              <a:graphicFrameLocks noChangeAspect="1"/>
            </wp:cNvGraphicFramePr>
            <a:graphic>
              <a:graphicData uri="http://schemas.openxmlformats.org/drawingml/2006/picture">
                <pic:pic>
                  <pic:nvPicPr>
                    <pic:cNvPr id="0" name="q4_mix.png"/>
                    <pic:cNvPicPr/>
                  </pic:nvPicPr>
                  <pic:blipFill>
                    <a:blip r:embed="rId25"/>
                    <a:stretch>
                      <a:fillRect/>
                    </a:stretch>
                  </pic:blipFill>
                  <pic:spPr>
                    <a:xfrm>
                      <a:off x="0" y="0"/>
                      <a:ext cx="2481076" cy="719329"/>
                    </a:xfrm>
                    <a:prstGeom prst="rect"/>
                  </pic:spPr>
                </pic:pic>
              </a:graphicData>
            </a:graphic>
          </wp:inline>
        </w:drawing>
      </w:r>
    </w:p>
    <w:p>
      <w:pPr>
        <w:spacing w:before="40" w:after="100"/>
        <w:jc w:val="center"/>
      </w:pPr>
      <w:r>
        <w:drawing>
          <wp:inline xmlns:a="http://schemas.openxmlformats.org/drawingml/2006/main" xmlns:pic="http://schemas.openxmlformats.org/drawingml/2006/picture">
            <wp:extent cx="2630429" cy="335281"/>
            <wp:docPr id="18" name="Picture 18"/>
            <wp:cNvGraphicFramePr>
              <a:graphicFrameLocks noChangeAspect="1"/>
            </wp:cNvGraphicFramePr>
            <a:graphic>
              <a:graphicData uri="http://schemas.openxmlformats.org/drawingml/2006/picture">
                <pic:pic>
                  <pic:nvPicPr>
                    <pic:cNvPr id="0" name="q4_nonnegative.png"/>
                    <pic:cNvPicPr/>
                  </pic:nvPicPr>
                  <pic:blipFill>
                    <a:blip r:embed="rId26"/>
                    <a:stretch>
                      <a:fillRect/>
                    </a:stretch>
                  </pic:blipFill>
                  <pic:spPr>
                    <a:xfrm>
                      <a:off x="0" y="0"/>
                      <a:ext cx="2630429" cy="335281"/>
                    </a:xfrm>
                    <a:prstGeom prst="rect"/>
                  </pic:spPr>
                </pic:pic>
              </a:graphicData>
            </a:graphic>
          </wp:inline>
        </w:drawing>
      </w:r>
    </w:p>
    <w:p>
      <w:r>
        <w:rPr>
          <w:b/>
        </w:rPr>
        <w:t xml:space="preserve">LP status: </w:t>
      </w:r>
      <w:r>
        <w:t>The objective, coverage constraints, staffing-mix constraints, and nonnegativity restrictions are all linear. Integer restrictions have been omitted as instructed.</w:t>
      </w:r>
    </w:p>
    <w:p>
      <w:pPr>
        <w:pStyle w:val="Heading1"/>
      </w:pPr>
      <w:r>
        <w:t>5. Absolute-Value Reformulation</w:t>
      </w:r>
    </w:p>
    <w:p>
      <w:r>
        <w:rPr>
          <w:i w:val="0"/>
        </w:rPr>
        <w:t>Introduce nonnegative auxiliary variables t, u, and v to represent the three absolute-value expressions. Keep the original decision variables unrestricted in sign. An equivalent linear program is:</w:t>
      </w:r>
    </w:p>
    <w:p>
      <w:pPr>
        <w:spacing w:before="40" w:after="100"/>
        <w:jc w:val="center"/>
      </w:pPr>
      <w:r>
        <w:drawing>
          <wp:inline xmlns:a="http://schemas.openxmlformats.org/drawingml/2006/main" xmlns:pic="http://schemas.openxmlformats.org/drawingml/2006/picture">
            <wp:extent cx="3319278" cy="1856234"/>
            <wp:docPr id="19" name="Picture 19"/>
            <wp:cNvGraphicFramePr>
              <a:graphicFrameLocks noChangeAspect="1"/>
            </wp:cNvGraphicFramePr>
            <a:graphic>
              <a:graphicData uri="http://schemas.openxmlformats.org/drawingml/2006/picture">
                <pic:pic>
                  <pic:nvPicPr>
                    <pic:cNvPr id="0" name="q5_lp.png"/>
                    <pic:cNvPicPr/>
                  </pic:nvPicPr>
                  <pic:blipFill>
                    <a:blip r:embed="rId27"/>
                    <a:stretch>
                      <a:fillRect/>
                    </a:stretch>
                  </pic:blipFill>
                  <pic:spPr>
                    <a:xfrm>
                      <a:off x="0" y="0"/>
                      <a:ext cx="3319278" cy="1856234"/>
                    </a:xfrm>
                    <a:prstGeom prst="rect"/>
                  </pic:spPr>
                </pic:pic>
              </a:graphicData>
            </a:graphic>
          </wp:inline>
        </w:drawing>
      </w:r>
    </w:p>
    <w:p>
      <w:r>
        <w:rPr>
          <w:i w:val="0"/>
        </w:rPr>
        <w:t>At an optimum, minimization makes t equal to the objective absolute value. The inequalities for u and v ensure that their sum is at least the left side of the original constraint; requiring that sum to be at most five is therefore exact.</w:t>
      </w:r>
    </w:p>
    <w:p>
      <w:pPr>
        <w:pStyle w:val="Heading1"/>
      </w:pPr>
      <w:r>
        <w:t>6. Investment under Taxation</w:t>
      </w:r>
    </w:p>
    <w:p>
      <w:pPr>
        <w:pStyle w:val="Heading2"/>
      </w:pPr>
      <w:r>
        <w:t>6(a) Linear programming formulation</w:t>
      </w:r>
    </w:p>
    <w:p>
      <w:r>
        <w:rPr>
          <w:i w:val="0"/>
        </w:rPr>
        <w:t>Let the sale variable denote the number of shares of stock i sold now. The net cash coefficient deducts the one percent transaction cost from current proceeds and deducts tax only from a positive capital gain. Since all price data are known, this coefficient is a constant.</w:t>
      </w:r>
    </w:p>
    <w:p>
      <w:pPr>
        <w:spacing w:before="40" w:after="100"/>
        <w:jc w:val="center"/>
      </w:pPr>
      <w:r>
        <w:drawing>
          <wp:inline xmlns:a="http://schemas.openxmlformats.org/drawingml/2006/main" xmlns:pic="http://schemas.openxmlformats.org/drawingml/2006/picture">
            <wp:extent cx="4788417" cy="722377"/>
            <wp:docPr id="20" name="Picture 20"/>
            <wp:cNvGraphicFramePr>
              <a:graphicFrameLocks noChangeAspect="1"/>
            </wp:cNvGraphicFramePr>
            <a:graphic>
              <a:graphicData uri="http://schemas.openxmlformats.org/drawingml/2006/picture">
                <pic:pic>
                  <pic:nvPicPr>
                    <pic:cNvPr id="0" name="q6_net.png"/>
                    <pic:cNvPicPr/>
                  </pic:nvPicPr>
                  <pic:blipFill>
                    <a:blip r:embed="rId28"/>
                    <a:stretch>
                      <a:fillRect/>
                    </a:stretch>
                  </pic:blipFill>
                  <pic:spPr>
                    <a:xfrm>
                      <a:off x="0" y="0"/>
                      <a:ext cx="4788417" cy="722377"/>
                    </a:xfrm>
                    <a:prstGeom prst="rect"/>
                  </pic:spPr>
                </pic:pic>
              </a:graphicData>
            </a:graphic>
          </wp:inline>
        </w:drawing>
      </w:r>
    </w:p>
    <w:p>
      <w:r>
        <w:rPr>
          <w:i w:val="0"/>
        </w:rPr>
        <w:t>The investor's problem is the following continuous linear program:</w:t>
      </w:r>
    </w:p>
    <w:p>
      <w:pPr>
        <w:spacing w:before="40" w:after="100"/>
        <w:jc w:val="center"/>
      </w:pPr>
      <w:r>
        <w:drawing>
          <wp:inline xmlns:a="http://schemas.openxmlformats.org/drawingml/2006/main" xmlns:pic="http://schemas.openxmlformats.org/drawingml/2006/picture">
            <wp:extent cx="4742697" cy="1057658"/>
            <wp:docPr id="21" name="Picture 21"/>
            <wp:cNvGraphicFramePr>
              <a:graphicFrameLocks noChangeAspect="1"/>
            </wp:cNvGraphicFramePr>
            <a:graphic>
              <a:graphicData uri="http://schemas.openxmlformats.org/drawingml/2006/picture">
                <pic:pic>
                  <pic:nvPicPr>
                    <pic:cNvPr id="0" name="q6_lp.png"/>
                    <pic:cNvPicPr/>
                  </pic:nvPicPr>
                  <pic:blipFill>
                    <a:blip r:embed="rId29"/>
                    <a:stretch>
                      <a:fillRect/>
                    </a:stretch>
                  </pic:blipFill>
                  <pic:spPr>
                    <a:xfrm>
                      <a:off x="0" y="0"/>
                      <a:ext cx="4742697" cy="1057658"/>
                    </a:xfrm>
                    <a:prstGeom prst="rect"/>
                  </pic:spPr>
                </pic:pic>
              </a:graphicData>
            </a:graphic>
          </wp:inline>
        </w:drawing>
      </w:r>
    </w:p>
    <w:p>
      <w:r>
        <w:rPr>
          <w:i w:val="0"/>
        </w:rPr>
        <w:t>The constant initial portfolio value may be removed from the objective, yielding the equivalent minimization of expected future value sold. The model treats shares as divisible, which is consistent with a linear programming formulation.</w:t>
      </w:r>
    </w:p>
    <w:p>
      <w:pPr>
        <w:pStyle w:val="Heading2"/>
      </w:pPr>
      <w:r>
        <w:t>6(b) Numerical solution for K = $9,000</w:t>
      </w:r>
    </w:p>
    <w:tbl>
      <w:tblPr>
        <w:tblStyle w:val="TableGrid"/>
        <w:tblW w:type="auto" w:w="0"/>
        <w:jc w:val="center"/>
        <w:tblLayout w:type="fixed"/>
        <w:tblLook w:firstColumn="1" w:firstRow="1" w:lastColumn="0" w:lastRow="0" w:noHBand="0" w:noVBand="1" w:val="04A0"/>
      </w:tblPr>
      <w:tblGrid>
        <w:gridCol w:w="1428"/>
        <w:gridCol w:w="1428"/>
        <w:gridCol w:w="1428"/>
        <w:gridCol w:w="1428"/>
        <w:gridCol w:w="1428"/>
        <w:gridCol w:w="1428"/>
        <w:gridCol w:w="1428"/>
      </w:tblGrid>
      <w:tr>
        <w:trPr>
          <w:tblHeader w:val="true"/>
        </w:trPr>
        <w:tc>
          <w:tcPr>
            <w:tcW w:type="dxa" w:w="792"/>
            <w:shd w:fill="18354A"/>
            <w:tcMar>
              <w:top w:w="80" w:type="dxa"/>
              <w:start w:w="90" w:type="dxa"/>
              <w:bottom w:w="80" w:type="dxa"/>
              <w:end w:w="90" w:type="dxa"/>
            </w:tcMar>
            <w:vAlign w:val="center"/>
          </w:tcPr>
          <w:p>
            <w:pPr>
              <w:spacing w:after="0"/>
              <w:jc w:val="center"/>
            </w:pPr>
            <w:r>
              <w:rPr>
                <w:rFonts w:ascii="Arial" w:hAnsi="Arial"/>
                <w:b/>
                <w:color w:val="FFFFFF"/>
                <w:sz w:val="15"/>
              </w:rPr>
              <w:t>Stock</w:t>
            </w:r>
          </w:p>
        </w:tc>
        <w:tc>
          <w:tcPr>
            <w:tcW w:type="dxa" w:w="1123"/>
            <w:shd w:fill="18354A"/>
            <w:tcMar>
              <w:top w:w="80" w:type="dxa"/>
              <w:start w:w="90" w:type="dxa"/>
              <w:bottom w:w="80" w:type="dxa"/>
              <w:end w:w="90" w:type="dxa"/>
            </w:tcMar>
            <w:vAlign w:val="center"/>
          </w:tcPr>
          <w:p>
            <w:pPr>
              <w:spacing w:after="0"/>
              <w:jc w:val="center"/>
            </w:pPr>
            <w:r>
              <w:rPr>
                <w:rFonts w:ascii="Arial" w:hAnsi="Arial"/>
                <w:b/>
                <w:color w:val="FFFFFF"/>
                <w:sz w:val="15"/>
              </w:rPr>
              <w:t>Buy price</w:t>
            </w:r>
          </w:p>
        </w:tc>
        <w:tc>
          <w:tcPr>
            <w:tcW w:type="dxa" w:w="1037"/>
            <w:shd w:fill="18354A"/>
            <w:tcMar>
              <w:top w:w="80" w:type="dxa"/>
              <w:start w:w="90" w:type="dxa"/>
              <w:bottom w:w="80" w:type="dxa"/>
              <w:end w:w="90" w:type="dxa"/>
            </w:tcMar>
            <w:vAlign w:val="center"/>
          </w:tcPr>
          <w:p>
            <w:pPr>
              <w:spacing w:after="0"/>
              <w:jc w:val="center"/>
            </w:pPr>
            <w:r>
              <w:rPr>
                <w:rFonts w:ascii="Arial" w:hAnsi="Arial"/>
                <w:b/>
                <w:color w:val="FFFFFF"/>
                <w:sz w:val="15"/>
              </w:rPr>
              <w:t>Shares</w:t>
            </w:r>
          </w:p>
        </w:tc>
        <w:tc>
          <w:tcPr>
            <w:tcW w:type="dxa" w:w="1123"/>
            <w:shd w:fill="18354A"/>
            <w:tcMar>
              <w:top w:w="80" w:type="dxa"/>
              <w:start w:w="90" w:type="dxa"/>
              <w:bottom w:w="80" w:type="dxa"/>
              <w:end w:w="90" w:type="dxa"/>
            </w:tcMar>
            <w:vAlign w:val="center"/>
          </w:tcPr>
          <w:p>
            <w:pPr>
              <w:spacing w:after="0"/>
              <w:jc w:val="center"/>
            </w:pPr>
            <w:r>
              <w:rPr>
                <w:rFonts w:ascii="Arial" w:hAnsi="Arial"/>
                <w:b/>
                <w:color w:val="FFFFFF"/>
                <w:sz w:val="15"/>
              </w:rPr>
              <w:t>Current</w:t>
            </w:r>
          </w:p>
        </w:tc>
        <w:tc>
          <w:tcPr>
            <w:tcW w:type="dxa" w:w="1123"/>
            <w:shd w:fill="18354A"/>
            <w:tcMar>
              <w:top w:w="80" w:type="dxa"/>
              <w:start w:w="90" w:type="dxa"/>
              <w:bottom w:w="80" w:type="dxa"/>
              <w:end w:w="90" w:type="dxa"/>
            </w:tcMar>
            <w:vAlign w:val="center"/>
          </w:tcPr>
          <w:p>
            <w:pPr>
              <w:spacing w:after="0"/>
              <w:jc w:val="center"/>
            </w:pPr>
            <w:r>
              <w:rPr>
                <w:rFonts w:ascii="Arial" w:hAnsi="Arial"/>
                <w:b/>
                <w:color w:val="FFFFFF"/>
                <w:sz w:val="15"/>
              </w:rPr>
              <w:t>Expected</w:t>
            </w:r>
          </w:p>
        </w:tc>
        <w:tc>
          <w:tcPr>
            <w:tcW w:type="dxa" w:w="1555"/>
            <w:shd w:fill="18354A"/>
            <w:tcMar>
              <w:top w:w="80" w:type="dxa"/>
              <w:start w:w="90" w:type="dxa"/>
              <w:bottom w:w="80" w:type="dxa"/>
              <w:end w:w="90" w:type="dxa"/>
            </w:tcMar>
            <w:vAlign w:val="center"/>
          </w:tcPr>
          <w:p>
            <w:pPr>
              <w:spacing w:after="0"/>
              <w:jc w:val="center"/>
            </w:pPr>
            <w:r>
              <w:rPr>
                <w:rFonts w:ascii="Arial" w:hAnsi="Arial"/>
                <w:b/>
                <w:color w:val="FFFFFF"/>
                <w:sz w:val="15"/>
              </w:rPr>
              <w:t>Net cash/share</w:t>
            </w:r>
          </w:p>
        </w:tc>
        <w:tc>
          <w:tcPr>
            <w:tcW w:type="dxa" w:w="1469"/>
            <w:shd w:fill="18354A"/>
            <w:tcMar>
              <w:top w:w="80" w:type="dxa"/>
              <w:start w:w="90" w:type="dxa"/>
              <w:bottom w:w="80" w:type="dxa"/>
              <w:end w:w="90" w:type="dxa"/>
            </w:tcMar>
            <w:vAlign w:val="center"/>
          </w:tcPr>
          <w:p>
            <w:pPr>
              <w:spacing w:after="0"/>
              <w:jc w:val="center"/>
            </w:pPr>
            <w:r>
              <w:rPr>
                <w:rFonts w:ascii="Arial" w:hAnsi="Arial"/>
                <w:b/>
                <w:color w:val="FFFFFF"/>
                <w:sz w:val="15"/>
              </w:rPr>
              <w:t>Future loss/$</w:t>
            </w:r>
          </w:p>
        </w:tc>
      </w:tr>
      <w:tr>
        <w:tc>
          <w:tcPr>
            <w:tcW w:type="dxa" w:w="792"/>
            <w:tcMar>
              <w:top w:w="80" w:type="dxa"/>
              <w:start w:w="90" w:type="dxa"/>
              <w:bottom w:w="80" w:type="dxa"/>
              <w:end w:w="90" w:type="dxa"/>
            </w:tcMar>
          </w:tcPr>
          <w:p>
            <w:pPr>
              <w:spacing w:after="0"/>
              <w:jc w:val="left"/>
            </w:pPr>
            <w:r>
              <w:rPr>
                <w:rFonts w:ascii="Arial" w:hAnsi="Arial"/>
                <w:sz w:val="15"/>
              </w:rPr>
              <w:t>S1</w:t>
            </w:r>
          </w:p>
        </w:tc>
        <w:tc>
          <w:tcPr>
            <w:tcW w:type="dxa" w:w="1123"/>
            <w:tcMar>
              <w:top w:w="80" w:type="dxa"/>
              <w:start w:w="90" w:type="dxa"/>
              <w:bottom w:w="80" w:type="dxa"/>
              <w:end w:w="90" w:type="dxa"/>
            </w:tcMar>
          </w:tcPr>
          <w:p>
            <w:pPr>
              <w:spacing w:after="0"/>
              <w:jc w:val="center"/>
            </w:pPr>
            <w:r>
              <w:rPr>
                <w:rFonts w:ascii="Arial" w:hAnsi="Arial"/>
                <w:sz w:val="15"/>
              </w:rPr>
              <w:t>$1.20</w:t>
            </w:r>
          </w:p>
        </w:tc>
        <w:tc>
          <w:tcPr>
            <w:tcW w:type="dxa" w:w="1037"/>
            <w:tcMar>
              <w:top w:w="80" w:type="dxa"/>
              <w:start w:w="90" w:type="dxa"/>
              <w:bottom w:w="80" w:type="dxa"/>
              <w:end w:w="90" w:type="dxa"/>
            </w:tcMar>
          </w:tcPr>
          <w:p>
            <w:pPr>
              <w:spacing w:after="0"/>
              <w:jc w:val="center"/>
            </w:pPr>
            <w:r>
              <w:rPr>
                <w:rFonts w:ascii="Arial" w:hAnsi="Arial"/>
                <w:sz w:val="15"/>
              </w:rPr>
              <w:t>1,000</w:t>
            </w:r>
          </w:p>
        </w:tc>
        <w:tc>
          <w:tcPr>
            <w:tcW w:type="dxa" w:w="1123"/>
            <w:tcMar>
              <w:top w:w="80" w:type="dxa"/>
              <w:start w:w="90" w:type="dxa"/>
              <w:bottom w:w="80" w:type="dxa"/>
              <w:end w:w="90" w:type="dxa"/>
            </w:tcMar>
          </w:tcPr>
          <w:p>
            <w:pPr>
              <w:spacing w:after="0"/>
              <w:jc w:val="center"/>
            </w:pPr>
            <w:r>
              <w:rPr>
                <w:rFonts w:ascii="Arial" w:hAnsi="Arial"/>
                <w:sz w:val="15"/>
              </w:rPr>
              <w:t>$2.10</w:t>
            </w:r>
          </w:p>
        </w:tc>
        <w:tc>
          <w:tcPr>
            <w:tcW w:type="dxa" w:w="1123"/>
            <w:tcMar>
              <w:top w:w="80" w:type="dxa"/>
              <w:start w:w="90" w:type="dxa"/>
              <w:bottom w:w="80" w:type="dxa"/>
              <w:end w:w="90" w:type="dxa"/>
            </w:tcMar>
          </w:tcPr>
          <w:p>
            <w:pPr>
              <w:spacing w:after="0"/>
              <w:jc w:val="center"/>
            </w:pPr>
            <w:r>
              <w:rPr>
                <w:rFonts w:ascii="Arial" w:hAnsi="Arial"/>
                <w:sz w:val="15"/>
              </w:rPr>
              <w:t>$2.00</w:t>
            </w:r>
          </w:p>
        </w:tc>
        <w:tc>
          <w:tcPr>
            <w:tcW w:type="dxa" w:w="1555"/>
            <w:tcMar>
              <w:top w:w="80" w:type="dxa"/>
              <w:start w:w="90" w:type="dxa"/>
              <w:bottom w:w="80" w:type="dxa"/>
              <w:end w:w="90" w:type="dxa"/>
            </w:tcMar>
          </w:tcPr>
          <w:p>
            <w:pPr>
              <w:spacing w:after="0"/>
              <w:jc w:val="center"/>
            </w:pPr>
            <w:r>
              <w:rPr>
                <w:rFonts w:ascii="Arial" w:hAnsi="Arial"/>
                <w:sz w:val="15"/>
              </w:rPr>
              <w:t>$1.809</w:t>
            </w:r>
          </w:p>
        </w:tc>
        <w:tc>
          <w:tcPr>
            <w:tcW w:type="dxa" w:w="1469"/>
            <w:tcMar>
              <w:top w:w="80" w:type="dxa"/>
              <w:start w:w="90" w:type="dxa"/>
              <w:bottom w:w="80" w:type="dxa"/>
              <w:end w:w="90" w:type="dxa"/>
            </w:tcMar>
          </w:tcPr>
          <w:p>
            <w:pPr>
              <w:spacing w:after="0"/>
              <w:jc w:val="center"/>
            </w:pPr>
            <w:r>
              <w:rPr>
                <w:rFonts w:ascii="Arial" w:hAnsi="Arial"/>
                <w:sz w:val="15"/>
              </w:rPr>
              <w:t>1.1056</w:t>
            </w:r>
          </w:p>
        </w:tc>
      </w:tr>
      <w:tr>
        <w:tc>
          <w:tcPr>
            <w:tcW w:type="dxa" w:w="792"/>
            <w:tcMar>
              <w:top w:w="80" w:type="dxa"/>
              <w:start w:w="90" w:type="dxa"/>
              <w:bottom w:w="80" w:type="dxa"/>
              <w:end w:w="90" w:type="dxa"/>
            </w:tcMar>
            <w:shd w:fill="F3F5F6"/>
          </w:tcPr>
          <w:p>
            <w:pPr>
              <w:spacing w:after="0"/>
              <w:jc w:val="left"/>
            </w:pPr>
            <w:r>
              <w:rPr>
                <w:rFonts w:ascii="Arial" w:hAnsi="Arial"/>
                <w:sz w:val="15"/>
              </w:rPr>
              <w:t>S2</w:t>
            </w:r>
          </w:p>
        </w:tc>
        <w:tc>
          <w:tcPr>
            <w:tcW w:type="dxa" w:w="1123"/>
            <w:tcMar>
              <w:top w:w="80" w:type="dxa"/>
              <w:start w:w="90" w:type="dxa"/>
              <w:bottom w:w="80" w:type="dxa"/>
              <w:end w:w="90" w:type="dxa"/>
            </w:tcMar>
            <w:shd w:fill="F3F5F6"/>
          </w:tcPr>
          <w:p>
            <w:pPr>
              <w:spacing w:after="0"/>
              <w:jc w:val="center"/>
            </w:pPr>
            <w:r>
              <w:rPr>
                <w:rFonts w:ascii="Arial" w:hAnsi="Arial"/>
                <w:sz w:val="15"/>
              </w:rPr>
              <w:t>$2.10</w:t>
            </w:r>
          </w:p>
        </w:tc>
        <w:tc>
          <w:tcPr>
            <w:tcW w:type="dxa" w:w="1037"/>
            <w:tcMar>
              <w:top w:w="80" w:type="dxa"/>
              <w:start w:w="90" w:type="dxa"/>
              <w:bottom w:w="80" w:type="dxa"/>
              <w:end w:w="90" w:type="dxa"/>
            </w:tcMar>
            <w:shd w:fill="F3F5F6"/>
          </w:tcPr>
          <w:p>
            <w:pPr>
              <w:spacing w:after="0"/>
              <w:jc w:val="center"/>
            </w:pPr>
            <w:r>
              <w:rPr>
                <w:rFonts w:ascii="Arial" w:hAnsi="Arial"/>
                <w:sz w:val="15"/>
              </w:rPr>
              <w:t>1,000</w:t>
            </w:r>
          </w:p>
        </w:tc>
        <w:tc>
          <w:tcPr>
            <w:tcW w:type="dxa" w:w="1123"/>
            <w:tcMar>
              <w:top w:w="80" w:type="dxa"/>
              <w:start w:w="90" w:type="dxa"/>
              <w:bottom w:w="80" w:type="dxa"/>
              <w:end w:w="90" w:type="dxa"/>
            </w:tcMar>
            <w:shd w:fill="F3F5F6"/>
          </w:tcPr>
          <w:p>
            <w:pPr>
              <w:spacing w:after="0"/>
              <w:jc w:val="center"/>
            </w:pPr>
            <w:r>
              <w:rPr>
                <w:rFonts w:ascii="Arial" w:hAnsi="Arial"/>
                <w:sz w:val="15"/>
              </w:rPr>
              <w:t>$3.20</w:t>
            </w:r>
          </w:p>
        </w:tc>
        <w:tc>
          <w:tcPr>
            <w:tcW w:type="dxa" w:w="1123"/>
            <w:tcMar>
              <w:top w:w="80" w:type="dxa"/>
              <w:start w:w="90" w:type="dxa"/>
              <w:bottom w:w="80" w:type="dxa"/>
              <w:end w:w="90" w:type="dxa"/>
            </w:tcMar>
            <w:shd w:fill="F3F5F6"/>
          </w:tcPr>
          <w:p>
            <w:pPr>
              <w:spacing w:after="0"/>
              <w:jc w:val="center"/>
            </w:pPr>
            <w:r>
              <w:rPr>
                <w:rFonts w:ascii="Arial" w:hAnsi="Arial"/>
                <w:sz w:val="15"/>
              </w:rPr>
              <w:t>$3.70</w:t>
            </w:r>
          </w:p>
        </w:tc>
        <w:tc>
          <w:tcPr>
            <w:tcW w:type="dxa" w:w="1555"/>
            <w:tcMar>
              <w:top w:w="80" w:type="dxa"/>
              <w:start w:w="90" w:type="dxa"/>
              <w:bottom w:w="80" w:type="dxa"/>
              <w:end w:w="90" w:type="dxa"/>
            </w:tcMar>
            <w:shd w:fill="F3F5F6"/>
          </w:tcPr>
          <w:p>
            <w:pPr>
              <w:spacing w:after="0"/>
              <w:jc w:val="center"/>
            </w:pPr>
            <w:r>
              <w:rPr>
                <w:rFonts w:ascii="Arial" w:hAnsi="Arial"/>
                <w:sz w:val="15"/>
              </w:rPr>
              <w:t>$2.838</w:t>
            </w:r>
          </w:p>
        </w:tc>
        <w:tc>
          <w:tcPr>
            <w:tcW w:type="dxa" w:w="1469"/>
            <w:tcMar>
              <w:top w:w="80" w:type="dxa"/>
              <w:start w:w="90" w:type="dxa"/>
              <w:bottom w:w="80" w:type="dxa"/>
              <w:end w:w="90" w:type="dxa"/>
            </w:tcMar>
            <w:shd w:fill="F3F5F6"/>
          </w:tcPr>
          <w:p>
            <w:pPr>
              <w:spacing w:after="0"/>
              <w:jc w:val="center"/>
            </w:pPr>
            <w:r>
              <w:rPr>
                <w:rFonts w:ascii="Arial" w:hAnsi="Arial"/>
                <w:sz w:val="15"/>
              </w:rPr>
              <w:t>1.3037</w:t>
            </w:r>
          </w:p>
        </w:tc>
      </w:tr>
      <w:tr>
        <w:tc>
          <w:tcPr>
            <w:tcW w:type="dxa" w:w="792"/>
            <w:tcMar>
              <w:top w:w="80" w:type="dxa"/>
              <w:start w:w="90" w:type="dxa"/>
              <w:bottom w:w="80" w:type="dxa"/>
              <w:end w:w="90" w:type="dxa"/>
            </w:tcMar>
          </w:tcPr>
          <w:p>
            <w:pPr>
              <w:spacing w:after="0"/>
              <w:jc w:val="left"/>
            </w:pPr>
            <w:r>
              <w:rPr>
                <w:rFonts w:ascii="Arial" w:hAnsi="Arial"/>
                <w:sz w:val="15"/>
              </w:rPr>
              <w:t>S3</w:t>
            </w:r>
          </w:p>
        </w:tc>
        <w:tc>
          <w:tcPr>
            <w:tcW w:type="dxa" w:w="1123"/>
            <w:tcMar>
              <w:top w:w="80" w:type="dxa"/>
              <w:start w:w="90" w:type="dxa"/>
              <w:bottom w:w="80" w:type="dxa"/>
              <w:end w:w="90" w:type="dxa"/>
            </w:tcMar>
          </w:tcPr>
          <w:p>
            <w:pPr>
              <w:spacing w:after="0"/>
              <w:jc w:val="center"/>
            </w:pPr>
            <w:r>
              <w:rPr>
                <w:rFonts w:ascii="Arial" w:hAnsi="Arial"/>
                <w:sz w:val="15"/>
              </w:rPr>
              <w:t>$3.20</w:t>
            </w:r>
          </w:p>
        </w:tc>
        <w:tc>
          <w:tcPr>
            <w:tcW w:type="dxa" w:w="1037"/>
            <w:tcMar>
              <w:top w:w="80" w:type="dxa"/>
              <w:start w:w="90" w:type="dxa"/>
              <w:bottom w:w="80" w:type="dxa"/>
              <w:end w:w="90" w:type="dxa"/>
            </w:tcMar>
          </w:tcPr>
          <w:p>
            <w:pPr>
              <w:spacing w:after="0"/>
              <w:jc w:val="center"/>
            </w:pPr>
            <w:r>
              <w:rPr>
                <w:rFonts w:ascii="Arial" w:hAnsi="Arial"/>
                <w:sz w:val="15"/>
              </w:rPr>
              <w:t>1,000</w:t>
            </w:r>
          </w:p>
        </w:tc>
        <w:tc>
          <w:tcPr>
            <w:tcW w:type="dxa" w:w="1123"/>
            <w:tcMar>
              <w:top w:w="80" w:type="dxa"/>
              <w:start w:w="90" w:type="dxa"/>
              <w:bottom w:w="80" w:type="dxa"/>
              <w:end w:w="90" w:type="dxa"/>
            </w:tcMar>
          </w:tcPr>
          <w:p>
            <w:pPr>
              <w:spacing w:after="0"/>
              <w:jc w:val="center"/>
            </w:pPr>
            <w:r>
              <w:rPr>
                <w:rFonts w:ascii="Arial" w:hAnsi="Arial"/>
                <w:sz w:val="15"/>
              </w:rPr>
              <w:t>$4.10</w:t>
            </w:r>
          </w:p>
        </w:tc>
        <w:tc>
          <w:tcPr>
            <w:tcW w:type="dxa" w:w="1123"/>
            <w:tcMar>
              <w:top w:w="80" w:type="dxa"/>
              <w:start w:w="90" w:type="dxa"/>
              <w:bottom w:w="80" w:type="dxa"/>
              <w:end w:w="90" w:type="dxa"/>
            </w:tcMar>
          </w:tcPr>
          <w:p>
            <w:pPr>
              <w:spacing w:after="0"/>
              <w:jc w:val="center"/>
            </w:pPr>
            <w:r>
              <w:rPr>
                <w:rFonts w:ascii="Arial" w:hAnsi="Arial"/>
                <w:sz w:val="15"/>
              </w:rPr>
              <w:t>$5.20</w:t>
            </w:r>
          </w:p>
        </w:tc>
        <w:tc>
          <w:tcPr>
            <w:tcW w:type="dxa" w:w="1555"/>
            <w:tcMar>
              <w:top w:w="80" w:type="dxa"/>
              <w:start w:w="90" w:type="dxa"/>
              <w:bottom w:w="80" w:type="dxa"/>
              <w:end w:w="90" w:type="dxa"/>
            </w:tcMar>
          </w:tcPr>
          <w:p>
            <w:pPr>
              <w:spacing w:after="0"/>
              <w:jc w:val="center"/>
            </w:pPr>
            <w:r>
              <w:rPr>
                <w:rFonts w:ascii="Arial" w:hAnsi="Arial"/>
                <w:sz w:val="15"/>
              </w:rPr>
              <w:t>$3.789</w:t>
            </w:r>
          </w:p>
        </w:tc>
        <w:tc>
          <w:tcPr>
            <w:tcW w:type="dxa" w:w="1469"/>
            <w:tcMar>
              <w:top w:w="80" w:type="dxa"/>
              <w:start w:w="90" w:type="dxa"/>
              <w:bottom w:w="80" w:type="dxa"/>
              <w:end w:w="90" w:type="dxa"/>
            </w:tcMar>
          </w:tcPr>
          <w:p>
            <w:pPr>
              <w:spacing w:after="0"/>
              <w:jc w:val="center"/>
            </w:pPr>
            <w:r>
              <w:rPr>
                <w:rFonts w:ascii="Arial" w:hAnsi="Arial"/>
                <w:sz w:val="15"/>
              </w:rPr>
              <w:t>1.3724</w:t>
            </w:r>
          </w:p>
        </w:tc>
      </w:tr>
      <w:tr>
        <w:tc>
          <w:tcPr>
            <w:tcW w:type="dxa" w:w="792"/>
            <w:tcMar>
              <w:top w:w="80" w:type="dxa"/>
              <w:start w:w="90" w:type="dxa"/>
              <w:bottom w:w="80" w:type="dxa"/>
              <w:end w:w="90" w:type="dxa"/>
            </w:tcMar>
            <w:shd w:fill="F3F5F6"/>
          </w:tcPr>
          <w:p>
            <w:pPr>
              <w:spacing w:after="0"/>
              <w:jc w:val="left"/>
            </w:pPr>
            <w:r>
              <w:rPr>
                <w:rFonts w:ascii="Arial" w:hAnsi="Arial"/>
                <w:sz w:val="15"/>
              </w:rPr>
              <w:t>S4</w:t>
            </w:r>
          </w:p>
        </w:tc>
        <w:tc>
          <w:tcPr>
            <w:tcW w:type="dxa" w:w="1123"/>
            <w:tcMar>
              <w:top w:w="80" w:type="dxa"/>
              <w:start w:w="90" w:type="dxa"/>
              <w:bottom w:w="80" w:type="dxa"/>
              <w:end w:w="90" w:type="dxa"/>
            </w:tcMar>
            <w:shd w:fill="F3F5F6"/>
          </w:tcPr>
          <w:p>
            <w:pPr>
              <w:spacing w:after="0"/>
              <w:jc w:val="center"/>
            </w:pPr>
            <w:r>
              <w:rPr>
                <w:rFonts w:ascii="Arial" w:hAnsi="Arial"/>
                <w:sz w:val="15"/>
              </w:rPr>
              <w:t>$4.10</w:t>
            </w:r>
          </w:p>
        </w:tc>
        <w:tc>
          <w:tcPr>
            <w:tcW w:type="dxa" w:w="1037"/>
            <w:tcMar>
              <w:top w:w="80" w:type="dxa"/>
              <w:start w:w="90" w:type="dxa"/>
              <w:bottom w:w="80" w:type="dxa"/>
              <w:end w:w="90" w:type="dxa"/>
            </w:tcMar>
            <w:shd w:fill="F3F5F6"/>
          </w:tcPr>
          <w:p>
            <w:pPr>
              <w:spacing w:after="0"/>
              <w:jc w:val="center"/>
            </w:pPr>
            <w:r>
              <w:rPr>
                <w:rFonts w:ascii="Arial" w:hAnsi="Arial"/>
                <w:sz w:val="15"/>
              </w:rPr>
              <w:t>1,000</w:t>
            </w:r>
          </w:p>
        </w:tc>
        <w:tc>
          <w:tcPr>
            <w:tcW w:type="dxa" w:w="1123"/>
            <w:tcMar>
              <w:top w:w="80" w:type="dxa"/>
              <w:start w:w="90" w:type="dxa"/>
              <w:bottom w:w="80" w:type="dxa"/>
              <w:end w:w="90" w:type="dxa"/>
            </w:tcMar>
            <w:shd w:fill="F3F5F6"/>
          </w:tcPr>
          <w:p>
            <w:pPr>
              <w:spacing w:after="0"/>
              <w:jc w:val="center"/>
            </w:pPr>
            <w:r>
              <w:rPr>
                <w:rFonts w:ascii="Arial" w:hAnsi="Arial"/>
                <w:sz w:val="15"/>
              </w:rPr>
              <w:t>$5.10</w:t>
            </w:r>
          </w:p>
        </w:tc>
        <w:tc>
          <w:tcPr>
            <w:tcW w:type="dxa" w:w="1123"/>
            <w:tcMar>
              <w:top w:w="80" w:type="dxa"/>
              <w:start w:w="90" w:type="dxa"/>
              <w:bottom w:w="80" w:type="dxa"/>
              <w:end w:w="90" w:type="dxa"/>
            </w:tcMar>
            <w:shd w:fill="F3F5F6"/>
          </w:tcPr>
          <w:p>
            <w:pPr>
              <w:spacing w:after="0"/>
              <w:jc w:val="center"/>
            </w:pPr>
            <w:r>
              <w:rPr>
                <w:rFonts w:ascii="Arial" w:hAnsi="Arial"/>
                <w:sz w:val="15"/>
              </w:rPr>
              <w:t>$7.10</w:t>
            </w:r>
          </w:p>
        </w:tc>
        <w:tc>
          <w:tcPr>
            <w:tcW w:type="dxa" w:w="1555"/>
            <w:tcMar>
              <w:top w:w="80" w:type="dxa"/>
              <w:start w:w="90" w:type="dxa"/>
              <w:bottom w:w="80" w:type="dxa"/>
              <w:end w:w="90" w:type="dxa"/>
            </w:tcMar>
            <w:shd w:fill="F3F5F6"/>
          </w:tcPr>
          <w:p>
            <w:pPr>
              <w:spacing w:after="0"/>
              <w:jc w:val="center"/>
            </w:pPr>
            <w:r>
              <w:rPr>
                <w:rFonts w:ascii="Arial" w:hAnsi="Arial"/>
                <w:sz w:val="15"/>
              </w:rPr>
              <w:t>$4.749</w:t>
            </w:r>
          </w:p>
        </w:tc>
        <w:tc>
          <w:tcPr>
            <w:tcW w:type="dxa" w:w="1469"/>
            <w:tcMar>
              <w:top w:w="80" w:type="dxa"/>
              <w:start w:w="90" w:type="dxa"/>
              <w:bottom w:w="80" w:type="dxa"/>
              <w:end w:w="90" w:type="dxa"/>
            </w:tcMar>
            <w:shd w:fill="F3F5F6"/>
          </w:tcPr>
          <w:p>
            <w:pPr>
              <w:spacing w:after="0"/>
              <w:jc w:val="center"/>
            </w:pPr>
            <w:r>
              <w:rPr>
                <w:rFonts w:ascii="Arial" w:hAnsi="Arial"/>
                <w:sz w:val="15"/>
              </w:rPr>
              <w:t>1.4951</w:t>
            </w:r>
          </w:p>
        </w:tc>
      </w:tr>
      <w:tr>
        <w:tc>
          <w:tcPr>
            <w:tcW w:type="dxa" w:w="792"/>
            <w:tcMar>
              <w:top w:w="80" w:type="dxa"/>
              <w:start w:w="90" w:type="dxa"/>
              <w:bottom w:w="80" w:type="dxa"/>
              <w:end w:w="90" w:type="dxa"/>
            </w:tcMar>
          </w:tcPr>
          <w:p>
            <w:pPr>
              <w:spacing w:after="0"/>
              <w:jc w:val="left"/>
            </w:pPr>
            <w:r>
              <w:rPr>
                <w:rFonts w:ascii="Arial" w:hAnsi="Arial"/>
                <w:sz w:val="15"/>
              </w:rPr>
              <w:t>S5</w:t>
            </w:r>
          </w:p>
        </w:tc>
        <w:tc>
          <w:tcPr>
            <w:tcW w:type="dxa" w:w="1123"/>
            <w:tcMar>
              <w:top w:w="80" w:type="dxa"/>
              <w:start w:w="90" w:type="dxa"/>
              <w:bottom w:w="80" w:type="dxa"/>
              <w:end w:w="90" w:type="dxa"/>
            </w:tcMar>
          </w:tcPr>
          <w:p>
            <w:pPr>
              <w:spacing w:after="0"/>
              <w:jc w:val="center"/>
            </w:pPr>
            <w:r>
              <w:rPr>
                <w:rFonts w:ascii="Arial" w:hAnsi="Arial"/>
                <w:sz w:val="15"/>
              </w:rPr>
              <w:t>$4.50</w:t>
            </w:r>
          </w:p>
        </w:tc>
        <w:tc>
          <w:tcPr>
            <w:tcW w:type="dxa" w:w="1037"/>
            <w:tcMar>
              <w:top w:w="80" w:type="dxa"/>
              <w:start w:w="90" w:type="dxa"/>
              <w:bottom w:w="80" w:type="dxa"/>
              <w:end w:w="90" w:type="dxa"/>
            </w:tcMar>
          </w:tcPr>
          <w:p>
            <w:pPr>
              <w:spacing w:after="0"/>
              <w:jc w:val="center"/>
            </w:pPr>
            <w:r>
              <w:rPr>
                <w:rFonts w:ascii="Arial" w:hAnsi="Arial"/>
                <w:sz w:val="15"/>
              </w:rPr>
              <w:t>1,000</w:t>
            </w:r>
          </w:p>
        </w:tc>
        <w:tc>
          <w:tcPr>
            <w:tcW w:type="dxa" w:w="1123"/>
            <w:tcMar>
              <w:top w:w="80" w:type="dxa"/>
              <w:start w:w="90" w:type="dxa"/>
              <w:bottom w:w="80" w:type="dxa"/>
              <w:end w:w="90" w:type="dxa"/>
            </w:tcMar>
          </w:tcPr>
          <w:p>
            <w:pPr>
              <w:spacing w:after="0"/>
              <w:jc w:val="center"/>
            </w:pPr>
            <w:r>
              <w:rPr>
                <w:rFonts w:ascii="Arial" w:hAnsi="Arial"/>
                <w:sz w:val="15"/>
              </w:rPr>
              <w:t>$6.70</w:t>
            </w:r>
          </w:p>
        </w:tc>
        <w:tc>
          <w:tcPr>
            <w:tcW w:type="dxa" w:w="1123"/>
            <w:tcMar>
              <w:top w:w="80" w:type="dxa"/>
              <w:start w:w="90" w:type="dxa"/>
              <w:bottom w:w="80" w:type="dxa"/>
              <w:end w:w="90" w:type="dxa"/>
            </w:tcMar>
          </w:tcPr>
          <w:p>
            <w:pPr>
              <w:spacing w:after="0"/>
              <w:jc w:val="center"/>
            </w:pPr>
            <w:r>
              <w:rPr>
                <w:rFonts w:ascii="Arial" w:hAnsi="Arial"/>
                <w:sz w:val="15"/>
              </w:rPr>
              <w:t>$9.10</w:t>
            </w:r>
          </w:p>
        </w:tc>
        <w:tc>
          <w:tcPr>
            <w:tcW w:type="dxa" w:w="1555"/>
            <w:tcMar>
              <w:top w:w="80" w:type="dxa"/>
              <w:start w:w="90" w:type="dxa"/>
              <w:bottom w:w="80" w:type="dxa"/>
              <w:end w:w="90" w:type="dxa"/>
            </w:tcMar>
          </w:tcPr>
          <w:p>
            <w:pPr>
              <w:spacing w:after="0"/>
              <w:jc w:val="center"/>
            </w:pPr>
            <w:r>
              <w:rPr>
                <w:rFonts w:ascii="Arial" w:hAnsi="Arial"/>
                <w:sz w:val="15"/>
              </w:rPr>
              <w:t>$5.973</w:t>
            </w:r>
          </w:p>
        </w:tc>
        <w:tc>
          <w:tcPr>
            <w:tcW w:type="dxa" w:w="1469"/>
            <w:tcMar>
              <w:top w:w="80" w:type="dxa"/>
              <w:start w:w="90" w:type="dxa"/>
              <w:bottom w:w="80" w:type="dxa"/>
              <w:end w:w="90" w:type="dxa"/>
            </w:tcMar>
          </w:tcPr>
          <w:p>
            <w:pPr>
              <w:spacing w:after="0"/>
              <w:jc w:val="center"/>
            </w:pPr>
            <w:r>
              <w:rPr>
                <w:rFonts w:ascii="Arial" w:hAnsi="Arial"/>
                <w:sz w:val="15"/>
              </w:rPr>
              <w:t>1.5235</w:t>
            </w:r>
          </w:p>
        </w:tc>
      </w:tr>
    </w:tbl>
    <w:p>
      <w:pPr>
        <w:spacing w:after="0"/>
      </w:pPr>
    </w:p>
    <w:p>
      <w:r>
        <w:rPr>
          <w:i w:val="0"/>
        </w:rPr>
        <w:t>The last column is the expected future value forgone per dollar of net cash raised. Its ascending order is S1, S2, S3, S4, then S5. Thus, the first three holdings are sold in full, after which only the amount of S4 needed to reach the target is sold.</w:t>
      </w:r>
    </w:p>
    <w:p>
      <w:pPr>
        <w:spacing w:before="40" w:after="100"/>
        <w:jc w:val="center"/>
      </w:pPr>
      <w:r>
        <w:drawing>
          <wp:inline xmlns:a="http://schemas.openxmlformats.org/drawingml/2006/main" xmlns:pic="http://schemas.openxmlformats.org/drawingml/2006/picture">
            <wp:extent cx="4834137" cy="1274066"/>
            <wp:docPr id="22" name="Picture 22"/>
            <wp:cNvGraphicFramePr>
              <a:graphicFrameLocks noChangeAspect="1"/>
            </wp:cNvGraphicFramePr>
            <a:graphic>
              <a:graphicData uri="http://schemas.openxmlformats.org/drawingml/2006/picture">
                <pic:pic>
                  <pic:nvPicPr>
                    <pic:cNvPr id="0" name="q6_solution_vector.png"/>
                    <pic:cNvPicPr/>
                  </pic:nvPicPr>
                  <pic:blipFill>
                    <a:blip r:embed="rId30"/>
                    <a:stretch>
                      <a:fillRect/>
                    </a:stretch>
                  </pic:blipFill>
                  <pic:spPr>
                    <a:xfrm>
                      <a:off x="0" y="0"/>
                      <a:ext cx="4834137" cy="1274066"/>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1008"/>
            <w:shd w:fill="18354A"/>
            <w:tcMar>
              <w:top w:w="80" w:type="dxa"/>
              <w:start w:w="90" w:type="dxa"/>
              <w:bottom w:w="80" w:type="dxa"/>
              <w:end w:w="90" w:type="dxa"/>
            </w:tcMar>
            <w:vAlign w:val="center"/>
          </w:tcPr>
          <w:p>
            <w:pPr>
              <w:spacing w:after="0"/>
              <w:jc w:val="center"/>
            </w:pPr>
            <w:r>
              <w:rPr>
                <w:rFonts w:ascii="Arial" w:hAnsi="Arial"/>
                <w:b/>
                <w:color w:val="FFFFFF"/>
                <w:sz w:val="16"/>
              </w:rPr>
              <w:t>Stock</w:t>
            </w:r>
          </w:p>
        </w:tc>
        <w:tc>
          <w:tcPr>
            <w:tcW w:type="dxa" w:w="1584"/>
            <w:shd w:fill="18354A"/>
            <w:tcMar>
              <w:top w:w="80" w:type="dxa"/>
              <w:start w:w="90" w:type="dxa"/>
              <w:bottom w:w="80" w:type="dxa"/>
              <w:end w:w="90" w:type="dxa"/>
            </w:tcMar>
            <w:vAlign w:val="center"/>
          </w:tcPr>
          <w:p>
            <w:pPr>
              <w:spacing w:after="0"/>
              <w:jc w:val="center"/>
            </w:pPr>
            <w:r>
              <w:rPr>
                <w:rFonts w:ascii="Arial" w:hAnsi="Arial"/>
                <w:b/>
                <w:color w:val="FFFFFF"/>
                <w:sz w:val="16"/>
              </w:rPr>
              <w:t>Shares sold</w:t>
            </w:r>
          </w:p>
        </w:tc>
        <w:tc>
          <w:tcPr>
            <w:tcW w:type="dxa" w:w="1699"/>
            <w:shd w:fill="18354A"/>
            <w:tcMar>
              <w:top w:w="80" w:type="dxa"/>
              <w:start w:w="90" w:type="dxa"/>
              <w:bottom w:w="80" w:type="dxa"/>
              <w:end w:w="90" w:type="dxa"/>
            </w:tcMar>
            <w:vAlign w:val="center"/>
          </w:tcPr>
          <w:p>
            <w:pPr>
              <w:spacing w:after="0"/>
              <w:jc w:val="center"/>
            </w:pPr>
            <w:r>
              <w:rPr>
                <w:rFonts w:ascii="Arial" w:hAnsi="Arial"/>
                <w:b/>
                <w:color w:val="FFFFFF"/>
                <w:sz w:val="16"/>
              </w:rPr>
              <w:t>Shares retained</w:t>
            </w:r>
          </w:p>
        </w:tc>
        <w:tc>
          <w:tcPr>
            <w:tcW w:type="dxa" w:w="1843"/>
            <w:shd w:fill="18354A"/>
            <w:tcMar>
              <w:top w:w="80" w:type="dxa"/>
              <w:start w:w="90" w:type="dxa"/>
              <w:bottom w:w="80" w:type="dxa"/>
              <w:end w:w="90" w:type="dxa"/>
            </w:tcMar>
            <w:vAlign w:val="center"/>
          </w:tcPr>
          <w:p>
            <w:pPr>
              <w:spacing w:after="0"/>
              <w:jc w:val="center"/>
            </w:pPr>
            <w:r>
              <w:rPr>
                <w:rFonts w:ascii="Arial" w:hAnsi="Arial"/>
                <w:b/>
                <w:color w:val="FFFFFF"/>
                <w:sz w:val="16"/>
              </w:rPr>
              <w:t>Net cash raised</w:t>
            </w:r>
          </w:p>
        </w:tc>
        <w:tc>
          <w:tcPr>
            <w:tcW w:type="dxa" w:w="2189"/>
            <w:shd w:fill="18354A"/>
            <w:tcMar>
              <w:top w:w="80" w:type="dxa"/>
              <w:start w:w="90" w:type="dxa"/>
              <w:bottom w:w="80" w:type="dxa"/>
              <w:end w:w="90" w:type="dxa"/>
            </w:tcMar>
            <w:vAlign w:val="center"/>
          </w:tcPr>
          <w:p>
            <w:pPr>
              <w:spacing w:after="0"/>
              <w:jc w:val="center"/>
            </w:pPr>
            <w:r>
              <w:rPr>
                <w:rFonts w:ascii="Arial" w:hAnsi="Arial"/>
                <w:b/>
                <w:color w:val="FFFFFF"/>
                <w:sz w:val="16"/>
              </w:rPr>
              <w:t>Expected value retained</w:t>
            </w:r>
          </w:p>
        </w:tc>
      </w:tr>
      <w:tr>
        <w:tc>
          <w:tcPr>
            <w:tcW w:type="dxa" w:w="1008"/>
            <w:tcMar>
              <w:top w:w="80" w:type="dxa"/>
              <w:start w:w="90" w:type="dxa"/>
              <w:bottom w:w="80" w:type="dxa"/>
              <w:end w:w="90" w:type="dxa"/>
            </w:tcMar>
          </w:tcPr>
          <w:p>
            <w:pPr>
              <w:spacing w:after="0"/>
              <w:jc w:val="left"/>
            </w:pPr>
            <w:r>
              <w:rPr>
                <w:rFonts w:ascii="Arial" w:hAnsi="Arial"/>
                <w:sz w:val="16"/>
              </w:rPr>
              <w:t>S1</w:t>
            </w:r>
          </w:p>
        </w:tc>
        <w:tc>
          <w:tcPr>
            <w:tcW w:type="dxa" w:w="1584"/>
            <w:tcMar>
              <w:top w:w="80" w:type="dxa"/>
              <w:start w:w="90" w:type="dxa"/>
              <w:bottom w:w="80" w:type="dxa"/>
              <w:end w:w="90" w:type="dxa"/>
            </w:tcMar>
          </w:tcPr>
          <w:p>
            <w:pPr>
              <w:spacing w:after="0"/>
              <w:jc w:val="center"/>
            </w:pPr>
            <w:r>
              <w:rPr>
                <w:rFonts w:ascii="Arial" w:hAnsi="Arial"/>
                <w:sz w:val="16"/>
              </w:rPr>
              <w:t>1,000.000</w:t>
            </w:r>
          </w:p>
        </w:tc>
        <w:tc>
          <w:tcPr>
            <w:tcW w:type="dxa" w:w="1699"/>
            <w:tcMar>
              <w:top w:w="80" w:type="dxa"/>
              <w:start w:w="90" w:type="dxa"/>
              <w:bottom w:w="80" w:type="dxa"/>
              <w:end w:w="90" w:type="dxa"/>
            </w:tcMar>
          </w:tcPr>
          <w:p>
            <w:pPr>
              <w:spacing w:after="0"/>
              <w:jc w:val="center"/>
            </w:pPr>
            <w:r>
              <w:rPr>
                <w:rFonts w:ascii="Arial" w:hAnsi="Arial"/>
                <w:sz w:val="16"/>
              </w:rPr>
              <w:t>0.000</w:t>
            </w:r>
          </w:p>
        </w:tc>
        <w:tc>
          <w:tcPr>
            <w:tcW w:type="dxa" w:w="1843"/>
            <w:tcMar>
              <w:top w:w="80" w:type="dxa"/>
              <w:start w:w="90" w:type="dxa"/>
              <w:bottom w:w="80" w:type="dxa"/>
              <w:end w:w="90" w:type="dxa"/>
            </w:tcMar>
          </w:tcPr>
          <w:p>
            <w:pPr>
              <w:spacing w:after="0"/>
              <w:jc w:val="center"/>
            </w:pPr>
            <w:r>
              <w:rPr>
                <w:rFonts w:ascii="Arial" w:hAnsi="Arial"/>
                <w:sz w:val="16"/>
              </w:rPr>
              <w:t>$1,809.00</w:t>
            </w:r>
          </w:p>
        </w:tc>
        <w:tc>
          <w:tcPr>
            <w:tcW w:type="dxa" w:w="2189"/>
            <w:tcMar>
              <w:top w:w="80" w:type="dxa"/>
              <w:start w:w="90" w:type="dxa"/>
              <w:bottom w:w="80" w:type="dxa"/>
              <w:end w:w="90" w:type="dxa"/>
            </w:tcMar>
          </w:tcPr>
          <w:p>
            <w:pPr>
              <w:spacing w:after="0"/>
              <w:jc w:val="center"/>
            </w:pPr>
            <w:r>
              <w:rPr>
                <w:rFonts w:ascii="Arial" w:hAnsi="Arial"/>
                <w:sz w:val="16"/>
              </w:rPr>
              <w:t>$0.00</w:t>
            </w:r>
          </w:p>
        </w:tc>
      </w:tr>
      <w:tr>
        <w:tc>
          <w:tcPr>
            <w:tcW w:type="dxa" w:w="1008"/>
            <w:tcMar>
              <w:top w:w="80" w:type="dxa"/>
              <w:start w:w="90" w:type="dxa"/>
              <w:bottom w:w="80" w:type="dxa"/>
              <w:end w:w="90" w:type="dxa"/>
            </w:tcMar>
            <w:shd w:fill="F3F5F6"/>
          </w:tcPr>
          <w:p>
            <w:pPr>
              <w:spacing w:after="0"/>
              <w:jc w:val="left"/>
            </w:pPr>
            <w:r>
              <w:rPr>
                <w:rFonts w:ascii="Arial" w:hAnsi="Arial"/>
                <w:sz w:val="16"/>
              </w:rPr>
              <w:t>S2</w:t>
            </w:r>
          </w:p>
        </w:tc>
        <w:tc>
          <w:tcPr>
            <w:tcW w:type="dxa" w:w="1584"/>
            <w:tcMar>
              <w:top w:w="80" w:type="dxa"/>
              <w:start w:w="90" w:type="dxa"/>
              <w:bottom w:w="80" w:type="dxa"/>
              <w:end w:w="90" w:type="dxa"/>
            </w:tcMar>
            <w:shd w:fill="F3F5F6"/>
          </w:tcPr>
          <w:p>
            <w:pPr>
              <w:spacing w:after="0"/>
              <w:jc w:val="center"/>
            </w:pPr>
            <w:r>
              <w:rPr>
                <w:rFonts w:ascii="Arial" w:hAnsi="Arial"/>
                <w:sz w:val="16"/>
              </w:rPr>
              <w:t>1,000.000</w:t>
            </w:r>
          </w:p>
        </w:tc>
        <w:tc>
          <w:tcPr>
            <w:tcW w:type="dxa" w:w="1699"/>
            <w:tcMar>
              <w:top w:w="80" w:type="dxa"/>
              <w:start w:w="90" w:type="dxa"/>
              <w:bottom w:w="80" w:type="dxa"/>
              <w:end w:w="90" w:type="dxa"/>
            </w:tcMar>
            <w:shd w:fill="F3F5F6"/>
          </w:tcPr>
          <w:p>
            <w:pPr>
              <w:spacing w:after="0"/>
              <w:jc w:val="center"/>
            </w:pPr>
            <w:r>
              <w:rPr>
                <w:rFonts w:ascii="Arial" w:hAnsi="Arial"/>
                <w:sz w:val="16"/>
              </w:rPr>
              <w:t>0.000</w:t>
            </w:r>
          </w:p>
        </w:tc>
        <w:tc>
          <w:tcPr>
            <w:tcW w:type="dxa" w:w="1843"/>
            <w:tcMar>
              <w:top w:w="80" w:type="dxa"/>
              <w:start w:w="90" w:type="dxa"/>
              <w:bottom w:w="80" w:type="dxa"/>
              <w:end w:w="90" w:type="dxa"/>
            </w:tcMar>
            <w:shd w:fill="F3F5F6"/>
          </w:tcPr>
          <w:p>
            <w:pPr>
              <w:spacing w:after="0"/>
              <w:jc w:val="center"/>
            </w:pPr>
            <w:r>
              <w:rPr>
                <w:rFonts w:ascii="Arial" w:hAnsi="Arial"/>
                <w:sz w:val="16"/>
              </w:rPr>
              <w:t>$2,838.00</w:t>
            </w:r>
          </w:p>
        </w:tc>
        <w:tc>
          <w:tcPr>
            <w:tcW w:type="dxa" w:w="2189"/>
            <w:tcMar>
              <w:top w:w="80" w:type="dxa"/>
              <w:start w:w="90" w:type="dxa"/>
              <w:bottom w:w="80" w:type="dxa"/>
              <w:end w:w="90" w:type="dxa"/>
            </w:tcMar>
            <w:shd w:fill="F3F5F6"/>
          </w:tcPr>
          <w:p>
            <w:pPr>
              <w:spacing w:after="0"/>
              <w:jc w:val="center"/>
            </w:pPr>
            <w:r>
              <w:rPr>
                <w:rFonts w:ascii="Arial" w:hAnsi="Arial"/>
                <w:sz w:val="16"/>
              </w:rPr>
              <w:t>$0.00</w:t>
            </w:r>
          </w:p>
        </w:tc>
      </w:tr>
      <w:tr>
        <w:tc>
          <w:tcPr>
            <w:tcW w:type="dxa" w:w="1008"/>
            <w:tcMar>
              <w:top w:w="80" w:type="dxa"/>
              <w:start w:w="90" w:type="dxa"/>
              <w:bottom w:w="80" w:type="dxa"/>
              <w:end w:w="90" w:type="dxa"/>
            </w:tcMar>
          </w:tcPr>
          <w:p>
            <w:pPr>
              <w:spacing w:after="0"/>
              <w:jc w:val="left"/>
            </w:pPr>
            <w:r>
              <w:rPr>
                <w:rFonts w:ascii="Arial" w:hAnsi="Arial"/>
                <w:sz w:val="16"/>
              </w:rPr>
              <w:t>S3</w:t>
            </w:r>
          </w:p>
        </w:tc>
        <w:tc>
          <w:tcPr>
            <w:tcW w:type="dxa" w:w="1584"/>
            <w:tcMar>
              <w:top w:w="80" w:type="dxa"/>
              <w:start w:w="90" w:type="dxa"/>
              <w:bottom w:w="80" w:type="dxa"/>
              <w:end w:w="90" w:type="dxa"/>
            </w:tcMar>
          </w:tcPr>
          <w:p>
            <w:pPr>
              <w:spacing w:after="0"/>
              <w:jc w:val="center"/>
            </w:pPr>
            <w:r>
              <w:rPr>
                <w:rFonts w:ascii="Arial" w:hAnsi="Arial"/>
                <w:sz w:val="16"/>
              </w:rPr>
              <w:t>1,000.000</w:t>
            </w:r>
          </w:p>
        </w:tc>
        <w:tc>
          <w:tcPr>
            <w:tcW w:type="dxa" w:w="1699"/>
            <w:tcMar>
              <w:top w:w="80" w:type="dxa"/>
              <w:start w:w="90" w:type="dxa"/>
              <w:bottom w:w="80" w:type="dxa"/>
              <w:end w:w="90" w:type="dxa"/>
            </w:tcMar>
          </w:tcPr>
          <w:p>
            <w:pPr>
              <w:spacing w:after="0"/>
              <w:jc w:val="center"/>
            </w:pPr>
            <w:r>
              <w:rPr>
                <w:rFonts w:ascii="Arial" w:hAnsi="Arial"/>
                <w:sz w:val="16"/>
              </w:rPr>
              <w:t>0.000</w:t>
            </w:r>
          </w:p>
        </w:tc>
        <w:tc>
          <w:tcPr>
            <w:tcW w:type="dxa" w:w="1843"/>
            <w:tcMar>
              <w:top w:w="80" w:type="dxa"/>
              <w:start w:w="90" w:type="dxa"/>
              <w:bottom w:w="80" w:type="dxa"/>
              <w:end w:w="90" w:type="dxa"/>
            </w:tcMar>
          </w:tcPr>
          <w:p>
            <w:pPr>
              <w:spacing w:after="0"/>
              <w:jc w:val="center"/>
            </w:pPr>
            <w:r>
              <w:rPr>
                <w:rFonts w:ascii="Arial" w:hAnsi="Arial"/>
                <w:sz w:val="16"/>
              </w:rPr>
              <w:t>$3,789.00</w:t>
            </w:r>
          </w:p>
        </w:tc>
        <w:tc>
          <w:tcPr>
            <w:tcW w:type="dxa" w:w="2189"/>
            <w:tcMar>
              <w:top w:w="80" w:type="dxa"/>
              <w:start w:w="90" w:type="dxa"/>
              <w:bottom w:w="80" w:type="dxa"/>
              <w:end w:w="90" w:type="dxa"/>
            </w:tcMar>
          </w:tcPr>
          <w:p>
            <w:pPr>
              <w:spacing w:after="0"/>
              <w:jc w:val="center"/>
            </w:pPr>
            <w:r>
              <w:rPr>
                <w:rFonts w:ascii="Arial" w:hAnsi="Arial"/>
                <w:sz w:val="16"/>
              </w:rPr>
              <w:t>$0.00</w:t>
            </w:r>
          </w:p>
        </w:tc>
      </w:tr>
      <w:tr>
        <w:tc>
          <w:tcPr>
            <w:tcW w:type="dxa" w:w="1008"/>
            <w:tcMar>
              <w:top w:w="80" w:type="dxa"/>
              <w:start w:w="90" w:type="dxa"/>
              <w:bottom w:w="80" w:type="dxa"/>
              <w:end w:w="90" w:type="dxa"/>
            </w:tcMar>
            <w:shd w:fill="F3F5F6"/>
          </w:tcPr>
          <w:p>
            <w:pPr>
              <w:spacing w:after="0"/>
              <w:jc w:val="left"/>
            </w:pPr>
            <w:r>
              <w:rPr>
                <w:rFonts w:ascii="Arial" w:hAnsi="Arial"/>
                <w:sz w:val="16"/>
              </w:rPr>
              <w:t>S4</w:t>
            </w:r>
          </w:p>
        </w:tc>
        <w:tc>
          <w:tcPr>
            <w:tcW w:type="dxa" w:w="1584"/>
            <w:tcMar>
              <w:top w:w="80" w:type="dxa"/>
              <w:start w:w="90" w:type="dxa"/>
              <w:bottom w:w="80" w:type="dxa"/>
              <w:end w:w="90" w:type="dxa"/>
            </w:tcMar>
            <w:shd w:fill="F3F5F6"/>
          </w:tcPr>
          <w:p>
            <w:pPr>
              <w:spacing w:after="0"/>
              <w:jc w:val="center"/>
            </w:pPr>
            <w:r>
              <w:rPr>
                <w:rFonts w:ascii="Arial" w:hAnsi="Arial"/>
                <w:sz w:val="16"/>
              </w:rPr>
              <w:t>118.762</w:t>
            </w:r>
          </w:p>
        </w:tc>
        <w:tc>
          <w:tcPr>
            <w:tcW w:type="dxa" w:w="1699"/>
            <w:tcMar>
              <w:top w:w="80" w:type="dxa"/>
              <w:start w:w="90" w:type="dxa"/>
              <w:bottom w:w="80" w:type="dxa"/>
              <w:end w:w="90" w:type="dxa"/>
            </w:tcMar>
            <w:shd w:fill="F3F5F6"/>
          </w:tcPr>
          <w:p>
            <w:pPr>
              <w:spacing w:after="0"/>
              <w:jc w:val="center"/>
            </w:pPr>
            <w:r>
              <w:rPr>
                <w:rFonts w:ascii="Arial" w:hAnsi="Arial"/>
                <w:sz w:val="16"/>
              </w:rPr>
              <w:t>881.238</w:t>
            </w:r>
          </w:p>
        </w:tc>
        <w:tc>
          <w:tcPr>
            <w:tcW w:type="dxa" w:w="1843"/>
            <w:tcMar>
              <w:top w:w="80" w:type="dxa"/>
              <w:start w:w="90" w:type="dxa"/>
              <w:bottom w:w="80" w:type="dxa"/>
              <w:end w:w="90" w:type="dxa"/>
            </w:tcMar>
            <w:shd w:fill="F3F5F6"/>
          </w:tcPr>
          <w:p>
            <w:pPr>
              <w:spacing w:after="0"/>
              <w:jc w:val="center"/>
            </w:pPr>
            <w:r>
              <w:rPr>
                <w:rFonts w:ascii="Arial" w:hAnsi="Arial"/>
                <w:sz w:val="16"/>
              </w:rPr>
              <w:t>$564.00</w:t>
            </w:r>
          </w:p>
        </w:tc>
        <w:tc>
          <w:tcPr>
            <w:tcW w:type="dxa" w:w="2189"/>
            <w:tcMar>
              <w:top w:w="80" w:type="dxa"/>
              <w:start w:w="90" w:type="dxa"/>
              <w:bottom w:w="80" w:type="dxa"/>
              <w:end w:w="90" w:type="dxa"/>
            </w:tcMar>
            <w:shd w:fill="F3F5F6"/>
          </w:tcPr>
          <w:p>
            <w:pPr>
              <w:spacing w:after="0"/>
              <w:jc w:val="center"/>
            </w:pPr>
            <w:r>
              <w:rPr>
                <w:rFonts w:ascii="Arial" w:hAnsi="Arial"/>
                <w:sz w:val="16"/>
              </w:rPr>
              <w:t>$6,256.79</w:t>
            </w:r>
          </w:p>
        </w:tc>
      </w:tr>
      <w:tr>
        <w:tc>
          <w:tcPr>
            <w:tcW w:type="dxa" w:w="1008"/>
            <w:tcMar>
              <w:top w:w="80" w:type="dxa"/>
              <w:start w:w="90" w:type="dxa"/>
              <w:bottom w:w="80" w:type="dxa"/>
              <w:end w:w="90" w:type="dxa"/>
            </w:tcMar>
          </w:tcPr>
          <w:p>
            <w:pPr>
              <w:spacing w:after="0"/>
              <w:jc w:val="left"/>
            </w:pPr>
            <w:r>
              <w:rPr>
                <w:rFonts w:ascii="Arial" w:hAnsi="Arial"/>
                <w:sz w:val="16"/>
              </w:rPr>
              <w:t>S5</w:t>
            </w:r>
          </w:p>
        </w:tc>
        <w:tc>
          <w:tcPr>
            <w:tcW w:type="dxa" w:w="1584"/>
            <w:tcMar>
              <w:top w:w="80" w:type="dxa"/>
              <w:start w:w="90" w:type="dxa"/>
              <w:bottom w:w="80" w:type="dxa"/>
              <w:end w:w="90" w:type="dxa"/>
            </w:tcMar>
          </w:tcPr>
          <w:p>
            <w:pPr>
              <w:spacing w:after="0"/>
              <w:jc w:val="center"/>
            </w:pPr>
            <w:r>
              <w:rPr>
                <w:rFonts w:ascii="Arial" w:hAnsi="Arial"/>
                <w:sz w:val="16"/>
              </w:rPr>
              <w:t>0.000</w:t>
            </w:r>
          </w:p>
        </w:tc>
        <w:tc>
          <w:tcPr>
            <w:tcW w:type="dxa" w:w="1699"/>
            <w:tcMar>
              <w:top w:w="80" w:type="dxa"/>
              <w:start w:w="90" w:type="dxa"/>
              <w:bottom w:w="80" w:type="dxa"/>
              <w:end w:w="90" w:type="dxa"/>
            </w:tcMar>
          </w:tcPr>
          <w:p>
            <w:pPr>
              <w:spacing w:after="0"/>
              <w:jc w:val="center"/>
            </w:pPr>
            <w:r>
              <w:rPr>
                <w:rFonts w:ascii="Arial" w:hAnsi="Arial"/>
                <w:sz w:val="16"/>
              </w:rPr>
              <w:t>1,000.000</w:t>
            </w:r>
          </w:p>
        </w:tc>
        <w:tc>
          <w:tcPr>
            <w:tcW w:type="dxa" w:w="1843"/>
            <w:tcMar>
              <w:top w:w="80" w:type="dxa"/>
              <w:start w:w="90" w:type="dxa"/>
              <w:bottom w:w="80" w:type="dxa"/>
              <w:end w:w="90" w:type="dxa"/>
            </w:tcMar>
          </w:tcPr>
          <w:p>
            <w:pPr>
              <w:spacing w:after="0"/>
              <w:jc w:val="center"/>
            </w:pPr>
            <w:r>
              <w:rPr>
                <w:rFonts w:ascii="Arial" w:hAnsi="Arial"/>
                <w:sz w:val="16"/>
              </w:rPr>
              <w:t>$0.00</w:t>
            </w:r>
          </w:p>
        </w:tc>
        <w:tc>
          <w:tcPr>
            <w:tcW w:type="dxa" w:w="2189"/>
            <w:tcMar>
              <w:top w:w="80" w:type="dxa"/>
              <w:start w:w="90" w:type="dxa"/>
              <w:bottom w:w="80" w:type="dxa"/>
              <w:end w:w="90" w:type="dxa"/>
            </w:tcMar>
          </w:tcPr>
          <w:p>
            <w:pPr>
              <w:spacing w:after="0"/>
              <w:jc w:val="center"/>
            </w:pPr>
            <w:r>
              <w:rPr>
                <w:rFonts w:ascii="Arial" w:hAnsi="Arial"/>
                <w:sz w:val="16"/>
              </w:rPr>
              <w:t>$9,100.00</w:t>
            </w:r>
          </w:p>
        </w:tc>
      </w:tr>
      <w:tr>
        <w:tc>
          <w:tcPr>
            <w:tcW w:type="dxa" w:w="1008"/>
            <w:tcMar>
              <w:top w:w="80" w:type="dxa"/>
              <w:start w:w="90" w:type="dxa"/>
              <w:bottom w:w="80" w:type="dxa"/>
              <w:end w:w="90" w:type="dxa"/>
            </w:tcMar>
            <w:shd w:fill="F3F5F6"/>
          </w:tcPr>
          <w:p>
            <w:pPr>
              <w:spacing w:after="0"/>
              <w:jc w:val="left"/>
            </w:pPr>
            <w:r>
              <w:rPr>
                <w:rFonts w:ascii="Arial" w:hAnsi="Arial"/>
                <w:sz w:val="16"/>
              </w:rPr>
              <w:t>Total</w:t>
            </w:r>
          </w:p>
        </w:tc>
        <w:tc>
          <w:tcPr>
            <w:tcW w:type="dxa" w:w="1584"/>
            <w:tcMar>
              <w:top w:w="80" w:type="dxa"/>
              <w:start w:w="90" w:type="dxa"/>
              <w:bottom w:w="80" w:type="dxa"/>
              <w:end w:w="90" w:type="dxa"/>
            </w:tcMar>
            <w:shd w:fill="F3F5F6"/>
          </w:tcPr>
          <w:p>
            <w:pPr>
              <w:spacing w:after="0"/>
              <w:jc w:val="center"/>
            </w:pPr>
            <w:r>
              <w:rPr>
                <w:rFonts w:ascii="Arial" w:hAnsi="Arial"/>
                <w:sz w:val="16"/>
              </w:rPr>
              <w:t>3,118.762</w:t>
            </w:r>
          </w:p>
        </w:tc>
        <w:tc>
          <w:tcPr>
            <w:tcW w:type="dxa" w:w="1699"/>
            <w:tcMar>
              <w:top w:w="80" w:type="dxa"/>
              <w:start w:w="90" w:type="dxa"/>
              <w:bottom w:w="80" w:type="dxa"/>
              <w:end w:w="90" w:type="dxa"/>
            </w:tcMar>
            <w:shd w:fill="F3F5F6"/>
          </w:tcPr>
          <w:p>
            <w:pPr>
              <w:spacing w:after="0"/>
              <w:jc w:val="center"/>
            </w:pPr>
            <w:r>
              <w:rPr>
                <w:rFonts w:ascii="Arial" w:hAnsi="Arial"/>
                <w:sz w:val="16"/>
              </w:rPr>
              <w:t>1,881.238</w:t>
            </w:r>
          </w:p>
        </w:tc>
        <w:tc>
          <w:tcPr>
            <w:tcW w:type="dxa" w:w="1843"/>
            <w:tcMar>
              <w:top w:w="80" w:type="dxa"/>
              <w:start w:w="90" w:type="dxa"/>
              <w:bottom w:w="80" w:type="dxa"/>
              <w:end w:w="90" w:type="dxa"/>
            </w:tcMar>
            <w:shd w:fill="F3F5F6"/>
          </w:tcPr>
          <w:p>
            <w:pPr>
              <w:spacing w:after="0"/>
              <w:jc w:val="center"/>
            </w:pPr>
            <w:r>
              <w:rPr>
                <w:rFonts w:ascii="Arial" w:hAnsi="Arial"/>
                <w:sz w:val="16"/>
              </w:rPr>
              <w:t>$9,000.00</w:t>
            </w:r>
          </w:p>
        </w:tc>
        <w:tc>
          <w:tcPr>
            <w:tcW w:type="dxa" w:w="2189"/>
            <w:tcMar>
              <w:top w:w="80" w:type="dxa"/>
              <w:start w:w="90" w:type="dxa"/>
              <w:bottom w:w="80" w:type="dxa"/>
              <w:end w:w="90" w:type="dxa"/>
            </w:tcMar>
            <w:shd w:fill="F3F5F6"/>
          </w:tcPr>
          <w:p>
            <w:pPr>
              <w:spacing w:after="0"/>
              <w:jc w:val="center"/>
            </w:pPr>
            <w:r>
              <w:rPr>
                <w:rFonts w:ascii="Arial" w:hAnsi="Arial"/>
                <w:sz w:val="16"/>
              </w:rPr>
              <w:t>$15,356.79</w:t>
            </w:r>
          </w:p>
        </w:tc>
      </w:tr>
    </w:tbl>
    <w:p>
      <w:pPr>
        <w:spacing w:after="0"/>
      </w:pPr>
    </w:p>
    <w:p>
      <w:pPr>
        <w:spacing w:before="60" w:after="40"/>
        <w:jc w:val="center"/>
      </w:pPr>
      <w:r>
        <w:drawing>
          <wp:inline xmlns:a="http://schemas.openxmlformats.org/drawingml/2006/main" xmlns:pic="http://schemas.openxmlformats.org/drawingml/2006/picture">
            <wp:extent cx="5166360" cy="2784991"/>
            <wp:docPr id="23" name="Picture 23"/>
            <wp:cNvGraphicFramePr>
              <a:graphicFrameLocks noChangeAspect="1"/>
            </wp:cNvGraphicFramePr>
            <a:graphic>
              <a:graphicData uri="http://schemas.openxmlformats.org/drawingml/2006/picture">
                <pic:pic>
                  <pic:nvPicPr>
                    <pic:cNvPr id="0" name="q6_portfolio.png"/>
                    <pic:cNvPicPr/>
                  </pic:nvPicPr>
                  <pic:blipFill>
                    <a:blip r:embed="rId31"/>
                    <a:stretch>
                      <a:fillRect/>
                    </a:stretch>
                  </pic:blipFill>
                  <pic:spPr>
                    <a:xfrm>
                      <a:off x="0" y="0"/>
                      <a:ext cx="5166360" cy="2784991"/>
                    </a:xfrm>
                    <a:prstGeom prst="rect"/>
                  </pic:spPr>
                </pic:pic>
              </a:graphicData>
            </a:graphic>
          </wp:inline>
        </w:drawing>
      </w:r>
    </w:p>
    <w:p>
      <w:pPr>
        <w:pStyle w:val="FormulaCaption"/>
        <w:keepNext w:val="0"/>
      </w:pPr>
      <w:r>
        <w:t>Figure 3. Optimal sale and retention of shares</w:t>
      </w:r>
    </w:p>
    <w:p>
      <w:r>
        <w:rPr>
          <w:b/>
        </w:rPr>
        <w:t xml:space="preserve">Optimal decision: </w:t>
      </w:r>
      <w:r>
        <w:t>Sell all shares of S1, S2, and S3, sell approximately 118.762 shares of S4, and retain all shares of S5. This raises exactly $9,000.00 and leaves an expected one-year portfolio value of $15,356.79.</w:t>
      </w:r>
    </w:p>
    <w:p>
      <w:pPr>
        <w:pStyle w:val="Heading2"/>
      </w:pPr>
      <w:r>
        <w:t>Computational code for Question 6(b)</w:t>
      </w:r>
    </w:p>
    <w:p>
      <w:r>
        <w:rPr>
          <w:i w:val="0"/>
        </w:rPr>
        <w:t>The following code is the numerical optimization core used to produce the reported solution.</w:t>
      </w:r>
    </w:p>
    <w:tbl>
      <w:tblPr>
        <w:tblW w:type="auto" w:w="0"/>
        <w:jc w:val="center"/>
        <w:tblLook w:firstColumn="1" w:firstRow="1" w:lastColumn="0" w:lastRow="0" w:noHBand="0" w:noVBand="1" w:val="04A0"/>
      </w:tblPr>
      <w:tblGrid>
        <w:gridCol w:w="9994"/>
      </w:tblGrid>
      <w:tr>
        <w:tc>
          <w:tcPr>
            <w:tcW w:type="dxa" w:w="9994"/>
            <w:shd w:fill="F3F5F6"/>
            <w:tcMar>
              <w:top w:w="100" w:type="dxa"/>
              <w:start w:w="130" w:type="dxa"/>
              <w:bottom w:w="100" w:type="dxa"/>
              <w:end w:w="130" w:type="dxa"/>
            </w:tcMar>
          </w:tcPr>
          <w:p>
            <w:pPr>
              <w:pStyle w:val="Code"/>
            </w:pPr>
            <w:r/>
            <w:r>
              <w:t>import csv</w:t>
            </w:r>
          </w:p>
          <w:p>
            <w:pPr>
              <w:pStyle w:val="Code"/>
            </w:pPr>
            <w:r>
              <w:t>import numpy as np</w:t>
            </w:r>
          </w:p>
          <w:p>
            <w:pPr>
              <w:pStyle w:val="Code"/>
            </w:pPr>
            <w:r>
              <w:t>from scipy.optimize import linprog</w:t>
            </w:r>
          </w:p>
          <w:p>
            <w:pPr>
              <w:pStyle w:val="Code"/>
            </w:pPr>
            <w:r>
              <w:t xml:space="preserve"> </w:t>
            </w:r>
          </w:p>
          <w:p>
            <w:pPr>
              <w:pStyle w:val="Code"/>
            </w:pPr>
            <w:r>
              <w:t>with open("sources/investment.csv", newline="", encoding="utf-8-sig") as f:</w:t>
            </w:r>
          </w:p>
          <w:p>
            <w:pPr>
              <w:pStyle w:val="Code"/>
            </w:pPr>
            <w:r>
              <w:t xml:space="preserve">    rows = list(csv.DictReader(f))</w:t>
            </w:r>
          </w:p>
          <w:p>
            <w:pPr>
              <w:pStyle w:val="Code"/>
            </w:pPr>
            <w:r>
              <w:t xml:space="preserve"> </w:t>
            </w:r>
          </w:p>
          <w:p>
            <w:pPr>
              <w:pStyle w:val="Code"/>
            </w:pPr>
            <w:r>
              <w:t>p = np.array([float(row["Buying Price"]) for row in rows])</w:t>
            </w:r>
          </w:p>
          <w:p>
            <w:pPr>
              <w:pStyle w:val="Code"/>
            </w:pPr>
            <w:r>
              <w:t>s = np.array([float(row["Current Share"]) for row in rows])</w:t>
            </w:r>
          </w:p>
          <w:p>
            <w:pPr>
              <w:pStyle w:val="Code"/>
            </w:pPr>
            <w:r>
              <w:t>q = np.array([float(row["Current Price"]) for row in rows])</w:t>
            </w:r>
          </w:p>
          <w:p>
            <w:pPr>
              <w:pStyle w:val="Code"/>
            </w:pPr>
            <w:r>
              <w:t>r = np.array([float(row["Expected Future Price"]) for row in rows])</w:t>
            </w:r>
          </w:p>
          <w:p>
            <w:pPr>
              <w:pStyle w:val="Code"/>
            </w:pPr>
            <w:r>
              <w:t xml:space="preserve"> </w:t>
            </w:r>
          </w:p>
          <w:p>
            <w:pPr>
              <w:pStyle w:val="Code"/>
            </w:pPr>
            <w:r>
              <w:t>net = 0.99 * q - 0.30 * np.maximum(q - p, 0.0)</w:t>
            </w:r>
          </w:p>
          <w:p>
            <w:pPr>
              <w:pStyle w:val="Code"/>
            </w:pPr>
            <w:r>
              <w:t>result = linprog(</w:t>
            </w:r>
          </w:p>
          <w:p>
            <w:pPr>
              <w:pStyle w:val="Code"/>
            </w:pPr>
            <w:r>
              <w:t xml:space="preserve">    c=r,</w:t>
            </w:r>
          </w:p>
          <w:p>
            <w:pPr>
              <w:pStyle w:val="Code"/>
            </w:pPr>
            <w:r>
              <w:t xml:space="preserve">    A_ub=-net.reshape(1, -1),</w:t>
            </w:r>
          </w:p>
          <w:p>
            <w:pPr>
              <w:pStyle w:val="Code"/>
            </w:pPr>
            <w:r>
              <w:t xml:space="preserve">    b_ub=np.array([-9000.0]),</w:t>
            </w:r>
          </w:p>
          <w:p>
            <w:pPr>
              <w:pStyle w:val="Code"/>
            </w:pPr>
            <w:r>
              <w:t xml:space="preserve">    bounds=[(0.0, limit) for limit in s],</w:t>
            </w:r>
          </w:p>
          <w:p>
            <w:pPr>
              <w:pStyle w:val="Code"/>
            </w:pPr>
            <w:r>
              <w:t xml:space="preserve">    method="highs",</w:t>
            </w:r>
          </w:p>
          <w:p>
            <w:pPr>
              <w:pStyle w:val="Code"/>
            </w:pPr>
            <w:r>
              <w:t>)</w:t>
            </w:r>
          </w:p>
          <w:p>
            <w:pPr>
              <w:pStyle w:val="Code"/>
            </w:pPr>
            <w:r>
              <w:t>assert result.success</w:t>
            </w:r>
          </w:p>
          <w:p>
            <w:pPr>
              <w:pStyle w:val="Code"/>
            </w:pPr>
            <w:r>
              <w:t>sold = result.x</w:t>
            </w:r>
          </w:p>
          <w:p>
            <w:pPr>
              <w:pStyle w:val="Code"/>
            </w:pPr>
            <w:r>
              <w:t>cash_raised = net @ sold</w:t>
            </w:r>
          </w:p>
          <w:p>
            <w:pPr>
              <w:pStyle w:val="Code"/>
            </w:pPr>
            <w:r>
              <w:t>future_value = r @ (s - sold)</w:t>
            </w:r>
          </w:p>
          <w:p>
            <w:pPr>
              <w:pStyle w:val="Code"/>
            </w:pPr>
            <w:r>
              <w:t>print(sold, cash_raised, future_value)</w:t>
            </w:r>
          </w:p>
        </w:tc>
      </w:tr>
    </w:tbl>
    <w:sectPr w:rsidR="00FC693F" w:rsidRPr="0006063C" w:rsidSect="00034616">
      <w:pgSz w:w="12240" w:h="15840"/>
      <w:pgMar w:top="1037" w:right="1123" w:bottom="1008" w:left="1123"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jc w:val="both"/>
    </w:pPr>
    <w:rPr>
      <w:rFonts w:ascii="Times New Roman" w:hAnsi="Times New Roman"/>
      <w:color w:val="1118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18354A"/>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2F6483"/>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1835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835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66717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Caption">
    <w:name w:val="Formula Caption"/>
    <w:pPr>
      <w:spacing w:after="100"/>
      <w:jc w:val="center"/>
    </w:pPr>
    <w:rPr>
      <w:rFonts w:ascii="Arial" w:hAnsi="Arial"/>
      <w:i/>
      <w:color w:val="66717A"/>
      <w:sz w:val="16"/>
    </w:rPr>
  </w:style>
  <w:style w:type="paragraph" w:customStyle="1" w:styleId="Code">
    <w:name w:val="Code"/>
    <w:pPr>
      <w:spacing w:before="0" w:after="0" w:line="240" w:lineRule="auto"/>
    </w:pPr>
    <w:rPr>
      <w:rFonts w:ascii="Courier New" w:hAnsi="Courier New"/>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DBA5103 Assignment 1 Solutions</dc:title>
  <dc:subject>Operations Research and Analytics</dc:subject>
  <dc:creator>Reagan</dc:creator>
  <cp:keywords>linear programming, matrix completion, polyhedra, scheduling, taxation</cp:keywords>
  <dc:description>Generated from the supplied assignment and investment data.</dc:description>
  <cp:lastModifiedBy/>
  <cp:revision>1</cp:revision>
  <dcterms:created xsi:type="dcterms:W3CDTF">2013-12-23T23:15:00Z</dcterms:created>
  <dcterms:modified xsi:type="dcterms:W3CDTF">2013-12-23T23:15:00Z</dcterms:modified>
  <cp:category/>
</cp:coreProperties>
</file>