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jc w:val="center"/>
      </w:pPr>
      <w:r>
        <w:drawing>
          <wp:inline xmlns:a="http://schemas.openxmlformats.org/drawingml/2006/main" xmlns:pic="http://schemas.openxmlformats.org/drawingml/2006/picture">
            <wp:extent cx="2697480" cy="1229231"/>
            <wp:docPr id="1" name="Picture 1"/>
            <wp:cNvGraphicFramePr>
              <a:graphicFrameLocks noChangeAspect="1"/>
            </wp:cNvGraphicFramePr>
            <a:graphic>
              <a:graphicData uri="http://schemas.openxmlformats.org/drawingml/2006/picture">
                <pic:pic>
                  <pic:nvPicPr>
                    <pic:cNvPr id="0" name="nus_logo.png"/>
                    <pic:cNvPicPr/>
                  </pic:nvPicPr>
                  <pic:blipFill>
                    <a:blip r:embed="rId9"/>
                    <a:stretch>
                      <a:fillRect/>
                    </a:stretch>
                  </pic:blipFill>
                  <pic:spPr>
                    <a:xfrm>
                      <a:off x="0" y="0"/>
                      <a:ext cx="2697480" cy="1229231"/>
                    </a:xfrm>
                    <a:prstGeom prst="rect"/>
                  </pic:spPr>
                </pic:pic>
              </a:graphicData>
            </a:graphic>
          </wp:inline>
        </w:drawing>
      </w:r>
    </w:p>
    <w:p>
      <w:pPr>
        <w:spacing w:before="0"/>
        <w:jc w:val="center"/>
      </w:pPr>
      <w:r>
        <w:rPr>
          <w:rFonts w:ascii="Arial" w:hAnsi="Arial"/>
          <w:b/>
          <w:color w:val="2F6483"/>
          <w:sz w:val="28"/>
        </w:rPr>
        <w:t>DBA5103</w:t>
      </w:r>
    </w:p>
    <w:p>
      <w:pPr>
        <w:pStyle w:val="Subtitle"/>
        <w:spacing w:after="640"/>
        <w:jc w:val="center"/>
      </w:pPr>
      <w:r>
        <w:t>Operations Research and Analytics</w:t>
      </w:r>
    </w:p>
    <w:p>
      <w:pPr>
        <w:pStyle w:val="Title"/>
        <w:spacing w:after="120"/>
      </w:pPr>
      <w:r>
        <w:t>Assignment 1</w:t>
      </w:r>
    </w:p>
    <w:p>
      <w:pPr>
        <w:spacing w:before="760"/>
        <w:jc w:val="center"/>
      </w:pPr>
      <w:r>
        <w:rPr>
          <w:rFonts w:ascii="Arial" w:hAnsi="Arial"/>
          <w:color w:val="66717A"/>
          <w:sz w:val="21"/>
        </w:rPr>
        <w:t>Semester I, Academic Year 2026/2027</w:t>
      </w:r>
    </w:p>
    <w:p>
      <w:pPr>
        <w:spacing w:before="840" w:after="60"/>
        <w:jc w:val="center"/>
      </w:pPr>
      <w:r>
        <w:rPr>
          <w:rFonts w:ascii="Arial" w:hAnsi="Arial"/>
          <w:b/>
          <w:color w:val="18354A"/>
          <w:sz w:val="24"/>
        </w:rPr>
        <w:t>Reagan</w:t>
      </w:r>
    </w:p>
    <w:p>
      <w:pPr>
        <w:spacing w:after="40"/>
        <w:jc w:val="center"/>
      </w:pPr>
      <w:r>
        <w:rPr>
          <w:rFonts w:ascii="Arial" w:hAnsi="Arial"/>
          <w:sz w:val="21"/>
        </w:rPr>
        <w:t>MSBA | NUS</w:t>
      </w:r>
    </w:p>
    <w:p>
      <w:pPr>
        <w:jc w:val="center"/>
      </w:pPr>
      <w:r>
        <w:rPr>
          <w:rFonts w:ascii="Arial" w:hAnsi="Arial"/>
          <w:sz w:val="21"/>
        </w:rPr>
        <w:t>Student No: A0319086X</w:t>
      </w:r>
      <w:r>
        <w:br w:type="page"/>
      </w:r>
    </w:p>
    <w:p>
      <w:pPr>
        <w:spacing w:after="80"/>
        <w:jc w:val="left"/>
      </w:pPr>
      <w:r>
        <w:rPr>
          <w:rFonts w:ascii="Arial" w:hAnsi="Arial"/>
          <w:b/>
          <w:color w:val="18354A"/>
          <w:sz w:val="21"/>
        </w:rPr>
        <w:t>Solution conventions</w:t>
      </w:r>
    </w:p>
    <w:p>
      <w:r>
        <w:rPr>
          <w:i w:val="0"/>
        </w:rPr>
        <w:t>All decision variables are continuous unless stated otherwise. Vectors are column vectors, the superscript T denotes transpose, and inequalities between vectors are componentwise. Monetary figures are in dollars.</w:t>
      </w:r>
    </w:p>
    <w:p>
      <w:r>
        <w:rPr>
          <w:i w:val="0"/>
        </w:rPr>
        <w:t>Each model is first written in the general form of Lecture 2, in whichever direction of optimization reads most naturally, and is then reduced to the standard form of minimization subject to equality constraints in nonnegative variables wherever that reduction adds something. Where a question concerns the shape of a feasible set or the structure of an answer, the geometric language of Lecture 3 is used: polyhedra, binding constraints and slack, extreme points and basic feasible solutions.</w:t>
      </w:r>
    </w:p>
    <w:p>
      <w:pPr>
        <w:pStyle w:val="Heading1"/>
      </w:pPr>
      <w:r>
        <w:t>1. Production Planning</w:t>
      </w:r>
    </w:p>
    <w:p>
      <w:pPr>
        <w:pStyle w:val="Heading2"/>
      </w:pPr>
      <w:r>
        <w:t>1(a)(i) Linear programming model</w:t>
      </w:r>
    </w:p>
    <w:p>
      <w:r>
        <w:rPr>
          <w:i w:val="0"/>
        </w:rPr>
        <w:t>Using the production and procurement variables defined in the question, a correct linear program is:</w:t>
      </w:r>
    </w:p>
    <w:p>
      <w:pPr>
        <w:spacing w:before="40" w:after="100"/>
        <w:jc w:val="center"/>
      </w:pPr>
      <w:r>
        <w:drawing>
          <wp:inline xmlns:a="http://schemas.openxmlformats.org/drawingml/2006/main" xmlns:pic="http://schemas.openxmlformats.org/drawingml/2006/picture">
            <wp:extent cx="3313182" cy="1456947"/>
            <wp:docPr id="2" name="Picture 2"/>
            <wp:cNvGraphicFramePr>
              <a:graphicFrameLocks noChangeAspect="1"/>
            </wp:cNvGraphicFramePr>
            <a:graphic>
              <a:graphicData uri="http://schemas.openxmlformats.org/drawingml/2006/picture">
                <pic:pic>
                  <pic:nvPicPr>
                    <pic:cNvPr id="0" name="q1_scalar.png"/>
                    <pic:cNvPicPr/>
                  </pic:nvPicPr>
                  <pic:blipFill>
                    <a:blip r:embed="rId10"/>
                    <a:stretch>
                      <a:fillRect/>
                    </a:stretch>
                  </pic:blipFill>
                  <pic:spPr>
                    <a:xfrm>
                      <a:off x="0" y="0"/>
                      <a:ext cx="3313182" cy="1456947"/>
                    </a:xfrm>
                    <a:prstGeom prst="rect"/>
                  </pic:spPr>
                </pic:pic>
              </a:graphicData>
            </a:graphic>
          </wp:inline>
        </w:drawing>
      </w:r>
    </w:p>
    <w:p>
      <w:r>
        <w:rPr>
          <w:i w:val="0"/>
        </w:rPr>
        <w:t>The first set of constraints ensures that enough of each raw material is procured, and the second constraint enforces the budget.</w:t>
      </w:r>
    </w:p>
    <w:p>
      <w:r>
        <w:rPr>
          <w:i w:val="0"/>
        </w:rPr>
        <w:t>Structurally this is the general resource-allocation problem of Lecture 2, in which a linear profit is maximized subject to linear capacity rows and nonnegative decisions, with one budget row added. The procurement variables play the same role as the reserved-capacity variables in the alternative Wyndor Glass formulations: they make the material balance explicit without adding any decision content of their own, which is exactly why part (b) can remove them.</w:t>
      </w:r>
    </w:p>
    <w:p>
      <w:pPr>
        <w:pStyle w:val="Heading2"/>
      </w:pPr>
      <w:r>
        <w:t>1(a)(ii) Matrix form</w:t>
      </w:r>
    </w:p>
    <w:p>
      <w:pPr>
        <w:spacing w:before="40" w:after="100"/>
        <w:jc w:val="center"/>
      </w:pPr>
      <w:r>
        <w:drawing>
          <wp:inline xmlns:a="http://schemas.openxmlformats.org/drawingml/2006/main" xmlns:pic="http://schemas.openxmlformats.org/drawingml/2006/picture">
            <wp:extent cx="4867665" cy="807721"/>
            <wp:docPr id="3" name="Picture 3"/>
            <wp:cNvGraphicFramePr>
              <a:graphicFrameLocks noChangeAspect="1"/>
            </wp:cNvGraphicFramePr>
            <a:graphic>
              <a:graphicData uri="http://schemas.openxmlformats.org/drawingml/2006/picture">
                <pic:pic>
                  <pic:nvPicPr>
                    <pic:cNvPr id="0" name="q1_matrix.png"/>
                    <pic:cNvPicPr/>
                  </pic:nvPicPr>
                  <pic:blipFill>
                    <a:blip r:embed="rId11"/>
                    <a:stretch>
                      <a:fillRect/>
                    </a:stretch>
                  </pic:blipFill>
                  <pic:spPr>
                    <a:xfrm>
                      <a:off x="0" y="0"/>
                      <a:ext cx="4867665" cy="807721"/>
                    </a:xfrm>
                    <a:prstGeom prst="rect"/>
                  </pic:spPr>
                </pic:pic>
              </a:graphicData>
            </a:graphic>
          </wp:inline>
        </w:drawing>
      </w:r>
    </w:p>
    <w:p>
      <w:r>
        <w:rPr>
          <w:i w:val="0"/>
        </w:rPr>
        <w:t>Equivalently, the variables and constraints can be stacked into one block model.</w:t>
      </w:r>
    </w:p>
    <w:p>
      <w:pPr>
        <w:spacing w:before="40" w:after="100"/>
        <w:jc w:val="center"/>
      </w:pPr>
      <w:r>
        <w:drawing>
          <wp:inline xmlns:a="http://schemas.openxmlformats.org/drawingml/2006/main" xmlns:pic="http://schemas.openxmlformats.org/drawingml/2006/picture">
            <wp:extent cx="4303784" cy="1124714"/>
            <wp:docPr id="4" name="Picture 4"/>
            <wp:cNvGraphicFramePr>
              <a:graphicFrameLocks noChangeAspect="1"/>
            </wp:cNvGraphicFramePr>
            <a:graphic>
              <a:graphicData uri="http://schemas.openxmlformats.org/drawingml/2006/picture">
                <pic:pic>
                  <pic:nvPicPr>
                    <pic:cNvPr id="0" name="q1_block.png"/>
                    <pic:cNvPicPr/>
                  </pic:nvPicPr>
                  <pic:blipFill>
                    <a:blip r:embed="rId12"/>
                    <a:stretch>
                      <a:fillRect/>
                    </a:stretch>
                  </pic:blipFill>
                  <pic:spPr>
                    <a:xfrm>
                      <a:off x="0" y="0"/>
                      <a:ext cx="4303784" cy="1124714"/>
                    </a:xfrm>
                    <a:prstGeom prst="rect"/>
                  </pic:spPr>
                </pic:pic>
              </a:graphicData>
            </a:graphic>
          </wp:inline>
        </w:drawing>
      </w:r>
    </w:p>
    <w:p>
      <w:pPr>
        <w:pStyle w:val="Heading2"/>
      </w:pPr>
      <w:r>
        <w:t>1(a)(iii) Reduction to standard form</w:t>
      </w:r>
    </w:p>
    <w:p>
      <w:r>
        <w:rPr>
          <w:i w:val="0"/>
        </w:rPr>
        <w:t>Applying the Lecture 2 reduction, the maximization is written as a minimization and each inequality absorbs a nonnegative slack variable. No variable needs to be split, because every decision is already sign restricted.</w:t>
      </w:r>
    </w:p>
    <w:p>
      <w:pPr>
        <w:spacing w:before="40" w:after="40"/>
        <w:jc w:val="center"/>
      </w:pPr>
      <w:r>
        <w:drawing>
          <wp:inline xmlns:a="http://schemas.openxmlformats.org/drawingml/2006/main" xmlns:pic="http://schemas.openxmlformats.org/drawingml/2006/picture">
            <wp:extent cx="3965455" cy="1173482"/>
            <wp:docPr id="5" name="Picture 5"/>
            <wp:cNvGraphicFramePr>
              <a:graphicFrameLocks noChangeAspect="1"/>
            </wp:cNvGraphicFramePr>
            <a:graphic>
              <a:graphicData uri="http://schemas.openxmlformats.org/drawingml/2006/picture">
                <pic:pic>
                  <pic:nvPicPr>
                    <pic:cNvPr id="0" name="q1_standard.png"/>
                    <pic:cNvPicPr/>
                  </pic:nvPicPr>
                  <pic:blipFill>
                    <a:blip r:embed="rId13"/>
                    <a:stretch>
                      <a:fillRect/>
                    </a:stretch>
                  </pic:blipFill>
                  <pic:spPr>
                    <a:xfrm>
                      <a:off x="0" y="0"/>
                      <a:ext cx="3965455" cy="1173482"/>
                    </a:xfrm>
                    <a:prstGeom prst="rect"/>
                  </pic:spPr>
                </pic:pic>
              </a:graphicData>
            </a:graphic>
          </wp:inline>
        </w:drawing>
      </w:r>
    </w:p>
    <w:p>
      <w:pPr>
        <w:pStyle w:val="FormulaCaption"/>
        <w:keepNext w:val="0"/>
      </w:pPr>
      <w:r>
        <w:t>Standard form: m + 1 equalities in n + 2m + 1 nonnegative variables</w:t>
      </w:r>
    </w:p>
    <w:p>
      <w:pPr>
        <w:pStyle w:val="Heading2"/>
      </w:pPr>
      <w:r>
        <w:t>1(b) Model without procurement variables</w:t>
      </w:r>
    </w:p>
    <w:p>
      <w:r>
        <w:rPr>
          <w:i w:val="0"/>
        </w:rPr>
        <w:t>Because every unit cost is nonnegative, procuring more material than the production plan consumes can never improve the objective. Some optimal solution therefore satisfies the material balance at equality, and substituting it eliminates the procurement variables:</w:t>
      </w:r>
    </w:p>
    <w:p>
      <w:pPr>
        <w:spacing w:before="40" w:after="100"/>
        <w:jc w:val="center"/>
      </w:pPr>
      <w:r>
        <w:drawing>
          <wp:inline xmlns:a="http://schemas.openxmlformats.org/drawingml/2006/main" xmlns:pic="http://schemas.openxmlformats.org/drawingml/2006/picture">
            <wp:extent cx="2767589" cy="792481"/>
            <wp:docPr id="6" name="Picture 6"/>
            <wp:cNvGraphicFramePr>
              <a:graphicFrameLocks noChangeAspect="1"/>
            </wp:cNvGraphicFramePr>
            <a:graphic>
              <a:graphicData uri="http://schemas.openxmlformats.org/drawingml/2006/picture">
                <pic:pic>
                  <pic:nvPicPr>
                    <pic:cNvPr id="0" name="q1_reduced.png"/>
                    <pic:cNvPicPr/>
                  </pic:nvPicPr>
                  <pic:blipFill>
                    <a:blip r:embed="rId14"/>
                    <a:stretch>
                      <a:fillRect/>
                    </a:stretch>
                  </pic:blipFill>
                  <pic:spPr>
                    <a:xfrm>
                      <a:off x="0" y="0"/>
                      <a:ext cx="2767589" cy="792481"/>
                    </a:xfrm>
                    <a:prstGeom prst="rect"/>
                  </pic:spPr>
                </pic:pic>
              </a:graphicData>
            </a:graphic>
          </wp:inline>
        </w:drawing>
      </w:r>
    </w:p>
    <w:p>
      <w:r>
        <w:rPr>
          <w:b/>
        </w:rPr>
        <w:t xml:space="preserve">Interpretation: </w:t>
      </w:r>
      <w:r>
        <w:t>The unit profit vector is the selling-price vector less the raw-material cost attributable to one unit of each product.</w:t>
      </w:r>
    </w:p>
    <w:p>
      <w:r>
        <w:rPr>
          <w:i w:val="0"/>
        </w:rPr>
        <w:t>The reduced model repays a second look through the geometry of Lecture 3. In standard form it carries a single equality constraint, so m = 1 and every basic feasible solution has exactly one basic variable. Whenever the problem has a finite optimum there is an optimal extreme point, and such a point spends the entire budget on at most one product, the one with the largest ratio of selling price to unit material cost:</w:t>
      </w:r>
    </w:p>
    <w:p>
      <w:pPr>
        <w:spacing w:before="40" w:after="100"/>
        <w:jc w:val="center"/>
      </w:pPr>
      <w:r>
        <w:drawing>
          <wp:inline xmlns:a="http://schemas.openxmlformats.org/drawingml/2006/main" xmlns:pic="http://schemas.openxmlformats.org/drawingml/2006/picture">
            <wp:extent cx="5270002" cy="749809"/>
            <wp:docPr id="7" name="Picture 7"/>
            <wp:cNvGraphicFramePr>
              <a:graphicFrameLocks noChangeAspect="1"/>
            </wp:cNvGraphicFramePr>
            <a:graphic>
              <a:graphicData uri="http://schemas.openxmlformats.org/drawingml/2006/picture">
                <pic:pic>
                  <pic:nvPicPr>
                    <pic:cNvPr id="0" name="q1_extreme.png"/>
                    <pic:cNvPicPr/>
                  </pic:nvPicPr>
                  <pic:blipFill>
                    <a:blip r:embed="rId15"/>
                    <a:stretch>
                      <a:fillRect/>
                    </a:stretch>
                  </pic:blipFill>
                  <pic:spPr>
                    <a:xfrm>
                      <a:off x="0" y="0"/>
                      <a:ext cx="5270002" cy="749809"/>
                    </a:xfrm>
                    <a:prstGeom prst="rect"/>
                  </pic:spPr>
                </pic:pic>
              </a:graphicData>
            </a:graphic>
          </wp:inline>
        </w:drawing>
      </w:r>
    </w:p>
    <w:p>
      <w:r>
        <w:rPr>
          <w:i w:val="0"/>
        </w:rPr>
        <w:t>Two of the four outcomes catalogued in Lecture 3 are visible here. If no product has positive reduced profit, the zero plan is optimal. If some product has a positive selling price yet consumes no priced material, so that the corresponding entry of k vanishes, its production level is unconstrained and the objective is unbounded.</w:t>
      </w:r>
    </w:p>
    <w:p>
      <w:pPr>
        <w:pStyle w:val="Heading1"/>
      </w:pPr>
      <w:r>
        <w:t>2. Matrix Completion</w:t>
      </w:r>
    </w:p>
    <w:p>
      <w:r>
        <w:rPr>
          <w:i w:val="0"/>
        </w:rPr>
        <w:t>Lecture 2 defines a collection of vectors to be linearly independent when none of them is a linear combination of the others, and the rank of a matrix as the largest number of independent columns, equivalently of independent rows. This question is the discrete counterpart of the compressed sensing example from the same lecture: the observations form an underdetermined system that admits many completions, and only structural knowledge, sparsity there and low rank here, singles one out.</w:t>
      </w:r>
    </w:p>
    <w:p>
      <w:pPr>
        <w:pStyle w:val="Heading2"/>
      </w:pPr>
      <w:r>
        <w:t>2(a) Rank of the given matrix</w:t>
      </w:r>
    </w:p>
    <w:p>
      <w:pPr>
        <w:spacing w:before="40" w:after="100"/>
        <w:jc w:val="center"/>
      </w:pPr>
      <w:r>
        <w:drawing>
          <wp:inline xmlns:a="http://schemas.openxmlformats.org/drawingml/2006/main" xmlns:pic="http://schemas.openxmlformats.org/drawingml/2006/picture">
            <wp:extent cx="5623560" cy="693797"/>
            <wp:docPr id="8" name="Picture 8"/>
            <wp:cNvGraphicFramePr>
              <a:graphicFrameLocks noChangeAspect="1"/>
            </wp:cNvGraphicFramePr>
            <a:graphic>
              <a:graphicData uri="http://schemas.openxmlformats.org/drawingml/2006/picture">
                <pic:pic>
                  <pic:nvPicPr>
                    <pic:cNvPr id="0" name="q2_rank_relation.png"/>
                    <pic:cNvPicPr/>
                  </pic:nvPicPr>
                  <pic:blipFill>
                    <a:blip r:embed="rId16"/>
                    <a:stretch>
                      <a:fillRect/>
                    </a:stretch>
                  </pic:blipFill>
                  <pic:spPr>
                    <a:xfrm>
                      <a:off x="0" y="0"/>
                      <a:ext cx="5623560" cy="693797"/>
                    </a:xfrm>
                    <a:prstGeom prst="rect"/>
                  </pic:spPr>
                </pic:pic>
              </a:graphicData>
            </a:graphic>
          </wp:inline>
        </w:drawing>
      </w:r>
    </w:p>
    <w:p>
      <w:r>
        <w:rPr>
          <w:i w:val="0"/>
        </w:rPr>
        <w:t>The third row therefore adds no new dimension, while the first two rows establish two independent directions.</w:t>
      </w:r>
    </w:p>
    <w:p>
      <w:pPr>
        <w:pStyle w:val="Heading2"/>
      </w:pPr>
      <w:r>
        <w:t>2(b) Rank of an outer product</w:t>
      </w:r>
    </w:p>
    <w:p>
      <w:pPr>
        <w:spacing w:before="40" w:after="100"/>
        <w:jc w:val="center"/>
      </w:pPr>
      <w:r>
        <w:drawing>
          <wp:inline xmlns:a="http://schemas.openxmlformats.org/drawingml/2006/main" xmlns:pic="http://schemas.openxmlformats.org/drawingml/2006/picture">
            <wp:extent cx="3752095" cy="1130810"/>
            <wp:docPr id="9" name="Picture 9"/>
            <wp:cNvGraphicFramePr>
              <a:graphicFrameLocks noChangeAspect="1"/>
            </wp:cNvGraphicFramePr>
            <a:graphic>
              <a:graphicData uri="http://schemas.openxmlformats.org/drawingml/2006/picture">
                <pic:pic>
                  <pic:nvPicPr>
                    <pic:cNvPr id="0" name="q2_outer.png"/>
                    <pic:cNvPicPr/>
                  </pic:nvPicPr>
                  <pic:blipFill>
                    <a:blip r:embed="rId17"/>
                    <a:stretch>
                      <a:fillRect/>
                    </a:stretch>
                  </pic:blipFill>
                  <pic:spPr>
                    <a:xfrm>
                      <a:off x="0" y="0"/>
                      <a:ext cx="3752095" cy="1130810"/>
                    </a:xfrm>
                    <a:prstGeom prst="rect"/>
                  </pic:spPr>
                </pic:pic>
              </a:graphicData>
            </a:graphic>
          </wp:inline>
        </w:drawing>
      </w:r>
    </w:p>
    <w:p>
      <w:r>
        <w:rPr>
          <w:i w:val="0"/>
        </w:rPr>
        <w:t>Every column is a scalar multiple of the same nonzero vector. Since the second vector is nonzero, at least one column is nonzero, so the rank cannot be zero.</w:t>
      </w:r>
    </w:p>
    <w:p>
      <w:pPr>
        <w:pStyle w:val="Heading2"/>
      </w:pPr>
      <w:r>
        <w:t>2(c) Completion of the ratings matrix</w:t>
      </w:r>
    </w:p>
    <w:p>
      <w:r>
        <w:rPr>
          <w:i w:val="0"/>
        </w:rPr>
        <w:t>The observed one in the first row and first column makes both associated factors nonzero. The observed zero in column 2 therefore forces the second movie factor to zero. The observed one in column 3 equates its factor to that of column 1. The observations in the third row then make the third user factor equal to the first, force the column 4 factor to zero, and equate the column 5 factor to the column 1 factor. Finally, the zero in row 2 and column 3 forces the second user factor to zero.</w:t>
      </w:r>
    </w:p>
    <w:p>
      <w:pPr>
        <w:spacing w:before="40" w:after="100"/>
        <w:jc w:val="center"/>
      </w:pPr>
      <w:r>
        <w:drawing>
          <wp:inline xmlns:a="http://schemas.openxmlformats.org/drawingml/2006/main" xmlns:pic="http://schemas.openxmlformats.org/drawingml/2006/picture">
            <wp:extent cx="5623560" cy="281178"/>
            <wp:docPr id="10" name="Picture 10"/>
            <wp:cNvGraphicFramePr>
              <a:graphicFrameLocks noChangeAspect="1"/>
            </wp:cNvGraphicFramePr>
            <a:graphic>
              <a:graphicData uri="http://schemas.openxmlformats.org/drawingml/2006/picture">
                <pic:pic>
                  <pic:nvPicPr>
                    <pic:cNvPr id="0" name="q2_completion_reason.png"/>
                    <pic:cNvPicPr/>
                  </pic:nvPicPr>
                  <pic:blipFill>
                    <a:blip r:embed="rId18"/>
                    <a:stretch>
                      <a:fillRect/>
                    </a:stretch>
                  </pic:blipFill>
                  <pic:spPr>
                    <a:xfrm>
                      <a:off x="0" y="0"/>
                      <a:ext cx="5623560" cy="281178"/>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084582" cy="1304547"/>
            <wp:docPr id="11" name="Picture 11"/>
            <wp:cNvGraphicFramePr>
              <a:graphicFrameLocks noChangeAspect="1"/>
            </wp:cNvGraphicFramePr>
            <a:graphic>
              <a:graphicData uri="http://schemas.openxmlformats.org/drawingml/2006/picture">
                <pic:pic>
                  <pic:nvPicPr>
                    <pic:cNvPr id="0" name="q2_completed_matrix.png"/>
                    <pic:cNvPicPr/>
                  </pic:nvPicPr>
                  <pic:blipFill>
                    <a:blip r:embed="rId19"/>
                    <a:stretch>
                      <a:fillRect/>
                    </a:stretch>
                  </pic:blipFill>
                  <pic:spPr>
                    <a:xfrm>
                      <a:off x="0" y="0"/>
                      <a:ext cx="3084582" cy="1304547"/>
                    </a:xfrm>
                    <a:prstGeom prst="rect"/>
                  </pic:spPr>
                </pic:pic>
              </a:graphicData>
            </a:graphic>
          </wp:inline>
        </w:drawing>
      </w:r>
    </w:p>
    <w:p>
      <w:pPr>
        <w:pStyle w:val="FormulaCaption"/>
        <w:keepNext w:val="0"/>
      </w:pPr>
      <w:r>
        <w:t>Completed rank-one ratings matrix</w:t>
      </w:r>
    </w:p>
    <w:p>
      <w:r>
        <w:rPr>
          <w:b/>
        </w:rPr>
        <w:t xml:space="preserve">Check: </w:t>
      </w:r>
      <w:r>
        <w:t>Rows 1 and 3 are identical and nonzero, while row 2 is zero. The completed matrix consequently has rank one and matches every observed entry.</w:t>
      </w:r>
    </w:p>
    <w:p>
      <w:r>
        <w:rPr>
          <w:i w:val="0"/>
        </w:rPr>
        <w:t>A count explains why recovery is possible at all. The rank-one factorisation carries three user factors and five movie factors, but rescaling one vector and inversely rescaling the other leaves the product unchanged, so only seven of these numbers are free. Seven entries are observed, which is precisely the number needed:</w:t>
      </w:r>
    </w:p>
    <w:p>
      <w:pPr>
        <w:spacing w:before="40" w:after="100"/>
        <w:jc w:val="center"/>
      </w:pPr>
      <w:r>
        <w:drawing>
          <wp:inline xmlns:a="http://schemas.openxmlformats.org/drawingml/2006/main" xmlns:pic="http://schemas.openxmlformats.org/drawingml/2006/picture">
            <wp:extent cx="4949961" cy="697993"/>
            <wp:docPr id="12" name="Picture 12"/>
            <wp:cNvGraphicFramePr>
              <a:graphicFrameLocks noChangeAspect="1"/>
            </wp:cNvGraphicFramePr>
            <a:graphic>
              <a:graphicData uri="http://schemas.openxmlformats.org/drawingml/2006/picture">
                <pic:pic>
                  <pic:nvPicPr>
                    <pic:cNvPr id="0" name="q2_dof.png"/>
                    <pic:cNvPicPr/>
                  </pic:nvPicPr>
                  <pic:blipFill>
                    <a:blip r:embed="rId20"/>
                    <a:stretch>
                      <a:fillRect/>
                    </a:stretch>
                  </pic:blipFill>
                  <pic:spPr>
                    <a:xfrm>
                      <a:off x="0" y="0"/>
                      <a:ext cx="4949961" cy="697993"/>
                    </a:xfrm>
                    <a:prstGeom prst="rect"/>
                  </pic:spPr>
                </pic:pic>
              </a:graphicData>
            </a:graphic>
          </wp:inline>
        </w:drawing>
      </w:r>
    </w:p>
    <w:p>
      <w:r>
        <w:rPr>
          <w:i w:val="0"/>
        </w:rPr>
        <w:t>The count is necessary rather than sufficient, since the positions of the observed entries also matter, but it shows how a structural assumption converts an impossible interpolation problem into a determined one.</w:t>
      </w:r>
    </w:p>
    <w:p>
      <w:pPr>
        <w:pStyle w:val="Heading1"/>
      </w:pPr>
      <w:r>
        <w:t>3. Polyhedra</w:t>
      </w:r>
    </w:p>
    <w:p>
      <w:r>
        <w:rPr>
          <w:i w:val="0"/>
        </w:rPr>
        <w:t>Three facts from Lecture 3 settle every part of this question. A polyhedron is the intersection of finitely many halfspaces and hyperplanes; every polyhedron is a convex set; and an extreme point of a polyhedron in n dimensions is a feasible point at which n linearly independent constraints are binding, that is, satisfied at equality with zero slack.</w:t>
      </w:r>
    </w:p>
    <w:p>
      <w:pPr>
        <w:pStyle w:val="Heading2"/>
      </w:pPr>
      <w:r>
        <w:t>3(a) Parameterized linear feasible set</w:t>
      </w:r>
    </w:p>
    <w:p>
      <w:r>
        <w:rPr>
          <w:i w:val="0"/>
        </w:rPr>
        <w:t>Yes. The parameter enters only through the coefficients, not through the decision variables, so for every fixed nonnegative value of the parameter all three constraints are linear in x and y. The set is an intersection of three halfspaces and is therefore a polyhedron.</w:t>
      </w:r>
    </w:p>
    <w:p>
      <w:pPr>
        <w:spacing w:before="40" w:after="100"/>
        <w:jc w:val="center"/>
      </w:pPr>
      <w:r>
        <w:drawing>
          <wp:inline xmlns:a="http://schemas.openxmlformats.org/drawingml/2006/main" xmlns:pic="http://schemas.openxmlformats.org/drawingml/2006/picture">
            <wp:extent cx="5623560" cy="690513"/>
            <wp:docPr id="13" name="Picture 13"/>
            <wp:cNvGraphicFramePr>
              <a:graphicFrameLocks noChangeAspect="1"/>
            </wp:cNvGraphicFramePr>
            <a:graphic>
              <a:graphicData uri="http://schemas.openxmlformats.org/drawingml/2006/picture">
                <pic:pic>
                  <pic:nvPicPr>
                    <pic:cNvPr id="0" name="q3a_intercepts.png"/>
                    <pic:cNvPicPr/>
                  </pic:nvPicPr>
                  <pic:blipFill>
                    <a:blip r:embed="rId21"/>
                    <a:stretch>
                      <a:fillRect/>
                    </a:stretch>
                  </pic:blipFill>
                  <pic:spPr>
                    <a:xfrm>
                      <a:off x="0" y="0"/>
                      <a:ext cx="5623560" cy="690513"/>
                    </a:xfrm>
                    <a:prstGeom prst="rect"/>
                  </pic:spPr>
                </pic:pic>
              </a:graphicData>
            </a:graphic>
          </wp:inline>
        </w:drawing>
      </w:r>
    </w:p>
    <w:p>
      <w:pPr>
        <w:spacing w:before="60" w:after="40"/>
        <w:jc w:val="center"/>
      </w:pPr>
      <w:r>
        <w:drawing>
          <wp:inline xmlns:a="http://schemas.openxmlformats.org/drawingml/2006/main" xmlns:pic="http://schemas.openxmlformats.org/drawingml/2006/picture">
            <wp:extent cx="3794760" cy="3717316"/>
            <wp:docPr id="14" name="Picture 14"/>
            <wp:cNvGraphicFramePr>
              <a:graphicFrameLocks noChangeAspect="1"/>
            </wp:cNvGraphicFramePr>
            <a:graphic>
              <a:graphicData uri="http://schemas.openxmlformats.org/drawingml/2006/picture">
                <pic:pic>
                  <pic:nvPicPr>
                    <pic:cNvPr id="0" name="q3a_triangle.png"/>
                    <pic:cNvPicPr/>
                  </pic:nvPicPr>
                  <pic:blipFill>
                    <a:blip r:embed="rId22"/>
                    <a:stretch>
                      <a:fillRect/>
                    </a:stretch>
                  </pic:blipFill>
                  <pic:spPr>
                    <a:xfrm>
                      <a:off x="0" y="0"/>
                      <a:ext cx="3794760" cy="3717316"/>
                    </a:xfrm>
                    <a:prstGeom prst="rect"/>
                  </pic:spPr>
                </pic:pic>
              </a:graphicData>
            </a:graphic>
          </wp:inline>
        </w:drawing>
      </w:r>
    </w:p>
    <w:p>
      <w:pPr>
        <w:pStyle w:val="FormulaCaption"/>
        <w:keepNext w:val="0"/>
      </w:pPr>
      <w:r>
        <w:t>Figure 1. Feasible set for a = 1</w:t>
      </w:r>
    </w:p>
    <w:p>
      <w:r>
        <w:rPr>
          <w:i w:val="0"/>
        </w:rPr>
        <w:t>The sketch for a = 1 is a triangle with the three extreme points listed below. Each has exactly two binding constraints, which is the number that a two-dimensional polyhedron requires, and the third constraint is slack there.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8354A"/>
            <w:tcMar>
              <w:top w:w="80" w:type="dxa"/>
              <w:start w:w="90" w:type="dxa"/>
              <w:bottom w:w="80" w:type="dxa"/>
              <w:end w:w="90" w:type="dxa"/>
            </w:tcMar>
            <w:vAlign w:val="center"/>
          </w:tcPr>
          <w:p>
            <w:pPr>
              <w:spacing w:after="0"/>
              <w:jc w:val="center"/>
            </w:pPr>
            <w:r>
              <w:rPr>
                <w:rFonts w:ascii="Arial" w:hAnsi="Arial"/>
                <w:b/>
                <w:color w:val="FFFFFF"/>
                <w:sz w:val="16"/>
              </w:rPr>
              <w:t>Extreme point</w:t>
            </w:r>
          </w:p>
        </w:tc>
        <w:tc>
          <w:tcPr>
            <w:tcW w:type="dxa" w:w="3096"/>
            <w:shd w:fill="18354A"/>
            <w:tcMar>
              <w:top w:w="80" w:type="dxa"/>
              <w:start w:w="90" w:type="dxa"/>
              <w:bottom w:w="80" w:type="dxa"/>
              <w:end w:w="90" w:type="dxa"/>
            </w:tcMar>
            <w:vAlign w:val="center"/>
          </w:tcPr>
          <w:p>
            <w:pPr>
              <w:spacing w:after="0"/>
              <w:jc w:val="center"/>
            </w:pPr>
            <w:r>
              <w:rPr>
                <w:rFonts w:ascii="Arial" w:hAnsi="Arial"/>
                <w:b/>
                <w:color w:val="FFFFFF"/>
                <w:sz w:val="16"/>
              </w:rPr>
              <w:t>Binding constraints</w:t>
            </w:r>
          </w:p>
        </w:tc>
        <w:tc>
          <w:tcPr>
            <w:tcW w:type="dxa" w:w="2520"/>
            <w:shd w:fill="18354A"/>
            <w:tcMar>
              <w:top w:w="80" w:type="dxa"/>
              <w:start w:w="90" w:type="dxa"/>
              <w:bottom w:w="80" w:type="dxa"/>
              <w:end w:w="90" w:type="dxa"/>
            </w:tcMar>
            <w:vAlign w:val="center"/>
          </w:tcPr>
          <w:p>
            <w:pPr>
              <w:spacing w:after="0"/>
              <w:jc w:val="center"/>
            </w:pPr>
            <w:r>
              <w:rPr>
                <w:rFonts w:ascii="Arial" w:hAnsi="Arial"/>
                <w:b/>
                <w:color w:val="FFFFFF"/>
                <w:sz w:val="16"/>
              </w:rPr>
              <w:t>Slack constraint</w:t>
            </w:r>
          </w:p>
        </w:tc>
      </w:tr>
      <w:tr>
        <w:tc>
          <w:tcPr>
            <w:tcW w:type="dxa" w:w="1800"/>
            <w:tcMar>
              <w:top w:w="80" w:type="dxa"/>
              <w:start w:w="90" w:type="dxa"/>
              <w:bottom w:w="80" w:type="dxa"/>
              <w:end w:w="90" w:type="dxa"/>
            </w:tcMar>
          </w:tcPr>
          <w:p>
            <w:pPr>
              <w:spacing w:after="0"/>
              <w:jc w:val="left"/>
            </w:pPr>
            <w:r>
              <w:rPr>
                <w:rFonts w:ascii="Arial" w:hAnsi="Arial"/>
                <w:sz w:val="16"/>
              </w:rPr>
              <w:t>(0, 0)</w:t>
            </w:r>
          </w:p>
        </w:tc>
        <w:tc>
          <w:tcPr>
            <w:tcW w:type="dxa" w:w="3096"/>
            <w:tcMar>
              <w:top w:w="80" w:type="dxa"/>
              <w:start w:w="90" w:type="dxa"/>
              <w:bottom w:w="80" w:type="dxa"/>
              <w:end w:w="90" w:type="dxa"/>
            </w:tcMar>
          </w:tcPr>
          <w:p>
            <w:pPr>
              <w:spacing w:after="0"/>
              <w:jc w:val="center"/>
            </w:pPr>
            <w:r>
              <w:rPr>
                <w:rFonts w:ascii="Arial" w:hAnsi="Arial"/>
                <w:sz w:val="16"/>
              </w:rPr>
              <w:t>x &gt;= 0 and y &gt;= 0</w:t>
            </w:r>
          </w:p>
        </w:tc>
        <w:tc>
          <w:tcPr>
            <w:tcW w:type="dxa" w:w="2520"/>
            <w:tcMar>
              <w:top w:w="80" w:type="dxa"/>
              <w:start w:w="90" w:type="dxa"/>
              <w:bottom w:w="80" w:type="dxa"/>
              <w:end w:w="90" w:type="dxa"/>
            </w:tcMar>
          </w:tcPr>
          <w:p>
            <w:pPr>
              <w:spacing w:after="0"/>
              <w:jc w:val="center"/>
            </w:pPr>
            <w:r>
              <w:rPr>
                <w:rFonts w:ascii="Arial" w:hAnsi="Arial"/>
                <w:sz w:val="16"/>
              </w:rPr>
              <w:t>x + y &lt;= 1, slack 1</w:t>
            </w:r>
          </w:p>
        </w:tc>
      </w:tr>
      <w:tr>
        <w:tc>
          <w:tcPr>
            <w:tcW w:type="dxa" w:w="1800"/>
            <w:tcMar>
              <w:top w:w="80" w:type="dxa"/>
              <w:start w:w="90" w:type="dxa"/>
              <w:bottom w:w="80" w:type="dxa"/>
              <w:end w:w="90" w:type="dxa"/>
            </w:tcMar>
            <w:shd w:fill="F3F5F6"/>
          </w:tcPr>
          <w:p>
            <w:pPr>
              <w:spacing w:after="0"/>
              <w:jc w:val="left"/>
            </w:pPr>
            <w:r>
              <w:rPr>
                <w:rFonts w:ascii="Arial" w:hAnsi="Arial"/>
                <w:sz w:val="16"/>
              </w:rPr>
              <w:t>(1, 0)</w:t>
            </w:r>
          </w:p>
        </w:tc>
        <w:tc>
          <w:tcPr>
            <w:tcW w:type="dxa" w:w="3096"/>
            <w:tcMar>
              <w:top w:w="80" w:type="dxa"/>
              <w:start w:w="90" w:type="dxa"/>
              <w:bottom w:w="80" w:type="dxa"/>
              <w:end w:w="90" w:type="dxa"/>
            </w:tcMar>
            <w:shd w:fill="F3F5F6"/>
          </w:tcPr>
          <w:p>
            <w:pPr>
              <w:spacing w:after="0"/>
              <w:jc w:val="center"/>
            </w:pPr>
            <w:r>
              <w:rPr>
                <w:rFonts w:ascii="Arial" w:hAnsi="Arial"/>
                <w:sz w:val="16"/>
              </w:rPr>
              <w:t>x + y &lt;= 1 and y &gt;= 0</w:t>
            </w:r>
          </w:p>
        </w:tc>
        <w:tc>
          <w:tcPr>
            <w:tcW w:type="dxa" w:w="2520"/>
            <w:tcMar>
              <w:top w:w="80" w:type="dxa"/>
              <w:start w:w="90" w:type="dxa"/>
              <w:bottom w:w="80" w:type="dxa"/>
              <w:end w:w="90" w:type="dxa"/>
            </w:tcMar>
            <w:shd w:fill="F3F5F6"/>
          </w:tcPr>
          <w:p>
            <w:pPr>
              <w:spacing w:after="0"/>
              <w:jc w:val="center"/>
            </w:pPr>
            <w:r>
              <w:rPr>
                <w:rFonts w:ascii="Arial" w:hAnsi="Arial"/>
                <w:sz w:val="16"/>
              </w:rPr>
              <w:t>x &gt;= 0, slack 1</w:t>
            </w:r>
          </w:p>
        </w:tc>
      </w:tr>
      <w:tr>
        <w:tc>
          <w:tcPr>
            <w:tcW w:type="dxa" w:w="1800"/>
            <w:tcMar>
              <w:top w:w="80" w:type="dxa"/>
              <w:start w:w="90" w:type="dxa"/>
              <w:bottom w:w="80" w:type="dxa"/>
              <w:end w:w="90" w:type="dxa"/>
            </w:tcMar>
          </w:tcPr>
          <w:p>
            <w:pPr>
              <w:spacing w:after="0"/>
              <w:jc w:val="left"/>
            </w:pPr>
            <w:r>
              <w:rPr>
                <w:rFonts w:ascii="Arial" w:hAnsi="Arial"/>
                <w:sz w:val="16"/>
              </w:rPr>
              <w:t>(0, 1)</w:t>
            </w:r>
          </w:p>
        </w:tc>
        <w:tc>
          <w:tcPr>
            <w:tcW w:type="dxa" w:w="3096"/>
            <w:tcMar>
              <w:top w:w="80" w:type="dxa"/>
              <w:start w:w="90" w:type="dxa"/>
              <w:bottom w:w="80" w:type="dxa"/>
              <w:end w:w="90" w:type="dxa"/>
            </w:tcMar>
          </w:tcPr>
          <w:p>
            <w:pPr>
              <w:spacing w:after="0"/>
              <w:jc w:val="center"/>
            </w:pPr>
            <w:r>
              <w:rPr>
                <w:rFonts w:ascii="Arial" w:hAnsi="Arial"/>
                <w:sz w:val="16"/>
              </w:rPr>
              <w:t>x + y &lt;= 1 and x &gt;= 0</w:t>
            </w:r>
          </w:p>
        </w:tc>
        <w:tc>
          <w:tcPr>
            <w:tcW w:type="dxa" w:w="2520"/>
            <w:tcMar>
              <w:top w:w="80" w:type="dxa"/>
              <w:start w:w="90" w:type="dxa"/>
              <w:bottom w:w="80" w:type="dxa"/>
              <w:end w:w="90" w:type="dxa"/>
            </w:tcMar>
          </w:tcPr>
          <w:p>
            <w:pPr>
              <w:spacing w:after="0"/>
              <w:jc w:val="center"/>
            </w:pPr>
            <w:r>
              <w:rPr>
                <w:rFonts w:ascii="Arial" w:hAnsi="Arial"/>
                <w:sz w:val="16"/>
              </w:rPr>
              <w:t>y &gt;= 0, slack 1</w:t>
            </w:r>
          </w:p>
        </w:tc>
      </w:tr>
    </w:tbl>
    <w:p>
      <w:pPr>
        <w:spacing w:after="0"/>
      </w:pPr>
    </w:p>
    <w:p>
      <w:r>
        <w:rPr>
          <w:i w:val="0"/>
        </w:rPr>
        <w:t>When the parameter is zero the first inequality reads 0 &lt;= 1 and is redundant. The feasible set becomes the whole first quadrant: still a polyhedron, but now unbounded and with the single extreme point at the origin.</w:t>
      </w:r>
    </w:p>
    <w:p>
      <w:pPr>
        <w:pStyle w:val="Heading2"/>
      </w:pPr>
      <w:r>
        <w:t>3(b) Quarter unit disk</w:t>
      </w:r>
    </w:p>
    <w:p>
      <w:r>
        <w:rPr>
          <w:i w:val="0"/>
        </w:rPr>
        <w:t>The feasible region is the quarter of the closed unit disk in the first quadrant. It is not a polyhedron because its circular arc cannot be generated by a finite number of linear halfspace boundaries.</w:t>
      </w:r>
    </w:p>
    <w:p>
      <w:pPr>
        <w:spacing w:before="60" w:after="40"/>
        <w:jc w:val="center"/>
      </w:pPr>
      <w:r>
        <w:drawing>
          <wp:inline xmlns:a="http://schemas.openxmlformats.org/drawingml/2006/main" xmlns:pic="http://schemas.openxmlformats.org/drawingml/2006/picture">
            <wp:extent cx="3794760" cy="3717316"/>
            <wp:docPr id="15" name="Picture 15"/>
            <wp:cNvGraphicFramePr>
              <a:graphicFrameLocks noChangeAspect="1"/>
            </wp:cNvGraphicFramePr>
            <a:graphic>
              <a:graphicData uri="http://schemas.openxmlformats.org/drawingml/2006/picture">
                <pic:pic>
                  <pic:nvPicPr>
                    <pic:cNvPr id="0" name="q3b_quarter_disk.png"/>
                    <pic:cNvPicPr/>
                  </pic:nvPicPr>
                  <pic:blipFill>
                    <a:blip r:embed="rId23"/>
                    <a:stretch>
                      <a:fillRect/>
                    </a:stretch>
                  </pic:blipFill>
                  <pic:spPr>
                    <a:xfrm>
                      <a:off x="0" y="0"/>
                      <a:ext cx="3794760" cy="3717316"/>
                    </a:xfrm>
                    <a:prstGeom prst="rect"/>
                  </pic:spPr>
                </pic:pic>
              </a:graphicData>
            </a:graphic>
          </wp:inline>
        </w:drawing>
      </w:r>
    </w:p>
    <w:p>
      <w:pPr>
        <w:pStyle w:val="FormulaCaption"/>
        <w:keepNext w:val="0"/>
      </w:pPr>
      <w:r>
        <w:t>Figure 2. Feasible quarter unit disk</w:t>
      </w:r>
    </w:p>
    <w:p>
      <w:r>
        <w:rPr>
          <w:i w:val="0"/>
        </w:rPr>
        <w:t>The extreme-point characterisation makes the argument precise. Every point of the open arc is an extreme point of this set, so the set has infinitely many of them, whereas a polyhedron described by finitely many linear constraints can only have finitely many, one for each admissible choice of binding constraints. The set is nevertheless convex, so convexity is necessary but not sufficient for a set to be a polyhedron. Optimizing a linear objective over it is still a convex programming problem in the sense of Lecture 3, and a local optimum would still be global, but it is not a linear program.</w:t>
      </w:r>
    </w:p>
    <w:p>
      <w:pPr>
        <w:pStyle w:val="Heading2"/>
      </w:pPr>
      <w:r>
        <w:t>3(c) Quadratic inequality with a bounded solution set</w:t>
      </w:r>
    </w:p>
    <w:p>
      <w:pPr>
        <w:spacing w:before="40" w:after="100"/>
        <w:jc w:val="center"/>
      </w:pPr>
      <w:r>
        <w:drawing>
          <wp:inline xmlns:a="http://schemas.openxmlformats.org/drawingml/2006/main" xmlns:pic="http://schemas.openxmlformats.org/drawingml/2006/picture">
            <wp:extent cx="5205994" cy="374905"/>
            <wp:docPr id="16" name="Picture 16"/>
            <wp:cNvGraphicFramePr>
              <a:graphicFrameLocks noChangeAspect="1"/>
            </wp:cNvGraphicFramePr>
            <a:graphic>
              <a:graphicData uri="http://schemas.openxmlformats.org/drawingml/2006/picture">
                <pic:pic>
                  <pic:nvPicPr>
                    <pic:cNvPr id="0" name="q3c.png"/>
                    <pic:cNvPicPr/>
                  </pic:nvPicPr>
                  <pic:blipFill>
                    <a:blip r:embed="rId24"/>
                    <a:stretch>
                      <a:fillRect/>
                    </a:stretch>
                  </pic:blipFill>
                  <pic:spPr>
                    <a:xfrm>
                      <a:off x="0" y="0"/>
                      <a:ext cx="5205994" cy="374905"/>
                    </a:xfrm>
                    <a:prstGeom prst="rect"/>
                  </pic:spPr>
                </pic:pic>
              </a:graphicData>
            </a:graphic>
          </wp:inline>
        </w:drawing>
      </w:r>
    </w:p>
    <w:p>
      <w:r>
        <w:rPr>
          <w:b/>
        </w:rPr>
        <w:t xml:space="preserve">Answer: </w:t>
      </w:r>
      <w:r>
        <w:t>Yes. The interval is the intersection of the two halfspaces defined by its lower and upper bounds, so it is a polyhedron in one dimension.</w:t>
      </w:r>
    </w:p>
    <w:p>
      <w:r>
        <w:rPr>
          <w:i w:val="0"/>
        </w:rPr>
        <w:t>Although the defining inequality is quadratic, its solution set is describable by two linear inequalities, which is all the definition requires. The two endpoints are the extreme points, each with one binding constraint, as a one-dimensional polyhedron demands.</w:t>
      </w:r>
    </w:p>
    <w:p>
      <w:pPr>
        <w:pStyle w:val="Heading2"/>
      </w:pPr>
      <w:r>
        <w:t>3(d) Quadratic inequality with a disconnected solution set</w:t>
      </w:r>
    </w:p>
    <w:p>
      <w:pPr>
        <w:spacing w:before="40" w:after="100"/>
        <w:jc w:val="center"/>
      </w:pPr>
      <w:r>
        <w:drawing>
          <wp:inline xmlns:a="http://schemas.openxmlformats.org/drawingml/2006/main" xmlns:pic="http://schemas.openxmlformats.org/drawingml/2006/picture">
            <wp:extent cx="4203200" cy="374905"/>
            <wp:docPr id="17" name="Picture 17"/>
            <wp:cNvGraphicFramePr>
              <a:graphicFrameLocks noChangeAspect="1"/>
            </wp:cNvGraphicFramePr>
            <a:graphic>
              <a:graphicData uri="http://schemas.openxmlformats.org/drawingml/2006/picture">
                <pic:pic>
                  <pic:nvPicPr>
                    <pic:cNvPr id="0" name="q3d.png"/>
                    <pic:cNvPicPr/>
                  </pic:nvPicPr>
                  <pic:blipFill>
                    <a:blip r:embed="rId25"/>
                    <a:stretch>
                      <a:fillRect/>
                    </a:stretch>
                  </pic:blipFill>
                  <pic:spPr>
                    <a:xfrm>
                      <a:off x="0" y="0"/>
                      <a:ext cx="4203200" cy="374905"/>
                    </a:xfrm>
                    <a:prstGeom prst="rect"/>
                  </pic:spPr>
                </pic:pic>
              </a:graphicData>
            </a:graphic>
          </wp:inline>
        </w:drawing>
      </w:r>
    </w:p>
    <w:p>
      <w:r>
        <w:rPr>
          <w:b/>
        </w:rPr>
        <w:t xml:space="preserve">Answer: </w:t>
      </w:r>
      <w:r>
        <w:t>No. The union of the two rays is not convex. Every polyhedron, as an intersection of halfspaces, must be convex.</w:t>
      </w:r>
    </w:p>
    <w:p>
      <w:r>
        <w:rPr>
          <w:i w:val="0"/>
        </w:rPr>
        <w:t>An explicit witness confirms the failure of convexity. The points 3 and 5 are both feasible, but their midpoint 4 gives the value 16 minus 32 plus 15, which equals minus one and violates the constraint. A convex set must contain the whole segment between any two of its points, so this set cannot be a polyhedron.</w:t>
      </w:r>
    </w:p>
    <w:p>
      <w:pPr>
        <w:pStyle w:val="Heading1"/>
      </w:pPr>
      <w:r>
        <w:t>4. Manpower Scheduling</w:t>
      </w:r>
    </w:p>
    <w:p>
      <w:r>
        <w:rPr>
          <w:i w:val="0"/>
        </w:rPr>
        <w:t>Let M, A, and E denote the numbers of full-time clerks starting the morning, afternoon, and evening shifts. Let P1, P2, P3, and P4 denote part-time clerks assigned to the four consecutive four-hour periods. All variables are continuous and nonnegative, as requested.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8354A"/>
            <w:tcMar>
              <w:top w:w="80" w:type="dxa"/>
              <w:start w:w="90" w:type="dxa"/>
              <w:bottom w:w="80" w:type="dxa"/>
              <w:end w:w="90" w:type="dxa"/>
            </w:tcMar>
            <w:vAlign w:val="center"/>
          </w:tcPr>
          <w:p>
            <w:pPr>
              <w:spacing w:after="0"/>
              <w:jc w:val="center"/>
            </w:pPr>
            <w:r>
              <w:rPr>
                <w:rFonts w:ascii="Arial" w:hAnsi="Arial"/>
                <w:b/>
                <w:color w:val="FFFFFF"/>
                <w:sz w:val="16"/>
              </w:rPr>
              <w:t>Period</w:t>
            </w:r>
          </w:p>
        </w:tc>
        <w:tc>
          <w:tcPr>
            <w:tcW w:type="dxa" w:w="2448"/>
            <w:shd w:fill="18354A"/>
            <w:tcMar>
              <w:top w:w="80" w:type="dxa"/>
              <w:start w:w="90" w:type="dxa"/>
              <w:bottom w:w="80" w:type="dxa"/>
              <w:end w:w="90" w:type="dxa"/>
            </w:tcMar>
            <w:vAlign w:val="center"/>
          </w:tcPr>
          <w:p>
            <w:pPr>
              <w:spacing w:after="0"/>
              <w:jc w:val="center"/>
            </w:pPr>
            <w:r>
              <w:rPr>
                <w:rFonts w:ascii="Arial" w:hAnsi="Arial"/>
                <w:b/>
                <w:color w:val="FFFFFF"/>
                <w:sz w:val="16"/>
              </w:rPr>
              <w:t>Full-time clerks on duty</w:t>
            </w:r>
          </w:p>
        </w:tc>
        <w:tc>
          <w:tcPr>
            <w:tcW w:type="dxa" w:w="1944"/>
            <w:shd w:fill="18354A"/>
            <w:tcMar>
              <w:top w:w="80" w:type="dxa"/>
              <w:start w:w="90" w:type="dxa"/>
              <w:bottom w:w="80" w:type="dxa"/>
              <w:end w:w="90" w:type="dxa"/>
            </w:tcMar>
            <w:vAlign w:val="center"/>
          </w:tcPr>
          <w:p>
            <w:pPr>
              <w:spacing w:after="0"/>
              <w:jc w:val="center"/>
            </w:pPr>
            <w:r>
              <w:rPr>
                <w:rFonts w:ascii="Arial" w:hAnsi="Arial"/>
                <w:b/>
                <w:color w:val="FFFFFF"/>
                <w:sz w:val="16"/>
              </w:rPr>
              <w:t>Part-time variable</w:t>
            </w:r>
          </w:p>
        </w:tc>
        <w:tc>
          <w:tcPr>
            <w:tcW w:type="dxa" w:w="1800"/>
            <w:shd w:fill="18354A"/>
            <w:tcMar>
              <w:top w:w="80" w:type="dxa"/>
              <w:start w:w="90" w:type="dxa"/>
              <w:bottom w:w="80" w:type="dxa"/>
              <w:end w:w="90" w:type="dxa"/>
            </w:tcMar>
            <w:vAlign w:val="center"/>
          </w:tcPr>
          <w:p>
            <w:pPr>
              <w:spacing w:after="0"/>
              <w:jc w:val="center"/>
            </w:pPr>
            <w:r>
              <w:rPr>
                <w:rFonts w:ascii="Arial" w:hAnsi="Arial"/>
                <w:b/>
                <w:color w:val="FFFFFF"/>
                <w:sz w:val="16"/>
              </w:rPr>
              <w:t>Minimum staff</w:t>
            </w:r>
          </w:p>
        </w:tc>
      </w:tr>
      <w:tr>
        <w:tc>
          <w:tcPr>
            <w:tcW w:type="dxa" w:w="2232"/>
            <w:tcMar>
              <w:top w:w="80" w:type="dxa"/>
              <w:start w:w="90" w:type="dxa"/>
              <w:bottom w:w="80" w:type="dxa"/>
              <w:end w:w="90" w:type="dxa"/>
            </w:tcMar>
          </w:tcPr>
          <w:p>
            <w:pPr>
              <w:spacing w:after="0"/>
              <w:jc w:val="left"/>
            </w:pPr>
            <w:r>
              <w:rPr>
                <w:rFonts w:ascii="Arial" w:hAnsi="Arial"/>
                <w:sz w:val="16"/>
              </w:rPr>
              <w:t>8 A.M. to noon</w:t>
            </w:r>
          </w:p>
        </w:tc>
        <w:tc>
          <w:tcPr>
            <w:tcW w:type="dxa" w:w="2448"/>
            <w:tcMar>
              <w:top w:w="80" w:type="dxa"/>
              <w:start w:w="90" w:type="dxa"/>
              <w:bottom w:w="80" w:type="dxa"/>
              <w:end w:w="90" w:type="dxa"/>
            </w:tcMar>
          </w:tcPr>
          <w:p>
            <w:pPr>
              <w:spacing w:after="0"/>
              <w:jc w:val="center"/>
            </w:pPr>
            <w:r>
              <w:rPr>
                <w:rFonts w:ascii="Arial" w:hAnsi="Arial"/>
                <w:sz w:val="16"/>
              </w:rPr>
              <w:t>M</w:t>
            </w:r>
          </w:p>
        </w:tc>
        <w:tc>
          <w:tcPr>
            <w:tcW w:type="dxa" w:w="1944"/>
            <w:tcMar>
              <w:top w:w="80" w:type="dxa"/>
              <w:start w:w="90" w:type="dxa"/>
              <w:bottom w:w="80" w:type="dxa"/>
              <w:end w:w="90" w:type="dxa"/>
            </w:tcMar>
          </w:tcPr>
          <w:p>
            <w:pPr>
              <w:spacing w:after="0"/>
              <w:jc w:val="center"/>
            </w:pPr>
            <w:r>
              <w:rPr>
                <w:rFonts w:ascii="Arial" w:hAnsi="Arial"/>
                <w:sz w:val="16"/>
              </w:rPr>
              <w:t>P1</w:t>
            </w:r>
          </w:p>
        </w:tc>
        <w:tc>
          <w:tcPr>
            <w:tcW w:type="dxa" w:w="1800"/>
            <w:tcMar>
              <w:top w:w="80" w:type="dxa"/>
              <w:start w:w="90" w:type="dxa"/>
              <w:bottom w:w="80" w:type="dxa"/>
              <w:end w:w="90" w:type="dxa"/>
            </w:tcMar>
          </w:tcPr>
          <w:p>
            <w:pPr>
              <w:spacing w:after="0"/>
              <w:jc w:val="center"/>
            </w:pPr>
            <w:r>
              <w:rPr>
                <w:rFonts w:ascii="Arial" w:hAnsi="Arial"/>
                <w:sz w:val="16"/>
              </w:rPr>
              <w:t>4</w:t>
            </w:r>
          </w:p>
        </w:tc>
      </w:tr>
      <w:tr>
        <w:tc>
          <w:tcPr>
            <w:tcW w:type="dxa" w:w="2232"/>
            <w:tcMar>
              <w:top w:w="80" w:type="dxa"/>
              <w:start w:w="90" w:type="dxa"/>
              <w:bottom w:w="80" w:type="dxa"/>
              <w:end w:w="90" w:type="dxa"/>
            </w:tcMar>
            <w:shd w:fill="F3F5F6"/>
          </w:tcPr>
          <w:p>
            <w:pPr>
              <w:spacing w:after="0"/>
              <w:jc w:val="left"/>
            </w:pPr>
            <w:r>
              <w:rPr>
                <w:rFonts w:ascii="Arial" w:hAnsi="Arial"/>
                <w:sz w:val="16"/>
              </w:rPr>
              <w:t>Noon to 4 P.M.</w:t>
            </w:r>
          </w:p>
        </w:tc>
        <w:tc>
          <w:tcPr>
            <w:tcW w:type="dxa" w:w="2448"/>
            <w:tcMar>
              <w:top w:w="80" w:type="dxa"/>
              <w:start w:w="90" w:type="dxa"/>
              <w:bottom w:w="80" w:type="dxa"/>
              <w:end w:w="90" w:type="dxa"/>
            </w:tcMar>
            <w:shd w:fill="F3F5F6"/>
          </w:tcPr>
          <w:p>
            <w:pPr>
              <w:spacing w:after="0"/>
              <w:jc w:val="center"/>
            </w:pPr>
            <w:r>
              <w:rPr>
                <w:rFonts w:ascii="Arial" w:hAnsi="Arial"/>
                <w:sz w:val="16"/>
              </w:rPr>
              <w:t>M + A</w:t>
            </w:r>
          </w:p>
        </w:tc>
        <w:tc>
          <w:tcPr>
            <w:tcW w:type="dxa" w:w="1944"/>
            <w:tcMar>
              <w:top w:w="80" w:type="dxa"/>
              <w:start w:w="90" w:type="dxa"/>
              <w:bottom w:w="80" w:type="dxa"/>
              <w:end w:w="90" w:type="dxa"/>
            </w:tcMar>
            <w:shd w:fill="F3F5F6"/>
          </w:tcPr>
          <w:p>
            <w:pPr>
              <w:spacing w:after="0"/>
              <w:jc w:val="center"/>
            </w:pPr>
            <w:r>
              <w:rPr>
                <w:rFonts w:ascii="Arial" w:hAnsi="Arial"/>
                <w:sz w:val="16"/>
              </w:rPr>
              <w:t>P2</w:t>
            </w:r>
          </w:p>
        </w:tc>
        <w:tc>
          <w:tcPr>
            <w:tcW w:type="dxa" w:w="1800"/>
            <w:tcMar>
              <w:top w:w="80" w:type="dxa"/>
              <w:start w:w="90" w:type="dxa"/>
              <w:bottom w:w="80" w:type="dxa"/>
              <w:end w:w="90" w:type="dxa"/>
            </w:tcMar>
            <w:shd w:fill="F3F5F6"/>
          </w:tcPr>
          <w:p>
            <w:pPr>
              <w:spacing w:after="0"/>
              <w:jc w:val="center"/>
            </w:pPr>
            <w:r>
              <w:rPr>
                <w:rFonts w:ascii="Arial" w:hAnsi="Arial"/>
                <w:sz w:val="16"/>
              </w:rPr>
              <w:t>8</w:t>
            </w:r>
          </w:p>
        </w:tc>
      </w:tr>
      <w:tr>
        <w:tc>
          <w:tcPr>
            <w:tcW w:type="dxa" w:w="2232"/>
            <w:tcMar>
              <w:top w:w="80" w:type="dxa"/>
              <w:start w:w="90" w:type="dxa"/>
              <w:bottom w:w="80" w:type="dxa"/>
              <w:end w:w="90" w:type="dxa"/>
            </w:tcMar>
          </w:tcPr>
          <w:p>
            <w:pPr>
              <w:spacing w:after="0"/>
              <w:jc w:val="left"/>
            </w:pPr>
            <w:r>
              <w:rPr>
                <w:rFonts w:ascii="Arial" w:hAnsi="Arial"/>
                <w:sz w:val="16"/>
              </w:rPr>
              <w:t>4 P.M. to 8 P.M.</w:t>
            </w:r>
          </w:p>
        </w:tc>
        <w:tc>
          <w:tcPr>
            <w:tcW w:type="dxa" w:w="2448"/>
            <w:tcMar>
              <w:top w:w="80" w:type="dxa"/>
              <w:start w:w="90" w:type="dxa"/>
              <w:bottom w:w="80" w:type="dxa"/>
              <w:end w:w="90" w:type="dxa"/>
            </w:tcMar>
          </w:tcPr>
          <w:p>
            <w:pPr>
              <w:spacing w:after="0"/>
              <w:jc w:val="center"/>
            </w:pPr>
            <w:r>
              <w:rPr>
                <w:rFonts w:ascii="Arial" w:hAnsi="Arial"/>
                <w:sz w:val="16"/>
              </w:rPr>
              <w:t>A + E</w:t>
            </w:r>
          </w:p>
        </w:tc>
        <w:tc>
          <w:tcPr>
            <w:tcW w:type="dxa" w:w="1944"/>
            <w:tcMar>
              <w:top w:w="80" w:type="dxa"/>
              <w:start w:w="90" w:type="dxa"/>
              <w:bottom w:w="80" w:type="dxa"/>
              <w:end w:w="90" w:type="dxa"/>
            </w:tcMar>
          </w:tcPr>
          <w:p>
            <w:pPr>
              <w:spacing w:after="0"/>
              <w:jc w:val="center"/>
            </w:pPr>
            <w:r>
              <w:rPr>
                <w:rFonts w:ascii="Arial" w:hAnsi="Arial"/>
                <w:sz w:val="16"/>
              </w:rPr>
              <w:t>P3</w:t>
            </w:r>
          </w:p>
        </w:tc>
        <w:tc>
          <w:tcPr>
            <w:tcW w:type="dxa" w:w="1800"/>
            <w:tcMar>
              <w:top w:w="80" w:type="dxa"/>
              <w:start w:w="90" w:type="dxa"/>
              <w:bottom w:w="80" w:type="dxa"/>
              <w:end w:w="90" w:type="dxa"/>
            </w:tcMar>
          </w:tcPr>
          <w:p>
            <w:pPr>
              <w:spacing w:after="0"/>
              <w:jc w:val="center"/>
            </w:pPr>
            <w:r>
              <w:rPr>
                <w:rFonts w:ascii="Arial" w:hAnsi="Arial"/>
                <w:sz w:val="16"/>
              </w:rPr>
              <w:t>10</w:t>
            </w:r>
          </w:p>
        </w:tc>
      </w:tr>
      <w:tr>
        <w:tc>
          <w:tcPr>
            <w:tcW w:type="dxa" w:w="2232"/>
            <w:tcMar>
              <w:top w:w="80" w:type="dxa"/>
              <w:start w:w="90" w:type="dxa"/>
              <w:bottom w:w="80" w:type="dxa"/>
              <w:end w:w="90" w:type="dxa"/>
            </w:tcMar>
            <w:shd w:fill="F3F5F6"/>
          </w:tcPr>
          <w:p>
            <w:pPr>
              <w:spacing w:after="0"/>
              <w:jc w:val="left"/>
            </w:pPr>
            <w:r>
              <w:rPr>
                <w:rFonts w:ascii="Arial" w:hAnsi="Arial"/>
                <w:sz w:val="16"/>
              </w:rPr>
              <w:t>8 P.M. to midnight</w:t>
            </w:r>
          </w:p>
        </w:tc>
        <w:tc>
          <w:tcPr>
            <w:tcW w:type="dxa" w:w="2448"/>
            <w:tcMar>
              <w:top w:w="80" w:type="dxa"/>
              <w:start w:w="90" w:type="dxa"/>
              <w:bottom w:w="80" w:type="dxa"/>
              <w:end w:w="90" w:type="dxa"/>
            </w:tcMar>
            <w:shd w:fill="F3F5F6"/>
          </w:tcPr>
          <w:p>
            <w:pPr>
              <w:spacing w:after="0"/>
              <w:jc w:val="center"/>
            </w:pPr>
            <w:r>
              <w:rPr>
                <w:rFonts w:ascii="Arial" w:hAnsi="Arial"/>
                <w:sz w:val="16"/>
              </w:rPr>
              <w:t>E</w:t>
            </w:r>
          </w:p>
        </w:tc>
        <w:tc>
          <w:tcPr>
            <w:tcW w:type="dxa" w:w="1944"/>
            <w:tcMar>
              <w:top w:w="80" w:type="dxa"/>
              <w:start w:w="90" w:type="dxa"/>
              <w:bottom w:w="80" w:type="dxa"/>
              <w:end w:w="90" w:type="dxa"/>
            </w:tcMar>
            <w:shd w:fill="F3F5F6"/>
          </w:tcPr>
          <w:p>
            <w:pPr>
              <w:spacing w:after="0"/>
              <w:jc w:val="center"/>
            </w:pPr>
            <w:r>
              <w:rPr>
                <w:rFonts w:ascii="Arial" w:hAnsi="Arial"/>
                <w:sz w:val="16"/>
              </w:rPr>
              <w:t>P4</w:t>
            </w:r>
          </w:p>
        </w:tc>
        <w:tc>
          <w:tcPr>
            <w:tcW w:type="dxa" w:w="1800"/>
            <w:tcMar>
              <w:top w:w="80" w:type="dxa"/>
              <w:start w:w="90" w:type="dxa"/>
              <w:bottom w:w="80" w:type="dxa"/>
              <w:end w:w="90" w:type="dxa"/>
            </w:tcMar>
            <w:shd w:fill="F3F5F6"/>
          </w:tcPr>
          <w:p>
            <w:pPr>
              <w:spacing w:after="0"/>
              <w:jc w:val="center"/>
            </w:pPr>
            <w:r>
              <w:rPr>
                <w:rFonts w:ascii="Arial" w:hAnsi="Arial"/>
                <w:sz w:val="16"/>
              </w:rPr>
              <w:t>6</w:t>
            </w:r>
          </w:p>
        </w:tc>
      </w:tr>
    </w:tbl>
    <w:p>
      <w:pPr>
        <w:spacing w:after="0"/>
      </w:pPr>
    </w:p>
    <w:p>
      <w:r>
        <w:rPr>
          <w:i w:val="0"/>
        </w:rPr>
        <w:t>An eight-hour full-time shift costs $320 and a four-hour part-time shift costs $120. The objective is:</w:t>
      </w:r>
    </w:p>
    <w:p>
      <w:pPr>
        <w:spacing w:before="40" w:after="100"/>
        <w:jc w:val="center"/>
      </w:pPr>
      <w:r>
        <w:drawing>
          <wp:inline xmlns:a="http://schemas.openxmlformats.org/drawingml/2006/main" xmlns:pic="http://schemas.openxmlformats.org/drawingml/2006/picture">
            <wp:extent cx="4791465" cy="338329"/>
            <wp:docPr id="18" name="Picture 18"/>
            <wp:cNvGraphicFramePr>
              <a:graphicFrameLocks noChangeAspect="1"/>
            </wp:cNvGraphicFramePr>
            <a:graphic>
              <a:graphicData uri="http://schemas.openxmlformats.org/drawingml/2006/picture">
                <pic:pic>
                  <pic:nvPicPr>
                    <pic:cNvPr id="0" name="q4_objective.png"/>
                    <pic:cNvPicPr/>
                  </pic:nvPicPr>
                  <pic:blipFill>
                    <a:blip r:embed="rId26"/>
                    <a:stretch>
                      <a:fillRect/>
                    </a:stretch>
                  </pic:blipFill>
                  <pic:spPr>
                    <a:xfrm>
                      <a:off x="0" y="0"/>
                      <a:ext cx="4791465" cy="338329"/>
                    </a:xfrm>
                    <a:prstGeom prst="rect"/>
                  </pic:spPr>
                </pic:pic>
              </a:graphicData>
            </a:graphic>
          </wp:inline>
        </w:drawing>
      </w:r>
    </w:p>
    <w:p>
      <w:r>
        <w:rPr>
          <w:i w:val="0"/>
        </w:rPr>
        <w:t>The minimum coverage requirements are:</w:t>
      </w:r>
    </w:p>
    <w:p>
      <w:pPr>
        <w:spacing w:before="40" w:after="100"/>
        <w:jc w:val="center"/>
      </w:pPr>
      <w:r>
        <w:drawing>
          <wp:inline xmlns:a="http://schemas.openxmlformats.org/drawingml/2006/main" xmlns:pic="http://schemas.openxmlformats.org/drawingml/2006/picture">
            <wp:extent cx="3297942" cy="719329"/>
            <wp:docPr id="19" name="Picture 19"/>
            <wp:cNvGraphicFramePr>
              <a:graphicFrameLocks noChangeAspect="1"/>
            </wp:cNvGraphicFramePr>
            <a:graphic>
              <a:graphicData uri="http://schemas.openxmlformats.org/drawingml/2006/picture">
                <pic:pic>
                  <pic:nvPicPr>
                    <pic:cNvPr id="0" name="q4_coverage.png"/>
                    <pic:cNvPicPr/>
                  </pic:nvPicPr>
                  <pic:blipFill>
                    <a:blip r:embed="rId27"/>
                    <a:stretch>
                      <a:fillRect/>
                    </a:stretch>
                  </pic:blipFill>
                  <pic:spPr>
                    <a:xfrm>
                      <a:off x="0" y="0"/>
                      <a:ext cx="3297942" cy="719329"/>
                    </a:xfrm>
                    <a:prstGeom prst="rect"/>
                  </pic:spPr>
                </pic:pic>
              </a:graphicData>
            </a:graphic>
          </wp:inline>
        </w:drawing>
      </w:r>
    </w:p>
    <w:p>
      <w:r>
        <w:rPr>
          <w:i w:val="0"/>
        </w:rPr>
        <w:t>The full-time staffing requirement in each period is:</w:t>
      </w:r>
    </w:p>
    <w:p>
      <w:pPr>
        <w:spacing w:before="40" w:after="100"/>
        <w:jc w:val="center"/>
      </w:pPr>
      <w:r>
        <w:drawing>
          <wp:inline xmlns:a="http://schemas.openxmlformats.org/drawingml/2006/main" xmlns:pic="http://schemas.openxmlformats.org/drawingml/2006/picture">
            <wp:extent cx="2481076" cy="719329"/>
            <wp:docPr id="20" name="Picture 20"/>
            <wp:cNvGraphicFramePr>
              <a:graphicFrameLocks noChangeAspect="1"/>
            </wp:cNvGraphicFramePr>
            <a:graphic>
              <a:graphicData uri="http://schemas.openxmlformats.org/drawingml/2006/picture">
                <pic:pic>
                  <pic:nvPicPr>
                    <pic:cNvPr id="0" name="q4_mix.png"/>
                    <pic:cNvPicPr/>
                  </pic:nvPicPr>
                  <pic:blipFill>
                    <a:blip r:embed="rId28"/>
                    <a:stretch>
                      <a:fillRect/>
                    </a:stretch>
                  </pic:blipFill>
                  <pic:spPr>
                    <a:xfrm>
                      <a:off x="0" y="0"/>
                      <a:ext cx="2481076" cy="719329"/>
                    </a:xfrm>
                    <a:prstGeom prst="rect"/>
                  </pic:spPr>
                </pic:pic>
              </a:graphicData>
            </a:graphic>
          </wp:inline>
        </w:drawing>
      </w:r>
    </w:p>
    <w:p>
      <w:pPr>
        <w:spacing w:before="40" w:after="100"/>
        <w:jc w:val="center"/>
      </w:pPr>
      <w:r>
        <w:drawing>
          <wp:inline xmlns:a="http://schemas.openxmlformats.org/drawingml/2006/main" xmlns:pic="http://schemas.openxmlformats.org/drawingml/2006/picture">
            <wp:extent cx="2630429" cy="335281"/>
            <wp:docPr id="21" name="Picture 21"/>
            <wp:cNvGraphicFramePr>
              <a:graphicFrameLocks noChangeAspect="1"/>
            </wp:cNvGraphicFramePr>
            <a:graphic>
              <a:graphicData uri="http://schemas.openxmlformats.org/drawingml/2006/picture">
                <pic:pic>
                  <pic:nvPicPr>
                    <pic:cNvPr id="0" name="q4_nonnegative.png"/>
                    <pic:cNvPicPr/>
                  </pic:nvPicPr>
                  <pic:blipFill>
                    <a:blip r:embed="rId29"/>
                    <a:stretch>
                      <a:fillRect/>
                    </a:stretch>
                  </pic:blipFill>
                  <pic:spPr>
                    <a:xfrm>
                      <a:off x="0" y="0"/>
                      <a:ext cx="2630429" cy="335281"/>
                    </a:xfrm>
                    <a:prstGeom prst="rect"/>
                  </pic:spPr>
                </pic:pic>
              </a:graphicData>
            </a:graphic>
          </wp:inline>
        </w:drawing>
      </w:r>
    </w:p>
    <w:p>
      <w:r>
        <w:rPr>
          <w:b/>
        </w:rPr>
        <w:t xml:space="preserve">LP status: </w:t>
      </w:r>
      <w:r>
        <w:t>The objective, coverage constraints, staffing-mix constraints, and nonnegativity restrictions are all linear. Integer restrictions have been omitted as instructed.</w:t>
      </w:r>
    </w:p>
    <w:p>
      <w:r>
        <w:rPr>
          <w:i w:val="0"/>
        </w:rPr>
        <w:t>In the vocabulary of Lecture 2 this is the covering counterpart of the Wyndor allocation model: a linear cost is minimized subject to rows that must be met from below rather than capacities that must not be exceeded.</w:t>
      </w:r>
    </w:p>
    <w:p>
      <w:pPr>
        <w:spacing w:before="40" w:after="100"/>
        <w:jc w:val="center"/>
      </w:pPr>
      <w:r>
        <w:drawing>
          <wp:inline xmlns:a="http://schemas.openxmlformats.org/drawingml/2006/main" xmlns:pic="http://schemas.openxmlformats.org/drawingml/2006/picture">
            <wp:extent cx="4218440" cy="737617"/>
            <wp:docPr id="22" name="Picture 22"/>
            <wp:cNvGraphicFramePr>
              <a:graphicFrameLocks noChangeAspect="1"/>
            </wp:cNvGraphicFramePr>
            <a:graphic>
              <a:graphicData uri="http://schemas.openxmlformats.org/drawingml/2006/picture">
                <pic:pic>
                  <pic:nvPicPr>
                    <pic:cNvPr id="0" name="q4_covering.png"/>
                    <pic:cNvPicPr/>
                  </pic:nvPicPr>
                  <pic:blipFill>
                    <a:blip r:embed="rId30"/>
                    <a:stretch>
                      <a:fillRect/>
                    </a:stretch>
                  </pic:blipFill>
                  <pic:spPr>
                    <a:xfrm>
                      <a:off x="0" y="0"/>
                      <a:ext cx="4218440" cy="737617"/>
                    </a:xfrm>
                    <a:prstGeom prst="rect"/>
                  </pic:spPr>
                </pic:pic>
              </a:graphicData>
            </a:graphic>
          </wp:inline>
        </w:drawing>
      </w:r>
    </w:p>
    <w:p>
      <w:r>
        <w:rPr>
          <w:i w:val="0"/>
        </w:rPr>
        <w:t>Reduction to standard form subtracts one nonnegative surplus variable from each of the eight inequality rows, the four coverage requirements and the four staffing-mix requirements, after moving the part-time terms of the latter to the left. The result has fifteen nonnegative variables and eight equality constraints, so a basic feasible solution has eight basic variables and the remaining seven set to zero. By the extreme-point result of Lecture 3 the search for an optimal schedule can be confined to such points.</w:t>
      </w:r>
    </w:p>
    <w:p>
      <w:pPr>
        <w:pStyle w:val="Heading1"/>
      </w:pPr>
      <w:r>
        <w:t>5. Absolute-Value Reformulation</w:t>
      </w:r>
    </w:p>
    <w:p>
      <w:r>
        <w:rPr>
          <w:i w:val="0"/>
        </w:rPr>
        <w:t>Both the objective and the constraint contain absolute values, and Lecture 2 removes them by lifting: each absolute value is replaced by a new variable bounded below by the expression and by its negative, so that the enlarged model is linear and its projection onto the original variables reproduces the original problem. Introducing t, u, and v for the three absolute values and leaving the original decision variables free in sign gives:</w:t>
      </w:r>
    </w:p>
    <w:p>
      <w:pPr>
        <w:spacing w:before="40" w:after="100"/>
        <w:jc w:val="center"/>
      </w:pPr>
      <w:r>
        <w:drawing>
          <wp:inline xmlns:a="http://schemas.openxmlformats.org/drawingml/2006/main" xmlns:pic="http://schemas.openxmlformats.org/drawingml/2006/picture">
            <wp:extent cx="3319278" cy="1856234"/>
            <wp:docPr id="23" name="Picture 23"/>
            <wp:cNvGraphicFramePr>
              <a:graphicFrameLocks noChangeAspect="1"/>
            </wp:cNvGraphicFramePr>
            <a:graphic>
              <a:graphicData uri="http://schemas.openxmlformats.org/drawingml/2006/picture">
                <pic:pic>
                  <pic:nvPicPr>
                    <pic:cNvPr id="0" name="q5_lp.png"/>
                    <pic:cNvPicPr/>
                  </pic:nvPicPr>
                  <pic:blipFill>
                    <a:blip r:embed="rId31"/>
                    <a:stretch>
                      <a:fillRect/>
                    </a:stretch>
                  </pic:blipFill>
                  <pic:spPr>
                    <a:xfrm>
                      <a:off x="0" y="0"/>
                      <a:ext cx="3319278" cy="1856234"/>
                    </a:xfrm>
                    <a:prstGeom prst="rect"/>
                  </pic:spPr>
                </pic:pic>
              </a:graphicData>
            </a:graphic>
          </wp:inline>
        </w:drawing>
      </w:r>
    </w:p>
    <w:p>
      <w:r>
        <w:rPr>
          <w:i w:val="0"/>
        </w:rPr>
        <w:t>The two lifting patterns are exactly the ones derived in the lecture, and each is exact for its own reason. In the objective the coefficient of t is 3, which is nonnegative, so minimization drives t down until it meets the larger of the two lower bounds and t equals the absolute value at any optimum. In the constraint, u and v appear nowhere else and only through their sum, so any feasible point of the original problem lifts by setting u and v to the two absolute values, while any feasible point of the lifted model projects back because the sum of the absolute values is at most u plus v, which is at most five. The declared nonnegativity of t, u, and v is implied by their pairs of inequalities and is stated only for clarity.</w:t>
      </w:r>
    </w:p>
    <w:p>
      <w:r>
        <w:rPr>
          <w:i w:val="0"/>
        </w:rPr>
        <w:t>The model above is a linear program but not yet in standard form. Following Lecture 2, each free variable is split into a difference of two nonnegative variables and each inequality absorbs a slack or surplus variable:</w:t>
      </w:r>
    </w:p>
    <w:p>
      <w:pPr>
        <w:spacing w:before="40" w:after="40"/>
        <w:jc w:val="center"/>
      </w:pPr>
      <w:r>
        <w:drawing>
          <wp:inline xmlns:a="http://schemas.openxmlformats.org/drawingml/2006/main" xmlns:pic="http://schemas.openxmlformats.org/drawingml/2006/picture">
            <wp:extent cx="5623560" cy="663684"/>
            <wp:docPr id="24" name="Picture 24"/>
            <wp:cNvGraphicFramePr>
              <a:graphicFrameLocks noChangeAspect="1"/>
            </wp:cNvGraphicFramePr>
            <a:graphic>
              <a:graphicData uri="http://schemas.openxmlformats.org/drawingml/2006/picture">
                <pic:pic>
                  <pic:nvPicPr>
                    <pic:cNvPr id="0" name="q5_standard.png"/>
                    <pic:cNvPicPr/>
                  </pic:nvPicPr>
                  <pic:blipFill>
                    <a:blip r:embed="rId32"/>
                    <a:stretch>
                      <a:fillRect/>
                    </a:stretch>
                  </pic:blipFill>
                  <pic:spPr>
                    <a:xfrm>
                      <a:off x="0" y="0"/>
                      <a:ext cx="5623560" cy="663684"/>
                    </a:xfrm>
                    <a:prstGeom prst="rect"/>
                  </pic:spPr>
                </pic:pic>
              </a:graphicData>
            </a:graphic>
          </wp:inline>
        </w:drawing>
      </w:r>
    </w:p>
    <w:p>
      <w:pPr>
        <w:pStyle w:val="FormulaCaption"/>
        <w:keepNext w:val="0"/>
      </w:pPr>
      <w:r>
        <w:t>Standard form: 7 equality constraints in 14 nonnegative variables</w:t>
      </w:r>
    </w:p>
    <w:p>
      <w:pPr>
        <w:pStyle w:val="Heading1"/>
      </w:pPr>
      <w:r>
        <w:t>6. Investment under Taxation</w:t>
      </w:r>
    </w:p>
    <w:p>
      <w:pPr>
        <w:pStyle w:val="Heading2"/>
      </w:pPr>
      <w:r>
        <w:t>6(a) Linear programming formulation</w:t>
      </w:r>
    </w:p>
    <w:p>
      <w:r>
        <w:rPr>
          <w:i w:val="0"/>
        </w:rPr>
        <w:t>Let the sale variable denote the number of shares of stock i sold now. The net cash coefficient deducts the one percent transaction cost from current proceeds and deducts tax only from a positive capital gain. Since all price data are known, this coefficient is a constant.</w:t>
      </w:r>
    </w:p>
    <w:p>
      <w:pPr>
        <w:spacing w:before="40" w:after="100"/>
        <w:jc w:val="center"/>
      </w:pPr>
      <w:r>
        <w:drawing>
          <wp:inline xmlns:a="http://schemas.openxmlformats.org/drawingml/2006/main" xmlns:pic="http://schemas.openxmlformats.org/drawingml/2006/picture">
            <wp:extent cx="4788417" cy="722377"/>
            <wp:docPr id="25" name="Picture 25"/>
            <wp:cNvGraphicFramePr>
              <a:graphicFrameLocks noChangeAspect="1"/>
            </wp:cNvGraphicFramePr>
            <a:graphic>
              <a:graphicData uri="http://schemas.openxmlformats.org/drawingml/2006/picture">
                <pic:pic>
                  <pic:nvPicPr>
                    <pic:cNvPr id="0" name="q6_net.png"/>
                    <pic:cNvPicPr/>
                  </pic:nvPicPr>
                  <pic:blipFill>
                    <a:blip r:embed="rId33"/>
                    <a:stretch>
                      <a:fillRect/>
                    </a:stretch>
                  </pic:blipFill>
                  <pic:spPr>
                    <a:xfrm>
                      <a:off x="0" y="0"/>
                      <a:ext cx="4788417" cy="722377"/>
                    </a:xfrm>
                    <a:prstGeom prst="rect"/>
                  </pic:spPr>
                </pic:pic>
              </a:graphicData>
            </a:graphic>
          </wp:inline>
        </w:drawing>
      </w:r>
    </w:p>
    <w:p>
      <w:r>
        <w:rPr>
          <w:i w:val="0"/>
        </w:rPr>
        <w:t>The investor's problem is the following continuous linear program:</w:t>
      </w:r>
    </w:p>
    <w:p>
      <w:pPr>
        <w:spacing w:before="40" w:after="100"/>
        <w:jc w:val="center"/>
      </w:pPr>
      <w:r>
        <w:drawing>
          <wp:inline xmlns:a="http://schemas.openxmlformats.org/drawingml/2006/main" xmlns:pic="http://schemas.openxmlformats.org/drawingml/2006/picture">
            <wp:extent cx="4742697" cy="1057658"/>
            <wp:docPr id="26" name="Picture 26"/>
            <wp:cNvGraphicFramePr>
              <a:graphicFrameLocks noChangeAspect="1"/>
            </wp:cNvGraphicFramePr>
            <a:graphic>
              <a:graphicData uri="http://schemas.openxmlformats.org/drawingml/2006/picture">
                <pic:pic>
                  <pic:nvPicPr>
                    <pic:cNvPr id="0" name="q6_lp.png"/>
                    <pic:cNvPicPr/>
                  </pic:nvPicPr>
                  <pic:blipFill>
                    <a:blip r:embed="rId34"/>
                    <a:stretch>
                      <a:fillRect/>
                    </a:stretch>
                  </pic:blipFill>
                  <pic:spPr>
                    <a:xfrm>
                      <a:off x="0" y="0"/>
                      <a:ext cx="4742697" cy="1057658"/>
                    </a:xfrm>
                    <a:prstGeom prst="rect"/>
                  </pic:spPr>
                </pic:pic>
              </a:graphicData>
            </a:graphic>
          </wp:inline>
        </w:drawing>
      </w:r>
    </w:p>
    <w:p>
      <w:r>
        <w:rPr>
          <w:i w:val="0"/>
        </w:rPr>
        <w:t>The constant initial portfolio value may be removed from the objective, yielding the equivalent minimization of expected future value sold. The model treats shares as divisible, which is consistent with a linear programming formulation.</w:t>
      </w:r>
    </w:p>
    <w:p>
      <w:r>
        <w:rPr>
          <w:i w:val="0"/>
        </w:rPr>
        <w:t>Two of the four possible outcomes for a linear program can be ruled out before solving. Liquidating the entire portfolio would raise $19,158.00 in net cash, comfortably above the target, so the feasible set is nonempty. Every variable is confined to a bounded interval, so the feasible set is a bounded polyhedron and the objective cannot diverge. The program therefore has a finite optimum, and by the extreme-point result of Lecture 3 one of its optimal solutions is an extreme point.</w:t>
      </w:r>
    </w:p>
    <w:p>
      <w:pPr>
        <w:pStyle w:val="Heading2"/>
      </w:pPr>
      <w:r>
        <w:t>6(b) Numerical solution for K = $9,000</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792"/>
            <w:shd w:fill="18354A"/>
            <w:tcMar>
              <w:top w:w="80" w:type="dxa"/>
              <w:start w:w="90" w:type="dxa"/>
              <w:bottom w:w="80" w:type="dxa"/>
              <w:end w:w="90" w:type="dxa"/>
            </w:tcMar>
            <w:vAlign w:val="center"/>
          </w:tcPr>
          <w:p>
            <w:pPr>
              <w:spacing w:after="0"/>
              <w:jc w:val="center"/>
            </w:pPr>
            <w:r>
              <w:rPr>
                <w:rFonts w:ascii="Arial" w:hAnsi="Arial"/>
                <w:b/>
                <w:color w:val="FFFFFF"/>
                <w:sz w:val="15"/>
              </w:rPr>
              <w:t>Stock</w:t>
            </w:r>
          </w:p>
        </w:tc>
        <w:tc>
          <w:tcPr>
            <w:tcW w:type="dxa" w:w="1123"/>
            <w:shd w:fill="18354A"/>
            <w:tcMar>
              <w:top w:w="80" w:type="dxa"/>
              <w:start w:w="90" w:type="dxa"/>
              <w:bottom w:w="80" w:type="dxa"/>
              <w:end w:w="90" w:type="dxa"/>
            </w:tcMar>
            <w:vAlign w:val="center"/>
          </w:tcPr>
          <w:p>
            <w:pPr>
              <w:spacing w:after="0"/>
              <w:jc w:val="center"/>
            </w:pPr>
            <w:r>
              <w:rPr>
                <w:rFonts w:ascii="Arial" w:hAnsi="Arial"/>
                <w:b/>
                <w:color w:val="FFFFFF"/>
                <w:sz w:val="15"/>
              </w:rPr>
              <w:t>Buy price</w:t>
            </w:r>
          </w:p>
        </w:tc>
        <w:tc>
          <w:tcPr>
            <w:tcW w:type="dxa" w:w="1037"/>
            <w:shd w:fill="18354A"/>
            <w:tcMar>
              <w:top w:w="80" w:type="dxa"/>
              <w:start w:w="90" w:type="dxa"/>
              <w:bottom w:w="80" w:type="dxa"/>
              <w:end w:w="90" w:type="dxa"/>
            </w:tcMar>
            <w:vAlign w:val="center"/>
          </w:tcPr>
          <w:p>
            <w:pPr>
              <w:spacing w:after="0"/>
              <w:jc w:val="center"/>
            </w:pPr>
            <w:r>
              <w:rPr>
                <w:rFonts w:ascii="Arial" w:hAnsi="Arial"/>
                <w:b/>
                <w:color w:val="FFFFFF"/>
                <w:sz w:val="15"/>
              </w:rPr>
              <w:t>Shares</w:t>
            </w:r>
          </w:p>
        </w:tc>
        <w:tc>
          <w:tcPr>
            <w:tcW w:type="dxa" w:w="1123"/>
            <w:shd w:fill="18354A"/>
            <w:tcMar>
              <w:top w:w="80" w:type="dxa"/>
              <w:start w:w="90" w:type="dxa"/>
              <w:bottom w:w="80" w:type="dxa"/>
              <w:end w:w="90" w:type="dxa"/>
            </w:tcMar>
            <w:vAlign w:val="center"/>
          </w:tcPr>
          <w:p>
            <w:pPr>
              <w:spacing w:after="0"/>
              <w:jc w:val="center"/>
            </w:pPr>
            <w:r>
              <w:rPr>
                <w:rFonts w:ascii="Arial" w:hAnsi="Arial"/>
                <w:b/>
                <w:color w:val="FFFFFF"/>
                <w:sz w:val="15"/>
              </w:rPr>
              <w:t>Current</w:t>
            </w:r>
          </w:p>
        </w:tc>
        <w:tc>
          <w:tcPr>
            <w:tcW w:type="dxa" w:w="1123"/>
            <w:shd w:fill="18354A"/>
            <w:tcMar>
              <w:top w:w="80" w:type="dxa"/>
              <w:start w:w="90" w:type="dxa"/>
              <w:bottom w:w="80" w:type="dxa"/>
              <w:end w:w="90" w:type="dxa"/>
            </w:tcMar>
            <w:vAlign w:val="center"/>
          </w:tcPr>
          <w:p>
            <w:pPr>
              <w:spacing w:after="0"/>
              <w:jc w:val="center"/>
            </w:pPr>
            <w:r>
              <w:rPr>
                <w:rFonts w:ascii="Arial" w:hAnsi="Arial"/>
                <w:b/>
                <w:color w:val="FFFFFF"/>
                <w:sz w:val="15"/>
              </w:rPr>
              <w:t>Expected</w:t>
            </w:r>
          </w:p>
        </w:tc>
        <w:tc>
          <w:tcPr>
            <w:tcW w:type="dxa" w:w="1555"/>
            <w:shd w:fill="18354A"/>
            <w:tcMar>
              <w:top w:w="80" w:type="dxa"/>
              <w:start w:w="90" w:type="dxa"/>
              <w:bottom w:w="80" w:type="dxa"/>
              <w:end w:w="90" w:type="dxa"/>
            </w:tcMar>
            <w:vAlign w:val="center"/>
          </w:tcPr>
          <w:p>
            <w:pPr>
              <w:spacing w:after="0"/>
              <w:jc w:val="center"/>
            </w:pPr>
            <w:r>
              <w:rPr>
                <w:rFonts w:ascii="Arial" w:hAnsi="Arial"/>
                <w:b/>
                <w:color w:val="FFFFFF"/>
                <w:sz w:val="15"/>
              </w:rPr>
              <w:t>Net cash/share</w:t>
            </w:r>
          </w:p>
        </w:tc>
        <w:tc>
          <w:tcPr>
            <w:tcW w:type="dxa" w:w="1469"/>
            <w:shd w:fill="18354A"/>
            <w:tcMar>
              <w:top w:w="80" w:type="dxa"/>
              <w:start w:w="90" w:type="dxa"/>
              <w:bottom w:w="80" w:type="dxa"/>
              <w:end w:w="90" w:type="dxa"/>
            </w:tcMar>
            <w:vAlign w:val="center"/>
          </w:tcPr>
          <w:p>
            <w:pPr>
              <w:spacing w:after="0"/>
              <w:jc w:val="center"/>
            </w:pPr>
            <w:r>
              <w:rPr>
                <w:rFonts w:ascii="Arial" w:hAnsi="Arial"/>
                <w:b/>
                <w:color w:val="FFFFFF"/>
                <w:sz w:val="15"/>
              </w:rPr>
              <w:t>Future loss/$</w:t>
            </w:r>
          </w:p>
        </w:tc>
      </w:tr>
      <w:tr>
        <w:tc>
          <w:tcPr>
            <w:tcW w:type="dxa" w:w="792"/>
            <w:tcMar>
              <w:top w:w="80" w:type="dxa"/>
              <w:start w:w="90" w:type="dxa"/>
              <w:bottom w:w="80" w:type="dxa"/>
              <w:end w:w="90" w:type="dxa"/>
            </w:tcMar>
          </w:tcPr>
          <w:p>
            <w:pPr>
              <w:spacing w:after="0"/>
              <w:jc w:val="left"/>
            </w:pPr>
            <w:r>
              <w:rPr>
                <w:rFonts w:ascii="Arial" w:hAnsi="Arial"/>
                <w:sz w:val="15"/>
              </w:rPr>
              <w:t>S1</w:t>
            </w:r>
          </w:p>
        </w:tc>
        <w:tc>
          <w:tcPr>
            <w:tcW w:type="dxa" w:w="1123"/>
            <w:tcMar>
              <w:top w:w="80" w:type="dxa"/>
              <w:start w:w="90" w:type="dxa"/>
              <w:bottom w:w="80" w:type="dxa"/>
              <w:end w:w="90" w:type="dxa"/>
            </w:tcMar>
          </w:tcPr>
          <w:p>
            <w:pPr>
              <w:spacing w:after="0"/>
              <w:jc w:val="center"/>
            </w:pPr>
            <w:r>
              <w:rPr>
                <w:rFonts w:ascii="Arial" w:hAnsi="Arial"/>
                <w:sz w:val="15"/>
              </w:rPr>
              <w:t>$1.20</w:t>
            </w:r>
          </w:p>
        </w:tc>
        <w:tc>
          <w:tcPr>
            <w:tcW w:type="dxa" w:w="1037"/>
            <w:tcMar>
              <w:top w:w="80" w:type="dxa"/>
              <w:start w:w="90" w:type="dxa"/>
              <w:bottom w:w="80" w:type="dxa"/>
              <w:end w:w="90" w:type="dxa"/>
            </w:tcMar>
          </w:tcPr>
          <w:p>
            <w:pPr>
              <w:spacing w:after="0"/>
              <w:jc w:val="center"/>
            </w:pPr>
            <w:r>
              <w:rPr>
                <w:rFonts w:ascii="Arial" w:hAnsi="Arial"/>
                <w:sz w:val="15"/>
              </w:rPr>
              <w:t>1,000</w:t>
            </w:r>
          </w:p>
        </w:tc>
        <w:tc>
          <w:tcPr>
            <w:tcW w:type="dxa" w:w="1123"/>
            <w:tcMar>
              <w:top w:w="80" w:type="dxa"/>
              <w:start w:w="90" w:type="dxa"/>
              <w:bottom w:w="80" w:type="dxa"/>
              <w:end w:w="90" w:type="dxa"/>
            </w:tcMar>
          </w:tcPr>
          <w:p>
            <w:pPr>
              <w:spacing w:after="0"/>
              <w:jc w:val="center"/>
            </w:pPr>
            <w:r>
              <w:rPr>
                <w:rFonts w:ascii="Arial" w:hAnsi="Arial"/>
                <w:sz w:val="15"/>
              </w:rPr>
              <w:t>$2.10</w:t>
            </w:r>
          </w:p>
        </w:tc>
        <w:tc>
          <w:tcPr>
            <w:tcW w:type="dxa" w:w="1123"/>
            <w:tcMar>
              <w:top w:w="80" w:type="dxa"/>
              <w:start w:w="90" w:type="dxa"/>
              <w:bottom w:w="80" w:type="dxa"/>
              <w:end w:w="90" w:type="dxa"/>
            </w:tcMar>
          </w:tcPr>
          <w:p>
            <w:pPr>
              <w:spacing w:after="0"/>
              <w:jc w:val="center"/>
            </w:pPr>
            <w:r>
              <w:rPr>
                <w:rFonts w:ascii="Arial" w:hAnsi="Arial"/>
                <w:sz w:val="15"/>
              </w:rPr>
              <w:t>$2.00</w:t>
            </w:r>
          </w:p>
        </w:tc>
        <w:tc>
          <w:tcPr>
            <w:tcW w:type="dxa" w:w="1555"/>
            <w:tcMar>
              <w:top w:w="80" w:type="dxa"/>
              <w:start w:w="90" w:type="dxa"/>
              <w:bottom w:w="80" w:type="dxa"/>
              <w:end w:w="90" w:type="dxa"/>
            </w:tcMar>
          </w:tcPr>
          <w:p>
            <w:pPr>
              <w:spacing w:after="0"/>
              <w:jc w:val="center"/>
            </w:pPr>
            <w:r>
              <w:rPr>
                <w:rFonts w:ascii="Arial" w:hAnsi="Arial"/>
                <w:sz w:val="15"/>
              </w:rPr>
              <w:t>$1.809</w:t>
            </w:r>
          </w:p>
        </w:tc>
        <w:tc>
          <w:tcPr>
            <w:tcW w:type="dxa" w:w="1469"/>
            <w:tcMar>
              <w:top w:w="80" w:type="dxa"/>
              <w:start w:w="90" w:type="dxa"/>
              <w:bottom w:w="80" w:type="dxa"/>
              <w:end w:w="90" w:type="dxa"/>
            </w:tcMar>
          </w:tcPr>
          <w:p>
            <w:pPr>
              <w:spacing w:after="0"/>
              <w:jc w:val="center"/>
            </w:pPr>
            <w:r>
              <w:rPr>
                <w:rFonts w:ascii="Arial" w:hAnsi="Arial"/>
                <w:sz w:val="15"/>
              </w:rPr>
              <w:t>1.1056</w:t>
            </w:r>
          </w:p>
        </w:tc>
      </w:tr>
      <w:tr>
        <w:tc>
          <w:tcPr>
            <w:tcW w:type="dxa" w:w="792"/>
            <w:tcMar>
              <w:top w:w="80" w:type="dxa"/>
              <w:start w:w="90" w:type="dxa"/>
              <w:bottom w:w="80" w:type="dxa"/>
              <w:end w:w="90" w:type="dxa"/>
            </w:tcMar>
            <w:shd w:fill="F3F5F6"/>
          </w:tcPr>
          <w:p>
            <w:pPr>
              <w:spacing w:after="0"/>
              <w:jc w:val="left"/>
            </w:pPr>
            <w:r>
              <w:rPr>
                <w:rFonts w:ascii="Arial" w:hAnsi="Arial"/>
                <w:sz w:val="15"/>
              </w:rPr>
              <w:t>S2</w:t>
            </w:r>
          </w:p>
        </w:tc>
        <w:tc>
          <w:tcPr>
            <w:tcW w:type="dxa" w:w="1123"/>
            <w:tcMar>
              <w:top w:w="80" w:type="dxa"/>
              <w:start w:w="90" w:type="dxa"/>
              <w:bottom w:w="80" w:type="dxa"/>
              <w:end w:w="90" w:type="dxa"/>
            </w:tcMar>
            <w:shd w:fill="F3F5F6"/>
          </w:tcPr>
          <w:p>
            <w:pPr>
              <w:spacing w:after="0"/>
              <w:jc w:val="center"/>
            </w:pPr>
            <w:r>
              <w:rPr>
                <w:rFonts w:ascii="Arial" w:hAnsi="Arial"/>
                <w:sz w:val="15"/>
              </w:rPr>
              <w:t>$2.10</w:t>
            </w:r>
          </w:p>
        </w:tc>
        <w:tc>
          <w:tcPr>
            <w:tcW w:type="dxa" w:w="1037"/>
            <w:tcMar>
              <w:top w:w="80" w:type="dxa"/>
              <w:start w:w="90" w:type="dxa"/>
              <w:bottom w:w="80" w:type="dxa"/>
              <w:end w:w="90" w:type="dxa"/>
            </w:tcMar>
            <w:shd w:fill="F3F5F6"/>
          </w:tcPr>
          <w:p>
            <w:pPr>
              <w:spacing w:after="0"/>
              <w:jc w:val="center"/>
            </w:pPr>
            <w:r>
              <w:rPr>
                <w:rFonts w:ascii="Arial" w:hAnsi="Arial"/>
                <w:sz w:val="15"/>
              </w:rPr>
              <w:t>1,000</w:t>
            </w:r>
          </w:p>
        </w:tc>
        <w:tc>
          <w:tcPr>
            <w:tcW w:type="dxa" w:w="1123"/>
            <w:tcMar>
              <w:top w:w="80" w:type="dxa"/>
              <w:start w:w="90" w:type="dxa"/>
              <w:bottom w:w="80" w:type="dxa"/>
              <w:end w:w="90" w:type="dxa"/>
            </w:tcMar>
            <w:shd w:fill="F3F5F6"/>
          </w:tcPr>
          <w:p>
            <w:pPr>
              <w:spacing w:after="0"/>
              <w:jc w:val="center"/>
            </w:pPr>
            <w:r>
              <w:rPr>
                <w:rFonts w:ascii="Arial" w:hAnsi="Arial"/>
                <w:sz w:val="15"/>
              </w:rPr>
              <w:t>$3.20</w:t>
            </w:r>
          </w:p>
        </w:tc>
        <w:tc>
          <w:tcPr>
            <w:tcW w:type="dxa" w:w="1123"/>
            <w:tcMar>
              <w:top w:w="80" w:type="dxa"/>
              <w:start w:w="90" w:type="dxa"/>
              <w:bottom w:w="80" w:type="dxa"/>
              <w:end w:w="90" w:type="dxa"/>
            </w:tcMar>
            <w:shd w:fill="F3F5F6"/>
          </w:tcPr>
          <w:p>
            <w:pPr>
              <w:spacing w:after="0"/>
              <w:jc w:val="center"/>
            </w:pPr>
            <w:r>
              <w:rPr>
                <w:rFonts w:ascii="Arial" w:hAnsi="Arial"/>
                <w:sz w:val="15"/>
              </w:rPr>
              <w:t>$3.70</w:t>
            </w:r>
          </w:p>
        </w:tc>
        <w:tc>
          <w:tcPr>
            <w:tcW w:type="dxa" w:w="1555"/>
            <w:tcMar>
              <w:top w:w="80" w:type="dxa"/>
              <w:start w:w="90" w:type="dxa"/>
              <w:bottom w:w="80" w:type="dxa"/>
              <w:end w:w="90" w:type="dxa"/>
            </w:tcMar>
            <w:shd w:fill="F3F5F6"/>
          </w:tcPr>
          <w:p>
            <w:pPr>
              <w:spacing w:after="0"/>
              <w:jc w:val="center"/>
            </w:pPr>
            <w:r>
              <w:rPr>
                <w:rFonts w:ascii="Arial" w:hAnsi="Arial"/>
                <w:sz w:val="15"/>
              </w:rPr>
              <w:t>$2.838</w:t>
            </w:r>
          </w:p>
        </w:tc>
        <w:tc>
          <w:tcPr>
            <w:tcW w:type="dxa" w:w="1469"/>
            <w:tcMar>
              <w:top w:w="80" w:type="dxa"/>
              <w:start w:w="90" w:type="dxa"/>
              <w:bottom w:w="80" w:type="dxa"/>
              <w:end w:w="90" w:type="dxa"/>
            </w:tcMar>
            <w:shd w:fill="F3F5F6"/>
          </w:tcPr>
          <w:p>
            <w:pPr>
              <w:spacing w:after="0"/>
              <w:jc w:val="center"/>
            </w:pPr>
            <w:r>
              <w:rPr>
                <w:rFonts w:ascii="Arial" w:hAnsi="Arial"/>
                <w:sz w:val="15"/>
              </w:rPr>
              <w:t>1.3037</w:t>
            </w:r>
          </w:p>
        </w:tc>
      </w:tr>
      <w:tr>
        <w:tc>
          <w:tcPr>
            <w:tcW w:type="dxa" w:w="792"/>
            <w:tcMar>
              <w:top w:w="80" w:type="dxa"/>
              <w:start w:w="90" w:type="dxa"/>
              <w:bottom w:w="80" w:type="dxa"/>
              <w:end w:w="90" w:type="dxa"/>
            </w:tcMar>
          </w:tcPr>
          <w:p>
            <w:pPr>
              <w:spacing w:after="0"/>
              <w:jc w:val="left"/>
            </w:pPr>
            <w:r>
              <w:rPr>
                <w:rFonts w:ascii="Arial" w:hAnsi="Arial"/>
                <w:sz w:val="15"/>
              </w:rPr>
              <w:t>S3</w:t>
            </w:r>
          </w:p>
        </w:tc>
        <w:tc>
          <w:tcPr>
            <w:tcW w:type="dxa" w:w="1123"/>
            <w:tcMar>
              <w:top w:w="80" w:type="dxa"/>
              <w:start w:w="90" w:type="dxa"/>
              <w:bottom w:w="80" w:type="dxa"/>
              <w:end w:w="90" w:type="dxa"/>
            </w:tcMar>
          </w:tcPr>
          <w:p>
            <w:pPr>
              <w:spacing w:after="0"/>
              <w:jc w:val="center"/>
            </w:pPr>
            <w:r>
              <w:rPr>
                <w:rFonts w:ascii="Arial" w:hAnsi="Arial"/>
                <w:sz w:val="15"/>
              </w:rPr>
              <w:t>$3.20</w:t>
            </w:r>
          </w:p>
        </w:tc>
        <w:tc>
          <w:tcPr>
            <w:tcW w:type="dxa" w:w="1037"/>
            <w:tcMar>
              <w:top w:w="80" w:type="dxa"/>
              <w:start w:w="90" w:type="dxa"/>
              <w:bottom w:w="80" w:type="dxa"/>
              <w:end w:w="90" w:type="dxa"/>
            </w:tcMar>
          </w:tcPr>
          <w:p>
            <w:pPr>
              <w:spacing w:after="0"/>
              <w:jc w:val="center"/>
            </w:pPr>
            <w:r>
              <w:rPr>
                <w:rFonts w:ascii="Arial" w:hAnsi="Arial"/>
                <w:sz w:val="15"/>
              </w:rPr>
              <w:t>1,000</w:t>
            </w:r>
          </w:p>
        </w:tc>
        <w:tc>
          <w:tcPr>
            <w:tcW w:type="dxa" w:w="1123"/>
            <w:tcMar>
              <w:top w:w="80" w:type="dxa"/>
              <w:start w:w="90" w:type="dxa"/>
              <w:bottom w:w="80" w:type="dxa"/>
              <w:end w:w="90" w:type="dxa"/>
            </w:tcMar>
          </w:tcPr>
          <w:p>
            <w:pPr>
              <w:spacing w:after="0"/>
              <w:jc w:val="center"/>
            </w:pPr>
            <w:r>
              <w:rPr>
                <w:rFonts w:ascii="Arial" w:hAnsi="Arial"/>
                <w:sz w:val="15"/>
              </w:rPr>
              <w:t>$4.10</w:t>
            </w:r>
          </w:p>
        </w:tc>
        <w:tc>
          <w:tcPr>
            <w:tcW w:type="dxa" w:w="1123"/>
            <w:tcMar>
              <w:top w:w="80" w:type="dxa"/>
              <w:start w:w="90" w:type="dxa"/>
              <w:bottom w:w="80" w:type="dxa"/>
              <w:end w:w="90" w:type="dxa"/>
            </w:tcMar>
          </w:tcPr>
          <w:p>
            <w:pPr>
              <w:spacing w:after="0"/>
              <w:jc w:val="center"/>
            </w:pPr>
            <w:r>
              <w:rPr>
                <w:rFonts w:ascii="Arial" w:hAnsi="Arial"/>
                <w:sz w:val="15"/>
              </w:rPr>
              <w:t>$5.20</w:t>
            </w:r>
          </w:p>
        </w:tc>
        <w:tc>
          <w:tcPr>
            <w:tcW w:type="dxa" w:w="1555"/>
            <w:tcMar>
              <w:top w:w="80" w:type="dxa"/>
              <w:start w:w="90" w:type="dxa"/>
              <w:bottom w:w="80" w:type="dxa"/>
              <w:end w:w="90" w:type="dxa"/>
            </w:tcMar>
          </w:tcPr>
          <w:p>
            <w:pPr>
              <w:spacing w:after="0"/>
              <w:jc w:val="center"/>
            </w:pPr>
            <w:r>
              <w:rPr>
                <w:rFonts w:ascii="Arial" w:hAnsi="Arial"/>
                <w:sz w:val="15"/>
              </w:rPr>
              <w:t>$3.789</w:t>
            </w:r>
          </w:p>
        </w:tc>
        <w:tc>
          <w:tcPr>
            <w:tcW w:type="dxa" w:w="1469"/>
            <w:tcMar>
              <w:top w:w="80" w:type="dxa"/>
              <w:start w:w="90" w:type="dxa"/>
              <w:bottom w:w="80" w:type="dxa"/>
              <w:end w:w="90" w:type="dxa"/>
            </w:tcMar>
          </w:tcPr>
          <w:p>
            <w:pPr>
              <w:spacing w:after="0"/>
              <w:jc w:val="center"/>
            </w:pPr>
            <w:r>
              <w:rPr>
                <w:rFonts w:ascii="Arial" w:hAnsi="Arial"/>
                <w:sz w:val="15"/>
              </w:rPr>
              <w:t>1.3724</w:t>
            </w:r>
          </w:p>
        </w:tc>
      </w:tr>
      <w:tr>
        <w:tc>
          <w:tcPr>
            <w:tcW w:type="dxa" w:w="792"/>
            <w:tcMar>
              <w:top w:w="80" w:type="dxa"/>
              <w:start w:w="90" w:type="dxa"/>
              <w:bottom w:w="80" w:type="dxa"/>
              <w:end w:w="90" w:type="dxa"/>
            </w:tcMar>
            <w:shd w:fill="F3F5F6"/>
          </w:tcPr>
          <w:p>
            <w:pPr>
              <w:spacing w:after="0"/>
              <w:jc w:val="left"/>
            </w:pPr>
            <w:r>
              <w:rPr>
                <w:rFonts w:ascii="Arial" w:hAnsi="Arial"/>
                <w:sz w:val="15"/>
              </w:rPr>
              <w:t>S4</w:t>
            </w:r>
          </w:p>
        </w:tc>
        <w:tc>
          <w:tcPr>
            <w:tcW w:type="dxa" w:w="1123"/>
            <w:tcMar>
              <w:top w:w="80" w:type="dxa"/>
              <w:start w:w="90" w:type="dxa"/>
              <w:bottom w:w="80" w:type="dxa"/>
              <w:end w:w="90" w:type="dxa"/>
            </w:tcMar>
            <w:shd w:fill="F3F5F6"/>
          </w:tcPr>
          <w:p>
            <w:pPr>
              <w:spacing w:after="0"/>
              <w:jc w:val="center"/>
            </w:pPr>
            <w:r>
              <w:rPr>
                <w:rFonts w:ascii="Arial" w:hAnsi="Arial"/>
                <w:sz w:val="15"/>
              </w:rPr>
              <w:t>$4.10</w:t>
            </w:r>
          </w:p>
        </w:tc>
        <w:tc>
          <w:tcPr>
            <w:tcW w:type="dxa" w:w="1037"/>
            <w:tcMar>
              <w:top w:w="80" w:type="dxa"/>
              <w:start w:w="90" w:type="dxa"/>
              <w:bottom w:w="80" w:type="dxa"/>
              <w:end w:w="90" w:type="dxa"/>
            </w:tcMar>
            <w:shd w:fill="F3F5F6"/>
          </w:tcPr>
          <w:p>
            <w:pPr>
              <w:spacing w:after="0"/>
              <w:jc w:val="center"/>
            </w:pPr>
            <w:r>
              <w:rPr>
                <w:rFonts w:ascii="Arial" w:hAnsi="Arial"/>
                <w:sz w:val="15"/>
              </w:rPr>
              <w:t>1,000</w:t>
            </w:r>
          </w:p>
        </w:tc>
        <w:tc>
          <w:tcPr>
            <w:tcW w:type="dxa" w:w="1123"/>
            <w:tcMar>
              <w:top w:w="80" w:type="dxa"/>
              <w:start w:w="90" w:type="dxa"/>
              <w:bottom w:w="80" w:type="dxa"/>
              <w:end w:w="90" w:type="dxa"/>
            </w:tcMar>
            <w:shd w:fill="F3F5F6"/>
          </w:tcPr>
          <w:p>
            <w:pPr>
              <w:spacing w:after="0"/>
              <w:jc w:val="center"/>
            </w:pPr>
            <w:r>
              <w:rPr>
                <w:rFonts w:ascii="Arial" w:hAnsi="Arial"/>
                <w:sz w:val="15"/>
              </w:rPr>
              <w:t>$5.10</w:t>
            </w:r>
          </w:p>
        </w:tc>
        <w:tc>
          <w:tcPr>
            <w:tcW w:type="dxa" w:w="1123"/>
            <w:tcMar>
              <w:top w:w="80" w:type="dxa"/>
              <w:start w:w="90" w:type="dxa"/>
              <w:bottom w:w="80" w:type="dxa"/>
              <w:end w:w="90" w:type="dxa"/>
            </w:tcMar>
            <w:shd w:fill="F3F5F6"/>
          </w:tcPr>
          <w:p>
            <w:pPr>
              <w:spacing w:after="0"/>
              <w:jc w:val="center"/>
            </w:pPr>
            <w:r>
              <w:rPr>
                <w:rFonts w:ascii="Arial" w:hAnsi="Arial"/>
                <w:sz w:val="15"/>
              </w:rPr>
              <w:t>$7.10</w:t>
            </w:r>
          </w:p>
        </w:tc>
        <w:tc>
          <w:tcPr>
            <w:tcW w:type="dxa" w:w="1555"/>
            <w:tcMar>
              <w:top w:w="80" w:type="dxa"/>
              <w:start w:w="90" w:type="dxa"/>
              <w:bottom w:w="80" w:type="dxa"/>
              <w:end w:w="90" w:type="dxa"/>
            </w:tcMar>
            <w:shd w:fill="F3F5F6"/>
          </w:tcPr>
          <w:p>
            <w:pPr>
              <w:spacing w:after="0"/>
              <w:jc w:val="center"/>
            </w:pPr>
            <w:r>
              <w:rPr>
                <w:rFonts w:ascii="Arial" w:hAnsi="Arial"/>
                <w:sz w:val="15"/>
              </w:rPr>
              <w:t>$4.749</w:t>
            </w:r>
          </w:p>
        </w:tc>
        <w:tc>
          <w:tcPr>
            <w:tcW w:type="dxa" w:w="1469"/>
            <w:tcMar>
              <w:top w:w="80" w:type="dxa"/>
              <w:start w:w="90" w:type="dxa"/>
              <w:bottom w:w="80" w:type="dxa"/>
              <w:end w:w="90" w:type="dxa"/>
            </w:tcMar>
            <w:shd w:fill="F3F5F6"/>
          </w:tcPr>
          <w:p>
            <w:pPr>
              <w:spacing w:after="0"/>
              <w:jc w:val="center"/>
            </w:pPr>
            <w:r>
              <w:rPr>
                <w:rFonts w:ascii="Arial" w:hAnsi="Arial"/>
                <w:sz w:val="15"/>
              </w:rPr>
              <w:t>1.4951</w:t>
            </w:r>
          </w:p>
        </w:tc>
      </w:tr>
      <w:tr>
        <w:tc>
          <w:tcPr>
            <w:tcW w:type="dxa" w:w="792"/>
            <w:tcMar>
              <w:top w:w="80" w:type="dxa"/>
              <w:start w:w="90" w:type="dxa"/>
              <w:bottom w:w="80" w:type="dxa"/>
              <w:end w:w="90" w:type="dxa"/>
            </w:tcMar>
          </w:tcPr>
          <w:p>
            <w:pPr>
              <w:spacing w:after="0"/>
              <w:jc w:val="left"/>
            </w:pPr>
            <w:r>
              <w:rPr>
                <w:rFonts w:ascii="Arial" w:hAnsi="Arial"/>
                <w:sz w:val="15"/>
              </w:rPr>
              <w:t>S5</w:t>
            </w:r>
          </w:p>
        </w:tc>
        <w:tc>
          <w:tcPr>
            <w:tcW w:type="dxa" w:w="1123"/>
            <w:tcMar>
              <w:top w:w="80" w:type="dxa"/>
              <w:start w:w="90" w:type="dxa"/>
              <w:bottom w:w="80" w:type="dxa"/>
              <w:end w:w="90" w:type="dxa"/>
            </w:tcMar>
          </w:tcPr>
          <w:p>
            <w:pPr>
              <w:spacing w:after="0"/>
              <w:jc w:val="center"/>
            </w:pPr>
            <w:r>
              <w:rPr>
                <w:rFonts w:ascii="Arial" w:hAnsi="Arial"/>
                <w:sz w:val="15"/>
              </w:rPr>
              <w:t>$4.50</w:t>
            </w:r>
          </w:p>
        </w:tc>
        <w:tc>
          <w:tcPr>
            <w:tcW w:type="dxa" w:w="1037"/>
            <w:tcMar>
              <w:top w:w="80" w:type="dxa"/>
              <w:start w:w="90" w:type="dxa"/>
              <w:bottom w:w="80" w:type="dxa"/>
              <w:end w:w="90" w:type="dxa"/>
            </w:tcMar>
          </w:tcPr>
          <w:p>
            <w:pPr>
              <w:spacing w:after="0"/>
              <w:jc w:val="center"/>
            </w:pPr>
            <w:r>
              <w:rPr>
                <w:rFonts w:ascii="Arial" w:hAnsi="Arial"/>
                <w:sz w:val="15"/>
              </w:rPr>
              <w:t>1,000</w:t>
            </w:r>
          </w:p>
        </w:tc>
        <w:tc>
          <w:tcPr>
            <w:tcW w:type="dxa" w:w="1123"/>
            <w:tcMar>
              <w:top w:w="80" w:type="dxa"/>
              <w:start w:w="90" w:type="dxa"/>
              <w:bottom w:w="80" w:type="dxa"/>
              <w:end w:w="90" w:type="dxa"/>
            </w:tcMar>
          </w:tcPr>
          <w:p>
            <w:pPr>
              <w:spacing w:after="0"/>
              <w:jc w:val="center"/>
            </w:pPr>
            <w:r>
              <w:rPr>
                <w:rFonts w:ascii="Arial" w:hAnsi="Arial"/>
                <w:sz w:val="15"/>
              </w:rPr>
              <w:t>$6.70</w:t>
            </w:r>
          </w:p>
        </w:tc>
        <w:tc>
          <w:tcPr>
            <w:tcW w:type="dxa" w:w="1123"/>
            <w:tcMar>
              <w:top w:w="80" w:type="dxa"/>
              <w:start w:w="90" w:type="dxa"/>
              <w:bottom w:w="80" w:type="dxa"/>
              <w:end w:w="90" w:type="dxa"/>
            </w:tcMar>
          </w:tcPr>
          <w:p>
            <w:pPr>
              <w:spacing w:after="0"/>
              <w:jc w:val="center"/>
            </w:pPr>
            <w:r>
              <w:rPr>
                <w:rFonts w:ascii="Arial" w:hAnsi="Arial"/>
                <w:sz w:val="15"/>
              </w:rPr>
              <w:t>$9.10</w:t>
            </w:r>
          </w:p>
        </w:tc>
        <w:tc>
          <w:tcPr>
            <w:tcW w:type="dxa" w:w="1555"/>
            <w:tcMar>
              <w:top w:w="80" w:type="dxa"/>
              <w:start w:w="90" w:type="dxa"/>
              <w:bottom w:w="80" w:type="dxa"/>
              <w:end w:w="90" w:type="dxa"/>
            </w:tcMar>
          </w:tcPr>
          <w:p>
            <w:pPr>
              <w:spacing w:after="0"/>
              <w:jc w:val="center"/>
            </w:pPr>
            <w:r>
              <w:rPr>
                <w:rFonts w:ascii="Arial" w:hAnsi="Arial"/>
                <w:sz w:val="15"/>
              </w:rPr>
              <w:t>$5.973</w:t>
            </w:r>
          </w:p>
        </w:tc>
        <w:tc>
          <w:tcPr>
            <w:tcW w:type="dxa" w:w="1469"/>
            <w:tcMar>
              <w:top w:w="80" w:type="dxa"/>
              <w:start w:w="90" w:type="dxa"/>
              <w:bottom w:w="80" w:type="dxa"/>
              <w:end w:w="90" w:type="dxa"/>
            </w:tcMar>
          </w:tcPr>
          <w:p>
            <w:pPr>
              <w:spacing w:after="0"/>
              <w:jc w:val="center"/>
            </w:pPr>
            <w:r>
              <w:rPr>
                <w:rFonts w:ascii="Arial" w:hAnsi="Arial"/>
                <w:sz w:val="15"/>
              </w:rPr>
              <w:t>1.5235</w:t>
            </w:r>
          </w:p>
        </w:tc>
      </w:tr>
    </w:tbl>
    <w:p>
      <w:pPr>
        <w:spacing w:after="0"/>
      </w:pPr>
    </w:p>
    <w:p>
      <w:r>
        <w:rPr>
          <w:i w:val="0"/>
        </w:rPr>
        <w:t>The last column is the expected future value forgone per dollar of net cash raised. Its ascending order is S1, S2, S3, S4, then S5. Thus, the first three holdings are sold in full, after which only the amount of S4 needed to reach the target is sold. This ratio ordering is the improvement rule that Lecture 3 formalises through reduced costs: raising one more dollar from the cheapest available holding lowers the expected future value by the least, and the exchange stops being profitable once the cash target is met.</w:t>
      </w:r>
    </w:p>
    <w:p>
      <w:pPr>
        <w:spacing w:before="40" w:after="100"/>
        <w:jc w:val="center"/>
      </w:pPr>
      <w:r>
        <w:drawing>
          <wp:inline xmlns:a="http://schemas.openxmlformats.org/drawingml/2006/main" xmlns:pic="http://schemas.openxmlformats.org/drawingml/2006/picture">
            <wp:extent cx="4834137" cy="1274066"/>
            <wp:docPr id="27" name="Picture 27"/>
            <wp:cNvGraphicFramePr>
              <a:graphicFrameLocks noChangeAspect="1"/>
            </wp:cNvGraphicFramePr>
            <a:graphic>
              <a:graphicData uri="http://schemas.openxmlformats.org/drawingml/2006/picture">
                <pic:pic>
                  <pic:nvPicPr>
                    <pic:cNvPr id="0" name="q6_solution_vector.png"/>
                    <pic:cNvPicPr/>
                  </pic:nvPicPr>
                  <pic:blipFill>
                    <a:blip r:embed="rId35"/>
                    <a:stretch>
                      <a:fillRect/>
                    </a:stretch>
                  </pic:blipFill>
                  <pic:spPr>
                    <a:xfrm>
                      <a:off x="0" y="0"/>
                      <a:ext cx="4834137" cy="1274066"/>
                    </a:xfrm>
                    <a:prstGeom prst="rect"/>
                  </pic:spPr>
                </pic:pic>
              </a:graphicData>
            </a:graphic>
          </wp:inline>
        </w:drawing>
      </w:r>
    </w:p>
    <w:p>
      <w:pPr>
        <w:pStyle w:val="Heading3"/>
      </w:pPr>
      <w:r>
        <w:t>Verification that the solution is an extreme point</w:t>
      </w:r>
    </w:p>
    <w:p>
      <w:r>
        <w:rPr>
          <w:i w:val="0"/>
        </w:rPr>
        <w:t>The computed solution can be checked against the characterisation of extreme points from Lecture 3 without appealing to the solver. Five constraints are binding at the optimum, and they are linearly independent because the net-cash vector has a nonzero fourth entry, which no combination of the four coordinate constraints can reproduce.</w:t>
      </w:r>
    </w:p>
    <w:p>
      <w:pPr>
        <w:spacing w:before="40" w:after="100"/>
        <w:jc w:val="center"/>
      </w:pPr>
      <w:r>
        <w:drawing>
          <wp:inline xmlns:a="http://schemas.openxmlformats.org/drawingml/2006/main" xmlns:pic="http://schemas.openxmlformats.org/drawingml/2006/picture">
            <wp:extent cx="5248666" cy="746761"/>
            <wp:docPr id="28" name="Picture 28"/>
            <wp:cNvGraphicFramePr>
              <a:graphicFrameLocks noChangeAspect="1"/>
            </wp:cNvGraphicFramePr>
            <a:graphic>
              <a:graphicData uri="http://schemas.openxmlformats.org/drawingml/2006/picture">
                <pic:pic>
                  <pic:nvPicPr>
                    <pic:cNvPr id="0" name="q6_binding.png"/>
                    <pic:cNvPicPr/>
                  </pic:nvPicPr>
                  <pic:blipFill>
                    <a:blip r:embed="rId36"/>
                    <a:stretch>
                      <a:fillRect/>
                    </a:stretch>
                  </pic:blipFill>
                  <pic:spPr>
                    <a:xfrm>
                      <a:off x="0" y="0"/>
                      <a:ext cx="5248666" cy="746761"/>
                    </a:xfrm>
                    <a:prstGeom prst="rect"/>
                  </pic:spPr>
                </pic:pic>
              </a:graphicData>
            </a:graphic>
          </wp:inline>
        </w:drawing>
      </w:r>
    </w:p>
    <w:p>
      <w:r>
        <w:rPr>
          <w:i w:val="0"/>
        </w:rPr>
        <w:t>Equivalently, exactly one holding, S4, lies strictly between its bounds. That is the most a program with a single non-bound constraint permits at an extreme point, and it is why the answer is a clean sequence of complete sales followed by one partial sale. The cash constraint has zero slack, so the investor raises no more cash than required, which is what the ratio argument predicts.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08"/>
            <w:shd w:fill="18354A"/>
            <w:tcMar>
              <w:top w:w="80" w:type="dxa"/>
              <w:start w:w="90" w:type="dxa"/>
              <w:bottom w:w="80" w:type="dxa"/>
              <w:end w:w="90" w:type="dxa"/>
            </w:tcMar>
            <w:vAlign w:val="center"/>
          </w:tcPr>
          <w:p>
            <w:pPr>
              <w:spacing w:after="0"/>
              <w:jc w:val="center"/>
            </w:pPr>
            <w:r>
              <w:rPr>
                <w:rFonts w:ascii="Arial" w:hAnsi="Arial"/>
                <w:b/>
                <w:color w:val="FFFFFF"/>
                <w:sz w:val="16"/>
              </w:rPr>
              <w:t>Stock</w:t>
            </w:r>
          </w:p>
        </w:tc>
        <w:tc>
          <w:tcPr>
            <w:tcW w:type="dxa" w:w="1584"/>
            <w:shd w:fill="18354A"/>
            <w:tcMar>
              <w:top w:w="80" w:type="dxa"/>
              <w:start w:w="90" w:type="dxa"/>
              <w:bottom w:w="80" w:type="dxa"/>
              <w:end w:w="90" w:type="dxa"/>
            </w:tcMar>
            <w:vAlign w:val="center"/>
          </w:tcPr>
          <w:p>
            <w:pPr>
              <w:spacing w:after="0"/>
              <w:jc w:val="center"/>
            </w:pPr>
            <w:r>
              <w:rPr>
                <w:rFonts w:ascii="Arial" w:hAnsi="Arial"/>
                <w:b/>
                <w:color w:val="FFFFFF"/>
                <w:sz w:val="16"/>
              </w:rPr>
              <w:t>Shares sold</w:t>
            </w:r>
          </w:p>
        </w:tc>
        <w:tc>
          <w:tcPr>
            <w:tcW w:type="dxa" w:w="1699"/>
            <w:shd w:fill="18354A"/>
            <w:tcMar>
              <w:top w:w="80" w:type="dxa"/>
              <w:start w:w="90" w:type="dxa"/>
              <w:bottom w:w="80" w:type="dxa"/>
              <w:end w:w="90" w:type="dxa"/>
            </w:tcMar>
            <w:vAlign w:val="center"/>
          </w:tcPr>
          <w:p>
            <w:pPr>
              <w:spacing w:after="0"/>
              <w:jc w:val="center"/>
            </w:pPr>
            <w:r>
              <w:rPr>
                <w:rFonts w:ascii="Arial" w:hAnsi="Arial"/>
                <w:b/>
                <w:color w:val="FFFFFF"/>
                <w:sz w:val="16"/>
              </w:rPr>
              <w:t>Shares retained</w:t>
            </w:r>
          </w:p>
        </w:tc>
        <w:tc>
          <w:tcPr>
            <w:tcW w:type="dxa" w:w="1843"/>
            <w:shd w:fill="18354A"/>
            <w:tcMar>
              <w:top w:w="80" w:type="dxa"/>
              <w:start w:w="90" w:type="dxa"/>
              <w:bottom w:w="80" w:type="dxa"/>
              <w:end w:w="90" w:type="dxa"/>
            </w:tcMar>
            <w:vAlign w:val="center"/>
          </w:tcPr>
          <w:p>
            <w:pPr>
              <w:spacing w:after="0"/>
              <w:jc w:val="center"/>
            </w:pPr>
            <w:r>
              <w:rPr>
                <w:rFonts w:ascii="Arial" w:hAnsi="Arial"/>
                <w:b/>
                <w:color w:val="FFFFFF"/>
                <w:sz w:val="16"/>
              </w:rPr>
              <w:t>Net cash raised</w:t>
            </w:r>
          </w:p>
        </w:tc>
        <w:tc>
          <w:tcPr>
            <w:tcW w:type="dxa" w:w="2189"/>
            <w:shd w:fill="18354A"/>
            <w:tcMar>
              <w:top w:w="80" w:type="dxa"/>
              <w:start w:w="90" w:type="dxa"/>
              <w:bottom w:w="80" w:type="dxa"/>
              <w:end w:w="90" w:type="dxa"/>
            </w:tcMar>
            <w:vAlign w:val="center"/>
          </w:tcPr>
          <w:p>
            <w:pPr>
              <w:spacing w:after="0"/>
              <w:jc w:val="center"/>
            </w:pPr>
            <w:r>
              <w:rPr>
                <w:rFonts w:ascii="Arial" w:hAnsi="Arial"/>
                <w:b/>
                <w:color w:val="FFFFFF"/>
                <w:sz w:val="16"/>
              </w:rPr>
              <w:t>Expected value retained</w:t>
            </w:r>
          </w:p>
        </w:tc>
      </w:tr>
      <w:tr>
        <w:tc>
          <w:tcPr>
            <w:tcW w:type="dxa" w:w="1008"/>
            <w:tcMar>
              <w:top w:w="80" w:type="dxa"/>
              <w:start w:w="90" w:type="dxa"/>
              <w:bottom w:w="80" w:type="dxa"/>
              <w:end w:w="90" w:type="dxa"/>
            </w:tcMar>
          </w:tcPr>
          <w:p>
            <w:pPr>
              <w:spacing w:after="0"/>
              <w:jc w:val="left"/>
            </w:pPr>
            <w:r>
              <w:rPr>
                <w:rFonts w:ascii="Arial" w:hAnsi="Arial"/>
                <w:sz w:val="16"/>
              </w:rPr>
              <w:t>S1</w:t>
            </w:r>
          </w:p>
        </w:tc>
        <w:tc>
          <w:tcPr>
            <w:tcW w:type="dxa" w:w="1584"/>
            <w:tcMar>
              <w:top w:w="80" w:type="dxa"/>
              <w:start w:w="90" w:type="dxa"/>
              <w:bottom w:w="80" w:type="dxa"/>
              <w:end w:w="90" w:type="dxa"/>
            </w:tcMar>
          </w:tcPr>
          <w:p>
            <w:pPr>
              <w:spacing w:after="0"/>
              <w:jc w:val="center"/>
            </w:pPr>
            <w:r>
              <w:rPr>
                <w:rFonts w:ascii="Arial" w:hAnsi="Arial"/>
                <w:sz w:val="16"/>
              </w:rPr>
              <w:t>1,000.000</w:t>
            </w:r>
          </w:p>
        </w:tc>
        <w:tc>
          <w:tcPr>
            <w:tcW w:type="dxa" w:w="1699"/>
            <w:tcMar>
              <w:top w:w="80" w:type="dxa"/>
              <w:start w:w="90" w:type="dxa"/>
              <w:bottom w:w="80" w:type="dxa"/>
              <w:end w:w="90" w:type="dxa"/>
            </w:tcMar>
          </w:tcPr>
          <w:p>
            <w:pPr>
              <w:spacing w:after="0"/>
              <w:jc w:val="center"/>
            </w:pPr>
            <w:r>
              <w:rPr>
                <w:rFonts w:ascii="Arial" w:hAnsi="Arial"/>
                <w:sz w:val="16"/>
              </w:rPr>
              <w:t>0.000</w:t>
            </w:r>
          </w:p>
        </w:tc>
        <w:tc>
          <w:tcPr>
            <w:tcW w:type="dxa" w:w="1843"/>
            <w:tcMar>
              <w:top w:w="80" w:type="dxa"/>
              <w:start w:w="90" w:type="dxa"/>
              <w:bottom w:w="80" w:type="dxa"/>
              <w:end w:w="90" w:type="dxa"/>
            </w:tcMar>
          </w:tcPr>
          <w:p>
            <w:pPr>
              <w:spacing w:after="0"/>
              <w:jc w:val="center"/>
            </w:pPr>
            <w:r>
              <w:rPr>
                <w:rFonts w:ascii="Arial" w:hAnsi="Arial"/>
                <w:sz w:val="16"/>
              </w:rPr>
              <w:t>$1,809.00</w:t>
            </w:r>
          </w:p>
        </w:tc>
        <w:tc>
          <w:tcPr>
            <w:tcW w:type="dxa" w:w="2189"/>
            <w:tcMar>
              <w:top w:w="80" w:type="dxa"/>
              <w:start w:w="90" w:type="dxa"/>
              <w:bottom w:w="80" w:type="dxa"/>
              <w:end w:w="90" w:type="dxa"/>
            </w:tcMar>
          </w:tcPr>
          <w:p>
            <w:pPr>
              <w:spacing w:after="0"/>
              <w:jc w:val="center"/>
            </w:pPr>
            <w:r>
              <w:rPr>
                <w:rFonts w:ascii="Arial" w:hAnsi="Arial"/>
                <w:sz w:val="16"/>
              </w:rPr>
              <w:t>$0.00</w:t>
            </w:r>
          </w:p>
        </w:tc>
      </w:tr>
      <w:tr>
        <w:tc>
          <w:tcPr>
            <w:tcW w:type="dxa" w:w="1008"/>
            <w:tcMar>
              <w:top w:w="80" w:type="dxa"/>
              <w:start w:w="90" w:type="dxa"/>
              <w:bottom w:w="80" w:type="dxa"/>
              <w:end w:w="90" w:type="dxa"/>
            </w:tcMar>
            <w:shd w:fill="F3F5F6"/>
          </w:tcPr>
          <w:p>
            <w:pPr>
              <w:spacing w:after="0"/>
              <w:jc w:val="left"/>
            </w:pPr>
            <w:r>
              <w:rPr>
                <w:rFonts w:ascii="Arial" w:hAnsi="Arial"/>
                <w:sz w:val="16"/>
              </w:rPr>
              <w:t>S2</w:t>
            </w:r>
          </w:p>
        </w:tc>
        <w:tc>
          <w:tcPr>
            <w:tcW w:type="dxa" w:w="1584"/>
            <w:tcMar>
              <w:top w:w="80" w:type="dxa"/>
              <w:start w:w="90" w:type="dxa"/>
              <w:bottom w:w="80" w:type="dxa"/>
              <w:end w:w="90" w:type="dxa"/>
            </w:tcMar>
            <w:shd w:fill="F3F5F6"/>
          </w:tcPr>
          <w:p>
            <w:pPr>
              <w:spacing w:after="0"/>
              <w:jc w:val="center"/>
            </w:pPr>
            <w:r>
              <w:rPr>
                <w:rFonts w:ascii="Arial" w:hAnsi="Arial"/>
                <w:sz w:val="16"/>
              </w:rPr>
              <w:t>1,000.000</w:t>
            </w:r>
          </w:p>
        </w:tc>
        <w:tc>
          <w:tcPr>
            <w:tcW w:type="dxa" w:w="1699"/>
            <w:tcMar>
              <w:top w:w="80" w:type="dxa"/>
              <w:start w:w="90" w:type="dxa"/>
              <w:bottom w:w="80" w:type="dxa"/>
              <w:end w:w="90" w:type="dxa"/>
            </w:tcMar>
            <w:shd w:fill="F3F5F6"/>
          </w:tcPr>
          <w:p>
            <w:pPr>
              <w:spacing w:after="0"/>
              <w:jc w:val="center"/>
            </w:pPr>
            <w:r>
              <w:rPr>
                <w:rFonts w:ascii="Arial" w:hAnsi="Arial"/>
                <w:sz w:val="16"/>
              </w:rPr>
              <w:t>0.000</w:t>
            </w:r>
          </w:p>
        </w:tc>
        <w:tc>
          <w:tcPr>
            <w:tcW w:type="dxa" w:w="1843"/>
            <w:tcMar>
              <w:top w:w="80" w:type="dxa"/>
              <w:start w:w="90" w:type="dxa"/>
              <w:bottom w:w="80" w:type="dxa"/>
              <w:end w:w="90" w:type="dxa"/>
            </w:tcMar>
            <w:shd w:fill="F3F5F6"/>
          </w:tcPr>
          <w:p>
            <w:pPr>
              <w:spacing w:after="0"/>
              <w:jc w:val="center"/>
            </w:pPr>
            <w:r>
              <w:rPr>
                <w:rFonts w:ascii="Arial" w:hAnsi="Arial"/>
                <w:sz w:val="16"/>
              </w:rPr>
              <w:t>$2,838.00</w:t>
            </w:r>
          </w:p>
        </w:tc>
        <w:tc>
          <w:tcPr>
            <w:tcW w:type="dxa" w:w="2189"/>
            <w:tcMar>
              <w:top w:w="80" w:type="dxa"/>
              <w:start w:w="90" w:type="dxa"/>
              <w:bottom w:w="80" w:type="dxa"/>
              <w:end w:w="90" w:type="dxa"/>
            </w:tcMar>
            <w:shd w:fill="F3F5F6"/>
          </w:tcPr>
          <w:p>
            <w:pPr>
              <w:spacing w:after="0"/>
              <w:jc w:val="center"/>
            </w:pPr>
            <w:r>
              <w:rPr>
                <w:rFonts w:ascii="Arial" w:hAnsi="Arial"/>
                <w:sz w:val="16"/>
              </w:rPr>
              <w:t>$0.00</w:t>
            </w:r>
          </w:p>
        </w:tc>
      </w:tr>
      <w:tr>
        <w:tc>
          <w:tcPr>
            <w:tcW w:type="dxa" w:w="1008"/>
            <w:tcMar>
              <w:top w:w="80" w:type="dxa"/>
              <w:start w:w="90" w:type="dxa"/>
              <w:bottom w:w="80" w:type="dxa"/>
              <w:end w:w="90" w:type="dxa"/>
            </w:tcMar>
          </w:tcPr>
          <w:p>
            <w:pPr>
              <w:spacing w:after="0"/>
              <w:jc w:val="left"/>
            </w:pPr>
            <w:r>
              <w:rPr>
                <w:rFonts w:ascii="Arial" w:hAnsi="Arial"/>
                <w:sz w:val="16"/>
              </w:rPr>
              <w:t>S3</w:t>
            </w:r>
          </w:p>
        </w:tc>
        <w:tc>
          <w:tcPr>
            <w:tcW w:type="dxa" w:w="1584"/>
            <w:tcMar>
              <w:top w:w="80" w:type="dxa"/>
              <w:start w:w="90" w:type="dxa"/>
              <w:bottom w:w="80" w:type="dxa"/>
              <w:end w:w="90" w:type="dxa"/>
            </w:tcMar>
          </w:tcPr>
          <w:p>
            <w:pPr>
              <w:spacing w:after="0"/>
              <w:jc w:val="center"/>
            </w:pPr>
            <w:r>
              <w:rPr>
                <w:rFonts w:ascii="Arial" w:hAnsi="Arial"/>
                <w:sz w:val="16"/>
              </w:rPr>
              <w:t>1,000.000</w:t>
            </w:r>
          </w:p>
        </w:tc>
        <w:tc>
          <w:tcPr>
            <w:tcW w:type="dxa" w:w="1699"/>
            <w:tcMar>
              <w:top w:w="80" w:type="dxa"/>
              <w:start w:w="90" w:type="dxa"/>
              <w:bottom w:w="80" w:type="dxa"/>
              <w:end w:w="90" w:type="dxa"/>
            </w:tcMar>
          </w:tcPr>
          <w:p>
            <w:pPr>
              <w:spacing w:after="0"/>
              <w:jc w:val="center"/>
            </w:pPr>
            <w:r>
              <w:rPr>
                <w:rFonts w:ascii="Arial" w:hAnsi="Arial"/>
                <w:sz w:val="16"/>
              </w:rPr>
              <w:t>0.000</w:t>
            </w:r>
          </w:p>
        </w:tc>
        <w:tc>
          <w:tcPr>
            <w:tcW w:type="dxa" w:w="1843"/>
            <w:tcMar>
              <w:top w:w="80" w:type="dxa"/>
              <w:start w:w="90" w:type="dxa"/>
              <w:bottom w:w="80" w:type="dxa"/>
              <w:end w:w="90" w:type="dxa"/>
            </w:tcMar>
          </w:tcPr>
          <w:p>
            <w:pPr>
              <w:spacing w:after="0"/>
              <w:jc w:val="center"/>
            </w:pPr>
            <w:r>
              <w:rPr>
                <w:rFonts w:ascii="Arial" w:hAnsi="Arial"/>
                <w:sz w:val="16"/>
              </w:rPr>
              <w:t>$3,789.00</w:t>
            </w:r>
          </w:p>
        </w:tc>
        <w:tc>
          <w:tcPr>
            <w:tcW w:type="dxa" w:w="2189"/>
            <w:tcMar>
              <w:top w:w="80" w:type="dxa"/>
              <w:start w:w="90" w:type="dxa"/>
              <w:bottom w:w="80" w:type="dxa"/>
              <w:end w:w="90" w:type="dxa"/>
            </w:tcMar>
          </w:tcPr>
          <w:p>
            <w:pPr>
              <w:spacing w:after="0"/>
              <w:jc w:val="center"/>
            </w:pPr>
            <w:r>
              <w:rPr>
                <w:rFonts w:ascii="Arial" w:hAnsi="Arial"/>
                <w:sz w:val="16"/>
              </w:rPr>
              <w:t>$0.00</w:t>
            </w:r>
          </w:p>
        </w:tc>
      </w:tr>
      <w:tr>
        <w:tc>
          <w:tcPr>
            <w:tcW w:type="dxa" w:w="1008"/>
            <w:tcMar>
              <w:top w:w="80" w:type="dxa"/>
              <w:start w:w="90" w:type="dxa"/>
              <w:bottom w:w="80" w:type="dxa"/>
              <w:end w:w="90" w:type="dxa"/>
            </w:tcMar>
            <w:shd w:fill="F3F5F6"/>
          </w:tcPr>
          <w:p>
            <w:pPr>
              <w:spacing w:after="0"/>
              <w:jc w:val="left"/>
            </w:pPr>
            <w:r>
              <w:rPr>
                <w:rFonts w:ascii="Arial" w:hAnsi="Arial"/>
                <w:sz w:val="16"/>
              </w:rPr>
              <w:t>S4</w:t>
            </w:r>
          </w:p>
        </w:tc>
        <w:tc>
          <w:tcPr>
            <w:tcW w:type="dxa" w:w="1584"/>
            <w:tcMar>
              <w:top w:w="80" w:type="dxa"/>
              <w:start w:w="90" w:type="dxa"/>
              <w:bottom w:w="80" w:type="dxa"/>
              <w:end w:w="90" w:type="dxa"/>
            </w:tcMar>
            <w:shd w:fill="F3F5F6"/>
          </w:tcPr>
          <w:p>
            <w:pPr>
              <w:spacing w:after="0"/>
              <w:jc w:val="center"/>
            </w:pPr>
            <w:r>
              <w:rPr>
                <w:rFonts w:ascii="Arial" w:hAnsi="Arial"/>
                <w:sz w:val="16"/>
              </w:rPr>
              <w:t>118.762</w:t>
            </w:r>
          </w:p>
        </w:tc>
        <w:tc>
          <w:tcPr>
            <w:tcW w:type="dxa" w:w="1699"/>
            <w:tcMar>
              <w:top w:w="80" w:type="dxa"/>
              <w:start w:w="90" w:type="dxa"/>
              <w:bottom w:w="80" w:type="dxa"/>
              <w:end w:w="90" w:type="dxa"/>
            </w:tcMar>
            <w:shd w:fill="F3F5F6"/>
          </w:tcPr>
          <w:p>
            <w:pPr>
              <w:spacing w:after="0"/>
              <w:jc w:val="center"/>
            </w:pPr>
            <w:r>
              <w:rPr>
                <w:rFonts w:ascii="Arial" w:hAnsi="Arial"/>
                <w:sz w:val="16"/>
              </w:rPr>
              <w:t>881.238</w:t>
            </w:r>
          </w:p>
        </w:tc>
        <w:tc>
          <w:tcPr>
            <w:tcW w:type="dxa" w:w="1843"/>
            <w:tcMar>
              <w:top w:w="80" w:type="dxa"/>
              <w:start w:w="90" w:type="dxa"/>
              <w:bottom w:w="80" w:type="dxa"/>
              <w:end w:w="90" w:type="dxa"/>
            </w:tcMar>
            <w:shd w:fill="F3F5F6"/>
          </w:tcPr>
          <w:p>
            <w:pPr>
              <w:spacing w:after="0"/>
              <w:jc w:val="center"/>
            </w:pPr>
            <w:r>
              <w:rPr>
                <w:rFonts w:ascii="Arial" w:hAnsi="Arial"/>
                <w:sz w:val="16"/>
              </w:rPr>
              <w:t>$564.00</w:t>
            </w:r>
          </w:p>
        </w:tc>
        <w:tc>
          <w:tcPr>
            <w:tcW w:type="dxa" w:w="2189"/>
            <w:tcMar>
              <w:top w:w="80" w:type="dxa"/>
              <w:start w:w="90" w:type="dxa"/>
              <w:bottom w:w="80" w:type="dxa"/>
              <w:end w:w="90" w:type="dxa"/>
            </w:tcMar>
            <w:shd w:fill="F3F5F6"/>
          </w:tcPr>
          <w:p>
            <w:pPr>
              <w:spacing w:after="0"/>
              <w:jc w:val="center"/>
            </w:pPr>
            <w:r>
              <w:rPr>
                <w:rFonts w:ascii="Arial" w:hAnsi="Arial"/>
                <w:sz w:val="16"/>
              </w:rPr>
              <w:t>$6,256.79</w:t>
            </w:r>
          </w:p>
        </w:tc>
      </w:tr>
      <w:tr>
        <w:tc>
          <w:tcPr>
            <w:tcW w:type="dxa" w:w="1008"/>
            <w:tcMar>
              <w:top w:w="80" w:type="dxa"/>
              <w:start w:w="90" w:type="dxa"/>
              <w:bottom w:w="80" w:type="dxa"/>
              <w:end w:w="90" w:type="dxa"/>
            </w:tcMar>
          </w:tcPr>
          <w:p>
            <w:pPr>
              <w:spacing w:after="0"/>
              <w:jc w:val="left"/>
            </w:pPr>
            <w:r>
              <w:rPr>
                <w:rFonts w:ascii="Arial" w:hAnsi="Arial"/>
                <w:sz w:val="16"/>
              </w:rPr>
              <w:t>S5</w:t>
            </w:r>
          </w:p>
        </w:tc>
        <w:tc>
          <w:tcPr>
            <w:tcW w:type="dxa" w:w="1584"/>
            <w:tcMar>
              <w:top w:w="80" w:type="dxa"/>
              <w:start w:w="90" w:type="dxa"/>
              <w:bottom w:w="80" w:type="dxa"/>
              <w:end w:w="90" w:type="dxa"/>
            </w:tcMar>
          </w:tcPr>
          <w:p>
            <w:pPr>
              <w:spacing w:after="0"/>
              <w:jc w:val="center"/>
            </w:pPr>
            <w:r>
              <w:rPr>
                <w:rFonts w:ascii="Arial" w:hAnsi="Arial"/>
                <w:sz w:val="16"/>
              </w:rPr>
              <w:t>0.000</w:t>
            </w:r>
          </w:p>
        </w:tc>
        <w:tc>
          <w:tcPr>
            <w:tcW w:type="dxa" w:w="1699"/>
            <w:tcMar>
              <w:top w:w="80" w:type="dxa"/>
              <w:start w:w="90" w:type="dxa"/>
              <w:bottom w:w="80" w:type="dxa"/>
              <w:end w:w="90" w:type="dxa"/>
            </w:tcMar>
          </w:tcPr>
          <w:p>
            <w:pPr>
              <w:spacing w:after="0"/>
              <w:jc w:val="center"/>
            </w:pPr>
            <w:r>
              <w:rPr>
                <w:rFonts w:ascii="Arial" w:hAnsi="Arial"/>
                <w:sz w:val="16"/>
              </w:rPr>
              <w:t>1,000.000</w:t>
            </w:r>
          </w:p>
        </w:tc>
        <w:tc>
          <w:tcPr>
            <w:tcW w:type="dxa" w:w="1843"/>
            <w:tcMar>
              <w:top w:w="80" w:type="dxa"/>
              <w:start w:w="90" w:type="dxa"/>
              <w:bottom w:w="80" w:type="dxa"/>
              <w:end w:w="90" w:type="dxa"/>
            </w:tcMar>
          </w:tcPr>
          <w:p>
            <w:pPr>
              <w:spacing w:after="0"/>
              <w:jc w:val="center"/>
            </w:pPr>
            <w:r>
              <w:rPr>
                <w:rFonts w:ascii="Arial" w:hAnsi="Arial"/>
                <w:sz w:val="16"/>
              </w:rPr>
              <w:t>$0.00</w:t>
            </w:r>
          </w:p>
        </w:tc>
        <w:tc>
          <w:tcPr>
            <w:tcW w:type="dxa" w:w="2189"/>
            <w:tcMar>
              <w:top w:w="80" w:type="dxa"/>
              <w:start w:w="90" w:type="dxa"/>
              <w:bottom w:w="80" w:type="dxa"/>
              <w:end w:w="90" w:type="dxa"/>
            </w:tcMar>
          </w:tcPr>
          <w:p>
            <w:pPr>
              <w:spacing w:after="0"/>
              <w:jc w:val="center"/>
            </w:pPr>
            <w:r>
              <w:rPr>
                <w:rFonts w:ascii="Arial" w:hAnsi="Arial"/>
                <w:sz w:val="16"/>
              </w:rPr>
              <w:t>$9,100.00</w:t>
            </w:r>
          </w:p>
        </w:tc>
      </w:tr>
      <w:tr>
        <w:tc>
          <w:tcPr>
            <w:tcW w:type="dxa" w:w="1008"/>
            <w:tcMar>
              <w:top w:w="80" w:type="dxa"/>
              <w:start w:w="90" w:type="dxa"/>
              <w:bottom w:w="80" w:type="dxa"/>
              <w:end w:w="90" w:type="dxa"/>
            </w:tcMar>
            <w:shd w:fill="F3F5F6"/>
          </w:tcPr>
          <w:p>
            <w:pPr>
              <w:spacing w:after="0"/>
              <w:jc w:val="left"/>
            </w:pPr>
            <w:r>
              <w:rPr>
                <w:rFonts w:ascii="Arial" w:hAnsi="Arial"/>
                <w:sz w:val="16"/>
              </w:rPr>
              <w:t>Total</w:t>
            </w:r>
          </w:p>
        </w:tc>
        <w:tc>
          <w:tcPr>
            <w:tcW w:type="dxa" w:w="1584"/>
            <w:tcMar>
              <w:top w:w="80" w:type="dxa"/>
              <w:start w:w="90" w:type="dxa"/>
              <w:bottom w:w="80" w:type="dxa"/>
              <w:end w:w="90" w:type="dxa"/>
            </w:tcMar>
            <w:shd w:fill="F3F5F6"/>
          </w:tcPr>
          <w:p>
            <w:pPr>
              <w:spacing w:after="0"/>
              <w:jc w:val="center"/>
            </w:pPr>
            <w:r>
              <w:rPr>
                <w:rFonts w:ascii="Arial" w:hAnsi="Arial"/>
                <w:sz w:val="16"/>
              </w:rPr>
              <w:t>3,118.762</w:t>
            </w:r>
          </w:p>
        </w:tc>
        <w:tc>
          <w:tcPr>
            <w:tcW w:type="dxa" w:w="1699"/>
            <w:tcMar>
              <w:top w:w="80" w:type="dxa"/>
              <w:start w:w="90" w:type="dxa"/>
              <w:bottom w:w="80" w:type="dxa"/>
              <w:end w:w="90" w:type="dxa"/>
            </w:tcMar>
            <w:shd w:fill="F3F5F6"/>
          </w:tcPr>
          <w:p>
            <w:pPr>
              <w:spacing w:after="0"/>
              <w:jc w:val="center"/>
            </w:pPr>
            <w:r>
              <w:rPr>
                <w:rFonts w:ascii="Arial" w:hAnsi="Arial"/>
                <w:sz w:val="16"/>
              </w:rPr>
              <w:t>1,881.238</w:t>
            </w:r>
          </w:p>
        </w:tc>
        <w:tc>
          <w:tcPr>
            <w:tcW w:type="dxa" w:w="1843"/>
            <w:tcMar>
              <w:top w:w="80" w:type="dxa"/>
              <w:start w:w="90" w:type="dxa"/>
              <w:bottom w:w="80" w:type="dxa"/>
              <w:end w:w="90" w:type="dxa"/>
            </w:tcMar>
            <w:shd w:fill="F3F5F6"/>
          </w:tcPr>
          <w:p>
            <w:pPr>
              <w:spacing w:after="0"/>
              <w:jc w:val="center"/>
            </w:pPr>
            <w:r>
              <w:rPr>
                <w:rFonts w:ascii="Arial" w:hAnsi="Arial"/>
                <w:sz w:val="16"/>
              </w:rPr>
              <w:t>$9,000.00</w:t>
            </w:r>
          </w:p>
        </w:tc>
        <w:tc>
          <w:tcPr>
            <w:tcW w:type="dxa" w:w="2189"/>
            <w:tcMar>
              <w:top w:w="80" w:type="dxa"/>
              <w:start w:w="90" w:type="dxa"/>
              <w:bottom w:w="80" w:type="dxa"/>
              <w:end w:w="90" w:type="dxa"/>
            </w:tcMar>
            <w:shd w:fill="F3F5F6"/>
          </w:tcPr>
          <w:p>
            <w:pPr>
              <w:spacing w:after="0"/>
              <w:jc w:val="center"/>
            </w:pPr>
            <w:r>
              <w:rPr>
                <w:rFonts w:ascii="Arial" w:hAnsi="Arial"/>
                <w:sz w:val="16"/>
              </w:rPr>
              <w:t>$15,356.79</w:t>
            </w:r>
          </w:p>
        </w:tc>
      </w:tr>
    </w:tbl>
    <w:p>
      <w:pPr>
        <w:spacing w:after="0"/>
      </w:pPr>
    </w:p>
    <w:p>
      <w:pPr>
        <w:spacing w:before="60" w:after="40"/>
        <w:jc w:val="center"/>
      </w:pPr>
      <w:r>
        <w:drawing>
          <wp:inline xmlns:a="http://schemas.openxmlformats.org/drawingml/2006/main" xmlns:pic="http://schemas.openxmlformats.org/drawingml/2006/picture">
            <wp:extent cx="5166360" cy="2784991"/>
            <wp:docPr id="29" name="Picture 29"/>
            <wp:cNvGraphicFramePr>
              <a:graphicFrameLocks noChangeAspect="1"/>
            </wp:cNvGraphicFramePr>
            <a:graphic>
              <a:graphicData uri="http://schemas.openxmlformats.org/drawingml/2006/picture">
                <pic:pic>
                  <pic:nvPicPr>
                    <pic:cNvPr id="0" name="q6_portfolio.png"/>
                    <pic:cNvPicPr/>
                  </pic:nvPicPr>
                  <pic:blipFill>
                    <a:blip r:embed="rId37"/>
                    <a:stretch>
                      <a:fillRect/>
                    </a:stretch>
                  </pic:blipFill>
                  <pic:spPr>
                    <a:xfrm>
                      <a:off x="0" y="0"/>
                      <a:ext cx="5166360" cy="2784991"/>
                    </a:xfrm>
                    <a:prstGeom prst="rect"/>
                  </pic:spPr>
                </pic:pic>
              </a:graphicData>
            </a:graphic>
          </wp:inline>
        </w:drawing>
      </w:r>
    </w:p>
    <w:p>
      <w:pPr>
        <w:pStyle w:val="FormulaCaption"/>
        <w:keepNext w:val="0"/>
      </w:pPr>
      <w:r>
        <w:t>Figure 3. Optimal sale and retention of shares</w:t>
      </w:r>
    </w:p>
    <w:p>
      <w:r>
        <w:rPr>
          <w:b/>
        </w:rPr>
        <w:t xml:space="preserve">Optimal decision: </w:t>
      </w:r>
      <w:r>
        <w:t>Sell all shares of S1, S2, and S3, sell approximately 118.762 shares of S4, and retain all shares of S5. This raises exactly $9,000.00 and leaves an expected one-year portfolio value of $15,356.79.</w:t>
      </w:r>
    </w:p>
    <w:p>
      <w:pPr>
        <w:pStyle w:val="Heading2"/>
      </w:pPr>
      <w:r>
        <w:t>Computational code for Question 6(b)</w:t>
      </w:r>
    </w:p>
    <w:p>
      <w:r>
        <w:rPr>
          <w:i w:val="0"/>
        </w:rPr>
        <w:t>The following code is the numerical optimization core used to produce the reported solution.</w:t>
      </w:r>
    </w:p>
    <w:tbl>
      <w:tblPr>
        <w:tblW w:type="auto" w:w="0"/>
        <w:jc w:val="center"/>
        <w:tblLook w:firstColumn="1" w:firstRow="1" w:lastColumn="0" w:lastRow="0" w:noHBand="0" w:noVBand="1" w:val="04A0"/>
      </w:tblPr>
      <w:tblGrid>
        <w:gridCol w:w="9994"/>
      </w:tblGrid>
      <w:tr>
        <w:tc>
          <w:tcPr>
            <w:tcW w:type="dxa" w:w="9994"/>
            <w:shd w:fill="F3F5F6"/>
            <w:tcMar>
              <w:top w:w="100" w:type="dxa"/>
              <w:start w:w="130" w:type="dxa"/>
              <w:bottom w:w="100" w:type="dxa"/>
              <w:end w:w="130" w:type="dxa"/>
            </w:tcMar>
          </w:tcPr>
          <w:p>
            <w:pPr>
              <w:pStyle w:val="Code"/>
            </w:pPr>
            <w:r/>
            <w:r>
              <w:t>import csv</w:t>
            </w:r>
          </w:p>
          <w:p>
            <w:pPr>
              <w:pStyle w:val="Code"/>
            </w:pPr>
            <w:r>
              <w:t>import numpy as np</w:t>
            </w:r>
          </w:p>
          <w:p>
            <w:pPr>
              <w:pStyle w:val="Code"/>
            </w:pPr>
            <w:r>
              <w:t>from scipy.optimize import linprog</w:t>
            </w:r>
          </w:p>
          <w:p>
            <w:pPr>
              <w:pStyle w:val="Code"/>
            </w:pPr>
            <w:r>
              <w:t xml:space="preserve"> </w:t>
            </w:r>
          </w:p>
          <w:p>
            <w:pPr>
              <w:pStyle w:val="Code"/>
            </w:pPr>
            <w:r>
              <w:t>with open("sources/assignment 1/investment.csv", newline="", encoding="utf-8-sig") as f:</w:t>
            </w:r>
          </w:p>
          <w:p>
            <w:pPr>
              <w:pStyle w:val="Code"/>
            </w:pPr>
            <w:r>
              <w:t xml:space="preserve">    rows = list(csv.DictReader(f))</w:t>
            </w:r>
          </w:p>
          <w:p>
            <w:pPr>
              <w:pStyle w:val="Code"/>
            </w:pPr>
            <w:r>
              <w:t xml:space="preserve"> </w:t>
            </w:r>
          </w:p>
          <w:p>
            <w:pPr>
              <w:pStyle w:val="Code"/>
            </w:pPr>
            <w:r>
              <w:t>p = np.array([float(row["Buying Price"]) for row in rows])</w:t>
            </w:r>
          </w:p>
          <w:p>
            <w:pPr>
              <w:pStyle w:val="Code"/>
            </w:pPr>
            <w:r>
              <w:t>s = np.array([float(row["Current Share"]) for row in rows])</w:t>
            </w:r>
          </w:p>
          <w:p>
            <w:pPr>
              <w:pStyle w:val="Code"/>
            </w:pPr>
            <w:r>
              <w:t>q = np.array([float(row["Current Price"]) for row in rows])</w:t>
            </w:r>
          </w:p>
          <w:p>
            <w:pPr>
              <w:pStyle w:val="Code"/>
            </w:pPr>
            <w:r>
              <w:t>r = np.array([float(row["Expected Future Price"]) for row in rows])</w:t>
            </w:r>
          </w:p>
          <w:p>
            <w:pPr>
              <w:pStyle w:val="Code"/>
            </w:pPr>
            <w:r>
              <w:t xml:space="preserve"> </w:t>
            </w:r>
          </w:p>
          <w:p>
            <w:pPr>
              <w:pStyle w:val="Code"/>
            </w:pPr>
            <w:r>
              <w:t>net = 0.99 * q - 0.30 * np.maximum(q - p, 0.0)</w:t>
            </w:r>
          </w:p>
          <w:p>
            <w:pPr>
              <w:pStyle w:val="Code"/>
            </w:pPr>
            <w:r>
              <w:t>result = linprog(</w:t>
            </w:r>
          </w:p>
          <w:p>
            <w:pPr>
              <w:pStyle w:val="Code"/>
            </w:pPr>
            <w:r>
              <w:t xml:space="preserve">    c=r,</w:t>
            </w:r>
          </w:p>
          <w:p>
            <w:pPr>
              <w:pStyle w:val="Code"/>
            </w:pPr>
            <w:r>
              <w:t xml:space="preserve">    A_ub=-net.reshape(1, -1),</w:t>
            </w:r>
          </w:p>
          <w:p>
            <w:pPr>
              <w:pStyle w:val="Code"/>
            </w:pPr>
            <w:r>
              <w:t xml:space="preserve">    b_ub=np.array([-9000.0]),</w:t>
            </w:r>
          </w:p>
          <w:p>
            <w:pPr>
              <w:pStyle w:val="Code"/>
            </w:pPr>
            <w:r>
              <w:t xml:space="preserve">    bounds=[(0.0, limit) for limit in s],</w:t>
            </w:r>
          </w:p>
          <w:p>
            <w:pPr>
              <w:pStyle w:val="Code"/>
            </w:pPr>
            <w:r>
              <w:t xml:space="preserve">    method="highs",</w:t>
            </w:r>
          </w:p>
          <w:p>
            <w:pPr>
              <w:pStyle w:val="Code"/>
            </w:pPr>
            <w:r>
              <w:t>)</w:t>
            </w:r>
          </w:p>
          <w:p>
            <w:pPr>
              <w:pStyle w:val="Code"/>
            </w:pPr>
            <w:r>
              <w:t>assert result.success</w:t>
            </w:r>
          </w:p>
          <w:p>
            <w:pPr>
              <w:pStyle w:val="Code"/>
            </w:pPr>
            <w:r>
              <w:t>sold = result.x</w:t>
            </w:r>
          </w:p>
          <w:p>
            <w:pPr>
              <w:pStyle w:val="Code"/>
            </w:pPr>
            <w:r>
              <w:t>cash_raised = net @ sold</w:t>
            </w:r>
          </w:p>
          <w:p>
            <w:pPr>
              <w:pStyle w:val="Code"/>
            </w:pPr>
            <w:r>
              <w:t>future_value = r @ (s - sold)</w:t>
            </w:r>
          </w:p>
          <w:p>
            <w:pPr>
              <w:pStyle w:val="Code"/>
            </w:pPr>
            <w:r>
              <w:t>print(sold, cash_raised, future_value)</w:t>
            </w:r>
          </w:p>
        </w:tc>
      </w:tr>
    </w:tbl>
    <w:sectPr w:rsidR="00FC693F" w:rsidRPr="0006063C" w:rsidSect="00034616">
      <w:pgSz w:w="12240" w:h="15840"/>
      <w:pgMar w:top="1037" w:right="1123" w:bottom="1008"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color w:val="11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8354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6483"/>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8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1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Caption">
    <w:name w:val="Formula Caption"/>
    <w:pPr>
      <w:spacing w:after="100"/>
      <w:jc w:val="center"/>
    </w:pPr>
    <w:rPr>
      <w:rFonts w:ascii="Arial" w:hAnsi="Arial"/>
      <w:i/>
      <w:color w:val="66717A"/>
      <w:sz w:val="16"/>
    </w:rPr>
  </w:style>
  <w:style w:type="paragraph" w:customStyle="1" w:styleId="Code">
    <w:name w:val="Code"/>
    <w:pPr>
      <w:spacing w:before="0" w:after="0" w:line="240" w:lineRule="auto"/>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DBA5103 Assignment 1 Solutions</dc:title>
  <dc:subject>Operations Research and Analytics</dc:subject>
  <dc:creator>Reagan</dc:creator>
  <cp:keywords>linear programming, matrix completion, polyhedra, scheduling, taxation</cp:keywords>
  <dc:description>Generated from the supplied assignment and investment data.</dc:description>
  <cp:lastModifiedBy/>
  <cp:revision>1</cp:revision>
  <dcterms:created xsi:type="dcterms:W3CDTF">2013-12-23T23:15:00Z</dcterms:created>
  <dcterms:modified xsi:type="dcterms:W3CDTF">2013-12-23T23:15:00Z</dcterms:modified>
  <cp:category/>
</cp:coreProperties>
</file>